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Convergence of Artificial Intelligence and Digital Twins for Smart Farming: A Critical Review of Architectures, Applications, and Research Directions</w:t>
      </w:r>
    </w:p>
    <w:p>
      <w:pPr>
        <w:pStyle w:val="Heading1"/>
      </w:pPr>
      <w:r>
        <w:t>Abstract</w:t>
      </w:r>
    </w:p>
    <w:p>
      <w:pPr>
        <w:jc w:val="both"/>
      </w:pPr>
      <w:r>
        <w:t>Digital twins offer a way to connect agricultural observations, computational models, and management decisions, while artificial intelligence can support state estimation, forecasting, and optimisation within that connection. Their combination is particularly relevant to irrigation, where useful predictions must account for soil hydraulics, crop demand, uncertain weather, and actuator constraints. This critical narrative review examines agricultural digital-twin architectures and develops an irrigation-centred technical synthesis linking governing equations, model calibration, data assimilation, and physics-informed learning. Root-zone water balance and the Richardson-Richards equation provide the physical basis; crop models connect water availability to development and production; and physics-informed neural networks provide a possible route to inverse estimation and constrained approximation. The review distinguishes conceptual architectures, numerical demonstrations, and field implementations rather than treating them as equivalent evidence. A proposed closed-loop framework translates estimated soil moisture into constrained irrigation decisions and evaluates performance through moisture error, water-balance closure, metered irrigation volume, crop response, and operational reliability. An illustrative calculation demonstrates the conversion from root-zone depletion to irrigation depth and volume without claiming experimental validation. The central conclusion is that predictive accuracy alone is insufficient to establish agronomic value. Credible smart-farming digital twins require identifiable parameters, independent validation, explicit uncertainty, reliable physical feedback, and controlled comparisons of measurable outcomes. Research priorities include decision-aware calibration, multi-season validation, conservative hybrid models, and affordable deployment under intermittent connectivity.</w:t>
      </w:r>
    </w:p>
    <w:p>
      <w:r>
        <w:rPr>
          <w:b/>
          <w:sz w:val="20"/>
        </w:rPr>
        <w:t xml:space="preserve">Keywords: </w:t>
      </w:r>
      <w:r>
        <w:rPr>
          <w:sz w:val="20"/>
        </w:rPr>
        <w:t>Digital twin; artificial intelligence; smart farming; precision irrigation; soil moisture; model calibration; physics-informed neural networks; decision support.</w:t>
      </w:r>
    </w:p>
    <w:p>
      <w:pPr>
        <w:pStyle w:val="Heading1"/>
      </w:pPr>
      <w:r>
        <w:t>1 Introduction</w:t>
      </w:r>
    </w:p>
    <w:p>
      <w:pPr>
        <w:jc w:val="both"/>
      </w:pPr>
      <w:r>
        <w:t>Smart farming increasingly brings together observations of soil, crops, weather, and equipment. The scientific challenge is not simply to collect these observations, but to infer the condition of a changing biological system and decide what intervention is justified. A soil-moisture measurement, for example, is informative only in relation to its depth, calibration, crop rooting pattern, recent irrigation, and expected atmospheric demand. A prediction becomes operationally useful when it can change a decision while keeping the consequences of error visible.</w:t>
      </w:r>
    </w:p>
    <w:p>
      <w:pPr>
        <w:jc w:val="both"/>
      </w:pPr>
      <w:r>
        <w:t>Agricultural digital twins provide an organising framework for this relationship. Verdouw et al. [1] describe digital representations embedded in smart-farming management cycles. Pylianidis et al. [2] examine agricultural use cases and adoption pathways, while Purcell and Neubauer [3] review definitions, integration, and application maturity. A more recent review identifies continuing limitations in interoperability, cross-asset integration, and large-scale field validation [4]. Together these works motivate a distinction between an attractive digital representation and a functioning model-based management system.</w:t>
      </w:r>
    </w:p>
    <w:p>
      <w:pPr>
        <w:jc w:val="both"/>
      </w:pPr>
      <w:r>
        <w:t>Artificial intelligence (AI) can contribute several different capabilities: translating images into crop-state indicators, forecasting disturbances, approximating expensive simulators, detecting abnormal sensors, and learning components that are difficult to model explicitly. These functions should not be conflated. A model trained to reproduce historical irrigation actions may imitate an existing schedule without improving it. Likewise, a low soil-moisture prediction error does not establish that the same model can safely optimise future actions.</w:t>
      </w:r>
    </w:p>
    <w:p>
      <w:pPr>
        <w:jc w:val="both"/>
      </w:pPr>
      <w:r>
        <w:t>This review therefore asks three questions. What architecture connects an agricultural model to a physical decision loop? How can governing equations, calibration, and physics-informed learning support that architecture? What evidence is required to connect improved modelling to soil moisture, water consumption, and irrigation outcomes? Smart farming is considered broadly, but precision irrigation provides the detailed example because the chain from observation to action can be expressed quantitatively. The contribution is a critical synthesis and a proposed evaluation framework, not a new algorithm or a report of field experiments.</w:t>
      </w:r>
    </w:p>
    <w:p>
      <w:pPr>
        <w:pStyle w:val="Heading1"/>
      </w:pPr>
      <w:r>
        <w:t>2 Review Approach and Evidence Boundaries</w:t>
      </w:r>
    </w:p>
    <w:p>
      <w:pPr>
        <w:jc w:val="both"/>
      </w:pPr>
      <w:r>
        <w:t>This is a focused critical narrative review, not an exhaustive systematic review or meta-analysis. Targeted web searches and citation-led selection were used to locate agricultural digital-twin reviews, soil-water modelling foundations, physics-informed learning studies, and relevant irrigation and greenhouse applications. Searches combined terms including "digital twin smart farming", "agricultural digital twin irrigation", "Richards equation physics-informed neural network", and "model predictive control agro-hydrological systems". Publisher pages, author-hosted manuscripts, institutional repositories, FAO material, and an explicitly identified arXiv preprint were consulted. Bibliographic metadata were cross-checked against publisher or DOI records. The literature check was completed on 25 September 2026.</w:t>
      </w:r>
    </w:p>
    <w:p>
      <w:pPr>
        <w:jc w:val="both"/>
      </w:pPr>
      <w:r>
        <w:t>Sources were selected for their relevance to architecture, physical modelling, calibration, or measurable management outcomes. The resulting 20-reference set is purposive and English-language; it does not support estimates of publication prevalence or pooled effect sizes. Where only publisher summaries were accessible, interpretation is restricted to the reported scope and findings. One control study [18] is cited as a preprint and is not treated as peer-reviewed field evidence.</w:t>
      </w:r>
    </w:p>
    <w:p>
      <w:pPr>
        <w:jc w:val="both"/>
      </w:pPr>
      <w:r>
        <w:t>Three evidence levels are kept distinct: conceptual or review-level arguments; numerical or model-validation studies; and physical deployment studies. These levels address different questions. A numerical demonstration can validate an inverse modelling method but cannot establish seasonal water savings. A deployed platform can demonstrate integration while leaving the separate contribution of its AI component unresolved. Equations below summarise established formulations, whereas the proposed architecture, evaluation protocol, and worked example are the synthesis of this review.</w:t>
      </w:r>
    </w:p>
    <w:p>
      <w:pPr>
        <w:pStyle w:val="Heading1"/>
      </w:pPr>
      <w:r>
        <w:t>3 Architectures for Agricultural Digital Twins</w:t>
      </w:r>
    </w:p>
    <w:p>
      <w:pPr>
        <w:pStyle w:val="Heading2"/>
      </w:pPr>
      <w:r>
        <w:t>3.1 From Digital Representation to Operational Feedback</w:t>
      </w:r>
    </w:p>
    <w:p>
      <w:pPr>
        <w:jc w:val="both"/>
      </w:pPr>
      <w:r>
        <w:t>The manufacturing classification of Kritzinger et al. [5] distinguishes digital models, digital shadows, and digital twins through the direction and automation of data exchange. Applied cautiously to agriculture, this distinction prevents a static simulation or one-way dashboard from being presented as an operational closed loop. Terminology varies across the agricultural literature [1-4]. Consequently, a study should report what actually happens: which observations update the model, how frequently they arrive, whether recommendations reach actuators, and whether executed actions are measured.</w:t>
      </w:r>
    </w:p>
    <w:p>
      <w:pPr>
        <w:jc w:val="both"/>
      </w:pPr>
      <w:r>
        <w:t>A farmer-approved recommendation is still valuable, but its human-mediated feedback should be stated rather than described as fully autonomous control. Similarly, a three-dimensional crop visualisation is neither necessary nor sufficient for irrigation optimisation. The digital representation may instead be a compact estimate of layer water contents, rooting depth, hydraulic properties, crop stage, and equipment availability. Its fidelity should match the decision being made.</w:t>
      </w:r>
    </w:p>
    <w:p>
      <w:pPr>
        <w:pStyle w:val="Heading2"/>
      </w:pPr>
      <w:r>
        <w:t>3.2 A Proposed Closed-Loop Architecture</w:t>
      </w:r>
    </w:p>
    <w:p>
      <w:pPr>
        <w:jc w:val="both"/>
      </w:pPr>
      <w:r>
        <w:t>Figure 1 presents a proposed architecture organised around five responsibilities. The physical layer contains the soil-crop system, weather exposure, irrigation network, and independently measured water delivery. The observation layer performs timestamp alignment, unit checking, sensor quality control, and spatial registration. The model layer combines physical simulation with state estimation and, where justified, learned components. The decision layer evaluates candidate actions against agronomic and engineering constraints. Finally, the execution layer records approval, valve commands, measured flow, and discrepancies between commanded and delivered irrigation.</w:t>
      </w:r>
    </w:p>
    <w:p>
      <w:pPr>
        <w:keepNext/>
      </w:pPr>
      <w:r>
        <w:drawing>
          <wp:inline xmlns:a="http://schemas.openxmlformats.org/drawingml/2006/main" xmlns:pic="http://schemas.openxmlformats.org/drawingml/2006/picture">
            <wp:extent cx="6217920" cy="2131858"/>
            <wp:docPr id="1" name="Picture 1" descr="Five-stage irrigation digital twin: physical field, observations, model and state, decision, execution. Delivered water and observed soil response feed back to the field."/>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131858"/>
                    </a:xfrm>
                    <a:prstGeom prst="rect"/>
                  </pic:spPr>
                </pic:pic>
              </a:graphicData>
            </a:graphic>
          </wp:inline>
        </w:drawing>
      </w:r>
    </w:p>
    <w:p>
      <w:pPr>
        <w:pStyle w:val="Caption"/>
      </w:pPr>
      <w:r>
        <w:t>Figure 1. Proposed irrigation-centred digital-twin loop. Measurements of delivered water and subsequent soil response close the loop; a command log alone does not confirm physical execution. This is an original synthesis, not an evaluated deployment.</w:t>
      </w:r>
    </w:p>
    <w:p>
      <w:pPr>
        <w:jc w:val="both"/>
      </w:pPr>
      <w:r>
        <w:t>Each observation should retain its unit, depth or footprint, timestamp, sensor identity, uncertainty estimate, and quality flag. Surface remote-sensing information and a buried point sensor should not be merged as though they observed the same volume. The model version, parameter set, weather forecast issue time, and accepted action should also be retained. These records make a decision reconstructable and allow errors to be assigned to sensing, modelling, forecasting, or execution.</w:t>
      </w:r>
    </w:p>
    <w:p>
      <w:pPr>
        <w:jc w:val="both"/>
      </w:pPr>
      <w:r>
        <w:t>For the proposed deployment, computationally expensive retraining can occur off-site, while local control retains operational limits and an approved fallback schedule. Stale data, a failed sensor, or unavailable communication should trigger an explicit degraded mode. Such provisions are design requirements advanced here; their cost and reliability must be measured in the deployment rather than assumed from the architecture.</w:t>
      </w:r>
    </w:p>
    <w:p>
      <w:pPr>
        <w:pStyle w:val="Heading1"/>
      </w:pPr>
      <w:r>
        <w:t>4 Governing Equations and Model Selection</w:t>
      </w:r>
    </w:p>
    <w:p>
      <w:pPr>
        <w:pStyle w:val="Heading2"/>
      </w:pPr>
      <w:r>
        <w:t>4.1 Root-Zone Water Balance</w:t>
      </w:r>
    </w:p>
    <w:p>
      <w:pPr>
        <w:jc w:val="both"/>
      </w:pPr>
      <w:r>
        <w:t>A useful starting point is a root-zone control volume. Over a decision interval with fixed rooting depth, conservation gives:</w:t>
      </w:r>
    </w:p>
    <w:p>
      <w:pPr>
        <w:tabs>
          <w:tab w:pos="4608" w:val="center"/>
          <w:tab w:pos="9792" w:val="right"/>
        </w:tabs>
        <w:spacing w:before="100" w:after="160"/>
      </w:pPr>
      <w:r>
        <w:tab/>
      </w:r>
      <w:r>
        <w:drawing>
          <wp:inline xmlns:a="http://schemas.openxmlformats.org/drawingml/2006/main" xmlns:pic="http://schemas.openxmlformats.org/drawingml/2006/picture">
            <wp:extent cx="3505200" cy="169420"/>
            <wp:docPr id="2" name="Picture 2" descr="Equation 1: W_{t+1}=W_t+P_t+\eta I_{g,t}+C_t-ET_{a,t}-R_t-D_t."/>
            <wp:cNvGraphicFramePr>
              <a:graphicFrameLocks noChangeAspect="1"/>
            </wp:cNvGraphicFramePr>
            <a:graphic>
              <a:graphicData uri="http://schemas.openxmlformats.org/drawingml/2006/picture">
                <pic:pic>
                  <pic:nvPicPr>
                    <pic:cNvPr id="0" name="equation-1.png"/>
                    <pic:cNvPicPr/>
                  </pic:nvPicPr>
                  <pic:blipFill>
                    <a:blip r:embed="rId12"/>
                    <a:stretch>
                      <a:fillRect/>
                    </a:stretch>
                  </pic:blipFill>
                  <pic:spPr>
                    <a:xfrm>
                      <a:off x="0" y="0"/>
                      <a:ext cx="3505200" cy="169420"/>
                    </a:xfrm>
                    <a:prstGeom prst="rect"/>
                  </pic:spPr>
                </pic:pic>
              </a:graphicData>
            </a:graphic>
          </wp:inline>
        </w:drawing>
      </w:r>
      <w:r>
        <w:tab/>
        <w:t>(1)</w:t>
      </w:r>
    </w:p>
    <w:p>
      <w:pPr>
        <w:jc w:val="both"/>
      </w:pPr>
      <w:r>
        <w:t xml:space="preserve">Here storage W and all interval-integrated fluxes are in millimetres; P is rainfall reaching the soil, </w:t>
      </w:r>
      <w:r>
        <w:rPr>
          <w:i/>
        </w:rPr>
        <w:t>I</w:t>
      </w:r>
      <w:r>
        <w:rPr>
          <w:vertAlign w:val="subscript"/>
        </w:rPr>
        <w:t>g</w:t>
      </w:r>
      <w:r>
        <w:t xml:space="preserve"> is gross applied irrigation, </w:t>
      </w:r>
      <w:r>
        <w:rPr>
          <w:i/>
        </w:rPr>
        <w:t>η</w:t>
      </w:r>
      <w:r>
        <w:t xml:space="preserve"> is the fraction entering the modelled soil control volume, C is capillary inflow, </w:t>
      </w:r>
      <w:r>
        <w:rPr>
          <w:i/>
        </w:rPr>
        <w:t>ET</w:t>
      </w:r>
      <w:r>
        <w:rPr>
          <w:vertAlign w:val="subscript"/>
        </w:rPr>
        <w:t>a</w:t>
      </w:r>
      <w:r>
        <w:t xml:space="preserve"> is actual evapotranspiration, R is runoff, and D is drainage below the root zone. Gross irrigation and the efficiency factor must use the same measurement boundary. Losses already represented by </w:t>
      </w:r>
      <w:r>
        <w:rPr>
          <w:i/>
        </w:rPr>
        <w:t>η</w:t>
      </w:r>
      <w:r>
        <w:t xml:space="preserve"> must not be subtracted again as runoff or drainage. A changing root-zone depth requires an additional accounting term or an explicitly moving control volume.</w:t>
      </w:r>
    </w:p>
    <w:p>
      <w:pPr>
        <w:jc w:val="both"/>
      </w:pPr>
      <w:r>
        <w:t xml:space="preserve">FAO-56 relates crop evapotranspiration and root-zone depletion to irrigation management [6]. With rooting depth </w:t>
      </w:r>
      <w:r>
        <w:rPr>
          <w:i/>
        </w:rPr>
        <w:t>Z</w:t>
      </w:r>
      <w:r>
        <w:rPr>
          <w:vertAlign w:val="subscript"/>
        </w:rPr>
        <w:t>r</w:t>
      </w:r>
      <w:r>
        <w:t xml:space="preserve"> in metres and mean volumetric water content </w:t>
      </w:r>
      <w:r>
        <w:rPr>
          <w:i/>
        </w:rPr>
        <w:t>θ̄</w:t>
      </w:r>
      <w:r>
        <w:t>, the following quantities make the link explicit:</w:t>
      </w:r>
    </w:p>
    <w:p>
      <w:pPr>
        <w:tabs>
          <w:tab w:pos="4608" w:val="center"/>
          <w:tab w:pos="9792" w:val="right"/>
        </w:tabs>
        <w:spacing w:before="100" w:after="160"/>
      </w:pPr>
      <w:r>
        <w:tab/>
      </w:r>
      <w:r>
        <w:drawing>
          <wp:inline xmlns:a="http://schemas.openxmlformats.org/drawingml/2006/main" xmlns:pic="http://schemas.openxmlformats.org/drawingml/2006/picture">
            <wp:extent cx="3102102" cy="203848"/>
            <wp:docPr id="3" name="Picture 3" descr="Equation 2: W=1000Z_r\bar\theta,\qquad D_r=1000Z_r(\theta_{FC}-\bar\theta)."/>
            <wp:cNvGraphicFramePr>
              <a:graphicFrameLocks noChangeAspect="1"/>
            </wp:cNvGraphicFramePr>
            <a:graphic>
              <a:graphicData uri="http://schemas.openxmlformats.org/drawingml/2006/picture">
                <pic:pic>
                  <pic:nvPicPr>
                    <pic:cNvPr id="0" name="equation-2.png"/>
                    <pic:cNvPicPr/>
                  </pic:nvPicPr>
                  <pic:blipFill>
                    <a:blip r:embed="rId13"/>
                    <a:stretch>
                      <a:fillRect/>
                    </a:stretch>
                  </pic:blipFill>
                  <pic:spPr>
                    <a:xfrm>
                      <a:off x="0" y="0"/>
                      <a:ext cx="3102102" cy="203848"/>
                    </a:xfrm>
                    <a:prstGeom prst="rect"/>
                  </pic:spPr>
                </pic:pic>
              </a:graphicData>
            </a:graphic>
          </wp:inline>
        </w:drawing>
      </w:r>
      <w:r>
        <w:tab/>
        <w:t>(2)</w:t>
      </w:r>
    </w:p>
    <w:p>
      <w:pPr>
        <w:tabs>
          <w:tab w:pos="4608" w:val="center"/>
          <w:tab w:pos="9792" w:val="right"/>
        </w:tabs>
        <w:spacing w:before="100" w:after="160"/>
      </w:pPr>
      <w:r>
        <w:tab/>
      </w:r>
      <w:r>
        <w:drawing>
          <wp:inline xmlns:a="http://schemas.openxmlformats.org/drawingml/2006/main" xmlns:pic="http://schemas.openxmlformats.org/drawingml/2006/picture">
            <wp:extent cx="3733038" cy="169235"/>
            <wp:docPr id="4" name="Picture 4" descr="Equation 3: TAW=1000Z_r(\theta_{FC}-\theta_{WP}),\qquad RAW=p\,TAW."/>
            <wp:cNvGraphicFramePr>
              <a:graphicFrameLocks noChangeAspect="1"/>
            </wp:cNvGraphicFramePr>
            <a:graphic>
              <a:graphicData uri="http://schemas.openxmlformats.org/drawingml/2006/picture">
                <pic:pic>
                  <pic:nvPicPr>
                    <pic:cNvPr id="0" name="equation-3.png"/>
                    <pic:cNvPicPr/>
                  </pic:nvPicPr>
                  <pic:blipFill>
                    <a:blip r:embed="rId14"/>
                    <a:stretch>
                      <a:fillRect/>
                    </a:stretch>
                  </pic:blipFill>
                  <pic:spPr>
                    <a:xfrm>
                      <a:off x="0" y="0"/>
                      <a:ext cx="3733038" cy="169235"/>
                    </a:xfrm>
                    <a:prstGeom prst="rect"/>
                  </pic:spPr>
                </pic:pic>
              </a:graphicData>
            </a:graphic>
          </wp:inline>
        </w:drawing>
      </w:r>
      <w:r>
        <w:tab/>
        <w:t>(3)</w:t>
      </w:r>
    </w:p>
    <w:p>
      <w:pPr>
        <w:jc w:val="both"/>
      </w:pPr>
      <w:r>
        <w:t xml:space="preserve">Field capacity and wilting-point water contents are </w:t>
      </w:r>
      <w:r>
        <w:rPr>
          <w:i/>
        </w:rPr>
        <w:t>θ</w:t>
      </w:r>
      <w:r>
        <w:rPr>
          <w:vertAlign w:val="subscript"/>
        </w:rPr>
        <w:t>FC</w:t>
      </w:r>
      <w:r>
        <w:t xml:space="preserve"> and </w:t>
      </w:r>
      <w:r>
        <w:rPr>
          <w:i/>
        </w:rPr>
        <w:t>θ</w:t>
      </w:r>
      <w:r>
        <w:rPr>
          <w:vertAlign w:val="subscript"/>
        </w:rPr>
        <w:t>WP</w:t>
      </w:r>
      <w:r>
        <w:t>. TAW is total available water, RAW is readily available water, and p is the allowable depletion fraction. The depletion expression applies to the stated root-zone approximation; saturated or highly layered profiles require more careful treatment. Crop coefficients, stress response, and rooting depth should vary with crop development rather than being treated as universal constants [6]. A simple balance is transparent and inexpensive, but it cannot resolve wetting fronts or depth-specific sensor responses.</w:t>
      </w:r>
    </w:p>
    <w:p>
      <w:pPr>
        <w:pStyle w:val="Heading2"/>
      </w:pPr>
      <w:r>
        <w:t>4.2 Unsaturated Flow and Hydraulic Closure</w:t>
      </w:r>
    </w:p>
    <w:p>
      <w:pPr>
        <w:jc w:val="both"/>
      </w:pPr>
      <w:r>
        <w:t>When the management problem depends on vertical redistribution, infiltration, or layered soils, the one-dimensional Richardson-Richards equation supplies a more detailed description [7]:</w:t>
      </w:r>
    </w:p>
    <w:p>
      <w:pPr>
        <w:tabs>
          <w:tab w:pos="4608" w:val="center"/>
          <w:tab w:pos="9792" w:val="right"/>
        </w:tabs>
        <w:spacing w:before="100" w:after="160"/>
      </w:pPr>
      <w:r>
        <w:tab/>
      </w:r>
      <w:r>
        <w:drawing>
          <wp:inline xmlns:a="http://schemas.openxmlformats.org/drawingml/2006/main" xmlns:pic="http://schemas.openxmlformats.org/drawingml/2006/picture">
            <wp:extent cx="3110865" cy="406337"/>
            <wp:docPr id="5" name="Picture 5" descr="Equation 4: \frac{\partial\theta(h)}{\partial t}=\frac{\partial}{\partial z}\left[K(h)\left(\frac{\partial h}{\partial z}+1\right)\right]-S_r(z,t)."/>
            <wp:cNvGraphicFramePr>
              <a:graphicFrameLocks noChangeAspect="1"/>
            </wp:cNvGraphicFramePr>
            <a:graphic>
              <a:graphicData uri="http://schemas.openxmlformats.org/drawingml/2006/picture">
                <pic:pic>
                  <pic:nvPicPr>
                    <pic:cNvPr id="0" name="equation-4.png"/>
                    <pic:cNvPicPr/>
                  </pic:nvPicPr>
                  <pic:blipFill>
                    <a:blip r:embed="rId15"/>
                    <a:stretch>
                      <a:fillRect/>
                    </a:stretch>
                  </pic:blipFill>
                  <pic:spPr>
                    <a:xfrm>
                      <a:off x="0" y="0"/>
                      <a:ext cx="3110865" cy="406337"/>
                    </a:xfrm>
                    <a:prstGeom prst="rect"/>
                  </pic:spPr>
                </pic:pic>
              </a:graphicData>
            </a:graphic>
          </wp:inline>
        </w:drawing>
      </w:r>
      <w:r>
        <w:tab/>
        <w:t>(4)</w:t>
      </w:r>
    </w:p>
    <w:p>
      <w:pPr>
        <w:jc w:val="both"/>
      </w:pPr>
      <w:r>
        <w:t xml:space="preserve">The vertical coordinate z is positive upward, h is pressure head in metres, time is in days, hydraulic conductivity K is in metres per day, and root extraction </w:t>
      </w:r>
      <w:r>
        <w:rPr>
          <w:i/>
        </w:rPr>
        <w:t>S</w:t>
      </w:r>
      <w:r>
        <w:rPr>
          <w:vertAlign w:val="subscript"/>
        </w:rPr>
        <w:t>r</w:t>
      </w:r>
      <w:r>
        <w:t xml:space="preserve"> is in inverse days. This sign convention corresponds to upward-positive water flux q = -K(dh/dz + 1). The formulation assumes a rigid porous medium and liquid-water flow; preferential pathways, hysteresis, and strongly coupled thermal effects are not represented by this equation alone. Surface forcing and a justified lower boundary are required. A free-drainage boundary should not be imposed uncritically where a shallow water table controls flow.</w:t>
      </w:r>
    </w:p>
    <w:p>
      <w:pPr>
        <w:jc w:val="both"/>
      </w:pPr>
      <w:r>
        <w:t>The van Genuchten retention relationship [8], combined with the Mualem conductivity model [9], provides a common hydraulic closure:</w:t>
      </w:r>
    </w:p>
    <w:p>
      <w:pPr>
        <w:tabs>
          <w:tab w:pos="4608" w:val="center"/>
          <w:tab w:pos="9792" w:val="right"/>
        </w:tabs>
        <w:spacing w:before="100" w:after="160"/>
      </w:pPr>
      <w:r>
        <w:tab/>
      </w:r>
      <w:r>
        <w:drawing>
          <wp:inline xmlns:a="http://schemas.openxmlformats.org/drawingml/2006/main" xmlns:pic="http://schemas.openxmlformats.org/drawingml/2006/picture">
            <wp:extent cx="4258818" cy="374908"/>
            <wp:docPr id="6" name="Picture 6" descr="Equation 5: S_e=\frac{\theta-\theta_r}{\theta_s-\theta_r}=\left[1+(\alpha|h|)^n\right]^{-m},\qquad m=1-\frac{1}{n},\quad h&lt;0."/>
            <wp:cNvGraphicFramePr>
              <a:graphicFrameLocks noChangeAspect="1"/>
            </wp:cNvGraphicFramePr>
            <a:graphic>
              <a:graphicData uri="http://schemas.openxmlformats.org/drawingml/2006/picture">
                <pic:pic>
                  <pic:nvPicPr>
                    <pic:cNvPr id="0" name="equation-5.png"/>
                    <pic:cNvPicPr/>
                  </pic:nvPicPr>
                  <pic:blipFill>
                    <a:blip r:embed="rId16"/>
                    <a:stretch>
                      <a:fillRect/>
                    </a:stretch>
                  </pic:blipFill>
                  <pic:spPr>
                    <a:xfrm>
                      <a:off x="0" y="0"/>
                      <a:ext cx="4258818" cy="374908"/>
                    </a:xfrm>
                    <a:prstGeom prst="rect"/>
                  </pic:spPr>
                </pic:pic>
              </a:graphicData>
            </a:graphic>
          </wp:inline>
        </w:drawing>
      </w:r>
      <w:r>
        <w:tab/>
        <w:t>(5)</w:t>
      </w:r>
    </w:p>
    <w:p>
      <w:pPr>
        <w:tabs>
          <w:tab w:pos="4608" w:val="center"/>
          <w:tab w:pos="9792" w:val="right"/>
        </w:tabs>
        <w:spacing w:before="100" w:after="160"/>
      </w:pPr>
      <w:r>
        <w:tab/>
      </w:r>
      <w:r>
        <w:drawing>
          <wp:inline xmlns:a="http://schemas.openxmlformats.org/drawingml/2006/main" xmlns:pic="http://schemas.openxmlformats.org/drawingml/2006/picture">
            <wp:extent cx="2628900" cy="343400"/>
            <wp:docPr id="7" name="Picture 7" descr="Equation 6: K(h)=K_{\mathrm{sat}}S_e^{\ell}\left[1-\left(1-S_e^{1/m}\right)^m\right]^2."/>
            <wp:cNvGraphicFramePr>
              <a:graphicFrameLocks noChangeAspect="1"/>
            </wp:cNvGraphicFramePr>
            <a:graphic>
              <a:graphicData uri="http://schemas.openxmlformats.org/drawingml/2006/picture">
                <pic:pic>
                  <pic:nvPicPr>
                    <pic:cNvPr id="0" name="equation-6.png"/>
                    <pic:cNvPicPr/>
                  </pic:nvPicPr>
                  <pic:blipFill>
                    <a:blip r:embed="rId17"/>
                    <a:stretch>
                      <a:fillRect/>
                    </a:stretch>
                  </pic:blipFill>
                  <pic:spPr>
                    <a:xfrm>
                      <a:off x="0" y="0"/>
                      <a:ext cx="2628900" cy="343400"/>
                    </a:xfrm>
                    <a:prstGeom prst="rect"/>
                  </pic:spPr>
                </pic:pic>
              </a:graphicData>
            </a:graphic>
          </wp:inline>
        </w:drawing>
      </w:r>
      <w:r>
        <w:tab/>
        <w:t>(6)</w:t>
      </w:r>
    </w:p>
    <w:p>
      <w:pPr>
        <w:jc w:val="both"/>
      </w:pPr>
      <w:r>
        <w:t xml:space="preserve">Residual and saturated water contents are </w:t>
      </w:r>
      <w:r>
        <w:rPr>
          <w:i/>
        </w:rPr>
        <w:t>θ</w:t>
      </w:r>
      <w:r>
        <w:rPr>
          <w:vertAlign w:val="subscript"/>
        </w:rPr>
        <w:t>r</w:t>
      </w:r>
      <w:r>
        <w:t xml:space="preserve"> and </w:t>
      </w:r>
      <w:r>
        <w:rPr>
          <w:i/>
        </w:rPr>
        <w:t>θ</w:t>
      </w:r>
      <w:r>
        <w:rPr>
          <w:vertAlign w:val="subscript"/>
        </w:rPr>
        <w:t>s</w:t>
      </w:r>
      <w:r>
        <w:t xml:space="preserve">; </w:t>
      </w:r>
      <w:r>
        <w:rPr>
          <w:i/>
        </w:rPr>
        <w:t>α</w:t>
      </w:r>
      <w:r>
        <w:t xml:space="preserve"> has units of inverse metres; n exceeds one; </w:t>
      </w:r>
      <w:r>
        <w:rPr>
          <w:i/>
        </w:rPr>
        <w:t>ℓ</w:t>
      </w:r>
      <w:r>
        <w:t xml:space="preserve"> is a pore-connectivity parameter; and </w:t>
      </w:r>
      <w:r>
        <w:rPr>
          <w:i/>
        </w:rPr>
        <w:t>K</w:t>
      </w:r>
      <w:r>
        <w:rPr>
          <w:vertAlign w:val="subscript"/>
        </w:rPr>
        <w:t>sat</w:t>
      </w:r>
      <w:r>
        <w:t xml:space="preserve"> is saturated hydraulic conductivity. Saturated conditions require the saturated branch, with effective saturation equal to one. These relationships reduce the number of unknown functions, but the parameters still require credible estimation. A smooth retention curve fitted to a limited moisture range can conceal poor behaviour outside that range.</w:t>
      </w:r>
    </w:p>
    <w:p>
      <w:pPr>
        <w:jc w:val="both"/>
      </w:pPr>
      <w:r>
        <w:t>The choice between a bucket balance and a Richards solver should depend on whether additional spatial detail changes the management decision. A complex solver with poorly known boundaries may be less useful operationally than a well-calibrated simpler model. Conversely, averaging a strongly stratified profile can obscure drainage and root stress even when mean moisture appears correct. This trade-off should be tested against independent depth-resolved observations and irrigation outcomes.</w:t>
      </w:r>
    </w:p>
    <w:p>
      <w:pPr>
        <w:pStyle w:val="Heading2"/>
      </w:pPr>
      <w:r>
        <w:t>4.3 Crop Coupling and Appropriate Fidelity</w:t>
      </w:r>
    </w:p>
    <w:p>
      <w:pPr>
        <w:jc w:val="both"/>
      </w:pPr>
      <w:r>
        <w:t>Soil water is an intermediate variable, not the final agronomic objective. Crop development determines root exploration and demand, while water stress can alter growth and production. APSIM provides a modular agricultural systems simulation framework [10], and AquaCrop explicitly models crop production responses to water [11]. Neither becomes a digital twin merely by being run on a computer; operational linkage additionally requires observation updates and a traceable decision pathway.</w:t>
      </w:r>
    </w:p>
    <w:p>
      <w:pPr>
        <w:jc w:val="both"/>
      </w:pPr>
      <w:r>
        <w:t>For irrigation, the minimum useful coupling may be a crop-stage-dependent root depth and evapotranspiration demand. A production-oriented study may need biomass and yield responses as well. In greenhouse applications, the relevant model may instead couple canopy structure, radiation, temperature, and water demand. Adding these processes expands parameter uncertainty and validation requirements. The proposed principle is to retain each model component only when its contribution can be assessed against an observable or a decision-relevant error.</w:t>
      </w:r>
    </w:p>
    <w:p>
      <w:pPr>
        <w:pStyle w:val="Heading1"/>
      </w:pPr>
      <w:r>
        <w:t>5 Calibration and Data Assimilation</w:t>
      </w:r>
    </w:p>
    <w:p>
      <w:pPr>
        <w:pStyle w:val="Heading2"/>
      </w:pPr>
      <w:r>
        <w:t>5.1 Estimating Parameters Without Confounding Errors</w:t>
      </w:r>
    </w:p>
    <w:p>
      <w:pPr>
        <w:jc w:val="both"/>
      </w:pPr>
      <w:r>
        <w:t>Calibration estimates model parameters, whereas data assimilation updates the estimated system state as observations arrive. Sensor calibration is a separate measurement problem. These three activities should be documented independently: an apparently successful hydraulic calibration can otherwise compensate for a biased sensor, incorrect irrigation input, or unmodelled water-table influence.</w:t>
      </w:r>
    </w:p>
    <w:p>
      <w:pPr>
        <w:jc w:val="both"/>
      </w:pPr>
      <w:r>
        <w:t xml:space="preserve">Let </w:t>
      </w:r>
      <w:r>
        <w:rPr>
          <w:i/>
        </w:rPr>
        <w:t>β</w:t>
      </w:r>
      <w:r>
        <w:t xml:space="preserve"> denote physical parameters and </w:t>
      </w:r>
      <w:r>
        <w:rPr>
          <w:i/>
        </w:rPr>
        <w:t>y</w:t>
      </w:r>
      <w:r>
        <w:rPr>
          <w:vertAlign w:val="subscript"/>
        </w:rPr>
        <w:t>i</w:t>
      </w:r>
      <w:r>
        <w:t xml:space="preserve"> an observation with uncertainty scale </w:t>
      </w:r>
      <w:r>
        <w:rPr>
          <w:i/>
        </w:rPr>
        <w:t>σ</w:t>
      </w:r>
      <w:r>
        <w:rPr>
          <w:vertAlign w:val="subscript"/>
        </w:rPr>
        <w:t>i</w:t>
      </w:r>
      <w:r>
        <w:t>. A regularised calibration objective can be written as:</w:t>
      </w:r>
    </w:p>
    <w:p>
      <w:pPr>
        <w:tabs>
          <w:tab w:pos="4608" w:val="center"/>
          <w:tab w:pos="9792" w:val="right"/>
        </w:tabs>
        <w:spacing w:before="100" w:after="160"/>
      </w:pPr>
      <w:r>
        <w:tab/>
      </w:r>
      <w:r>
        <w:drawing>
          <wp:inline xmlns:a="http://schemas.openxmlformats.org/drawingml/2006/main" xmlns:pic="http://schemas.openxmlformats.org/drawingml/2006/picture">
            <wp:extent cx="4258818" cy="505673"/>
            <wp:docPr id="8" name="Picture 8" descr="Equation 7: \hat{\boldsymbol\beta}=\arg\min_{\boldsymbol\beta\in\mathcal B}\left\{\sum_i\left[\frac{y_i-H_i(x_i(\boldsymbol\beta))}{\sigma_i}\right]^2+\lambda_\beta\left\|L(\boldsymbol\beta-\boldsymbol\beta_0)\right\|_2^2\right\}."/>
            <wp:cNvGraphicFramePr>
              <a:graphicFrameLocks noChangeAspect="1"/>
            </wp:cNvGraphicFramePr>
            <a:graphic>
              <a:graphicData uri="http://schemas.openxmlformats.org/drawingml/2006/picture">
                <pic:pic>
                  <pic:nvPicPr>
                    <pic:cNvPr id="0" name="equation-7.png"/>
                    <pic:cNvPicPr/>
                  </pic:nvPicPr>
                  <pic:blipFill>
                    <a:blip r:embed="rId18"/>
                    <a:stretch>
                      <a:fillRect/>
                    </a:stretch>
                  </pic:blipFill>
                  <pic:spPr>
                    <a:xfrm>
                      <a:off x="0" y="0"/>
                      <a:ext cx="4258818" cy="505673"/>
                    </a:xfrm>
                    <a:prstGeom prst="rect"/>
                  </pic:spPr>
                </pic:pic>
              </a:graphicData>
            </a:graphic>
          </wp:inline>
        </w:drawing>
      </w:r>
      <w:r>
        <w:tab/>
        <w:t>(7)</w:t>
      </w:r>
    </w:p>
    <w:p>
      <w:pPr>
        <w:jc w:val="both"/>
      </w:pPr>
      <w:r>
        <w:t xml:space="preserve">The observation operator </w:t>
      </w:r>
      <w:r>
        <w:rPr>
          <w:i/>
        </w:rPr>
        <w:t>H</w:t>
      </w:r>
      <w:r>
        <w:rPr>
          <w:vertAlign w:val="subscript"/>
        </w:rPr>
        <w:t>i</w:t>
      </w:r>
      <w:r>
        <w:t xml:space="preserve"> maps model states to the measurement depth or footprint, B imposes admissible parameter bounds, and </w:t>
      </w:r>
      <w:r>
        <w:rPr>
          <w:i/>
        </w:rPr>
        <w:t>β</w:t>
      </w:r>
      <w:r>
        <w:rPr>
          <w:vertAlign w:val="subscript"/>
        </w:rPr>
        <w:t>0</w:t>
      </w:r>
      <w:r>
        <w:t xml:space="preserve"> encodes prior information. L scales or couples the regularisation terms. This is a proposed generic objective, not a uniquely preferred estimator. With correlated residuals, a covariance-weighted formulation should replace independent squared errors. Model discrepancy and measurement uncertainty should not be assumed interchangeable.</w:t>
      </w:r>
    </w:p>
    <w:p>
      <w:pPr>
        <w:jc w:val="both"/>
      </w:pPr>
      <w:r>
        <w:t>Practical calibration should begin with measured soil texture, bulk density where relevant, sensor response, irrigation flow, and boundary information. A sensitivity analysis can identify which parameters the available observations constrain. Wetting and drying episodes should both be represented. Multiple depths and independently measured irrigation help distinguish storage changes from hydraulic transport; they do not guarantee that every parameter is identifiable. Parameter ensembles or profile-based analyses should be used to expose alternative parameter sets with similar fit.</w:t>
      </w:r>
    </w:p>
    <w:p>
      <w:pPr>
        <w:jc w:val="both"/>
      </w:pPr>
      <w:r>
        <w:t>Randomly splitting adjacent timestamps is particularly weak evidence of generalisation because neighbouring observations share weather, crop stage, and antecedent conditions. A stronger protocol holds out complete events, later periods, another season, or another field. Calibration choices and stopping rules should be fixed before inspecting the final test set. Depth-specific bias and wetting-front timing should be examined alongside aggregate error.</w:t>
      </w:r>
    </w:p>
    <w:p>
      <w:pPr>
        <w:pStyle w:val="Heading2"/>
      </w:pPr>
      <w:r>
        <w:t>5.2 Updating States During Operation</w:t>
      </w:r>
    </w:p>
    <w:p>
      <w:pPr>
        <w:jc w:val="both"/>
      </w:pPr>
      <w:r>
        <w:t>The ensemble Kalman filter provides one established approach to sequential estimation [12]. For a linear observation operator, the familiar analysis update is:</w:t>
      </w:r>
    </w:p>
    <w:p>
      <w:pPr>
        <w:tabs>
          <w:tab w:pos="4608" w:val="center"/>
          <w:tab w:pos="9792" w:val="right"/>
        </w:tabs>
        <w:spacing w:before="100" w:after="160"/>
      </w:pPr>
      <w:r>
        <w:tab/>
      </w:r>
      <w:r>
        <w:drawing>
          <wp:inline xmlns:a="http://schemas.openxmlformats.org/drawingml/2006/main" xmlns:pic="http://schemas.openxmlformats.org/drawingml/2006/picture">
            <wp:extent cx="4302633" cy="246616"/>
            <wp:docPr id="9" name="Picture 9" descr="Equation 8: \mathbf x^{a}=\mathbf x^{f}+\mathbf G(\mathbf y-\mathbf H\mathbf x^{f}),\qquad \mathbf G=\mathbf P^{f}\mathbf H^{T}\left(\mathbf H\mathbf P^{f}\mathbf H^{T}+\mathbf R\right)^{-1}."/>
            <wp:cNvGraphicFramePr>
              <a:graphicFrameLocks noChangeAspect="1"/>
            </wp:cNvGraphicFramePr>
            <a:graphic>
              <a:graphicData uri="http://schemas.openxmlformats.org/drawingml/2006/picture">
                <pic:pic>
                  <pic:nvPicPr>
                    <pic:cNvPr id="0" name="equation-8.png"/>
                    <pic:cNvPicPr/>
                  </pic:nvPicPr>
                  <pic:blipFill>
                    <a:blip r:embed="rId19"/>
                    <a:stretch>
                      <a:fillRect/>
                    </a:stretch>
                  </pic:blipFill>
                  <pic:spPr>
                    <a:xfrm>
                      <a:off x="0" y="0"/>
                      <a:ext cx="4302633" cy="246616"/>
                    </a:xfrm>
                    <a:prstGeom prst="rect"/>
                  </pic:spPr>
                </pic:pic>
              </a:graphicData>
            </a:graphic>
          </wp:inline>
        </w:drawing>
      </w:r>
      <w:r>
        <w:tab/>
        <w:t>(8)</w:t>
      </w:r>
    </w:p>
    <w:p>
      <w:pPr>
        <w:jc w:val="both"/>
      </w:pPr>
      <w:r>
        <w:t xml:space="preserve">The forecast state </w:t>
      </w:r>
      <w:r>
        <w:rPr>
          <w:i/>
        </w:rPr>
        <w:t>x</w:t>
      </w:r>
      <w:r>
        <w:rPr>
          <w:vertAlign w:val="superscript"/>
        </w:rPr>
        <w:t>f</w:t>
      </w:r>
      <w:r>
        <w:t xml:space="preserve"> is corrected using the observation innovation, forecast covariance </w:t>
      </w:r>
      <w:r>
        <w:rPr>
          <w:i/>
        </w:rPr>
        <w:t>P</w:t>
      </w:r>
      <w:r>
        <w:rPr>
          <w:vertAlign w:val="superscript"/>
        </w:rPr>
        <w:t>f</w:t>
      </w:r>
      <w:r>
        <w:t>, and observation-error covariance R; G is the gain. In an ensemble implementation, covariance is estimated from an ensemble, with further choices needed for nonlinear operators and sampling error. This equation illustrates state updating, not an assurance that all soil-water distributions are Gaussian.</w:t>
      </w:r>
    </w:p>
    <w:p>
      <w:pPr>
        <w:jc w:val="both"/>
      </w:pPr>
      <w:r>
        <w:t>The proposed operational workflow assimilates quality-controlled observations, forecasts several weather scenarios, and records the uncertainty of root-zone depletion. It also logs analysis increments: a state correction can introduce or remove apparent water without a corresponding physical flux. Such increments must be separated from physical water-balance closure. Frequent large corrections are a diagnostic signal to revisit parameters, boundary conditions, sensor bias, or model structure rather than evidence that the underlying model is adequate.</w:t>
      </w:r>
    </w:p>
    <w:p>
      <w:pPr>
        <w:pStyle w:val="Heading1"/>
      </w:pPr>
      <w:r>
        <w:t>6 Physics-Informed Learning</w:t>
      </w:r>
    </w:p>
    <w:p>
      <w:pPr>
        <w:pStyle w:val="Heading2"/>
      </w:pPr>
      <w:r>
        <w:t>6.1 Embedding Physical Constraints</w:t>
      </w:r>
    </w:p>
    <w:p>
      <w:pPr>
        <w:jc w:val="both"/>
      </w:pPr>
      <w:r>
        <w:t>Physics-informed neural networks (PINNs) combine observations with differential-equation residuals during training [13]. The wider physics-informed machine-learning framework also includes architectural constraints and hybrid modelling [14]. For a network estimating pressure head, the Richards residual can be defined as:</w:t>
      </w:r>
    </w:p>
    <w:p>
      <w:pPr>
        <w:tabs>
          <w:tab w:pos="4608" w:val="center"/>
          <w:tab w:pos="9792" w:val="right"/>
        </w:tabs>
        <w:spacing w:before="100" w:after="160"/>
      </w:pPr>
      <w:r>
        <w:tab/>
      </w:r>
      <w:r>
        <w:drawing>
          <wp:inline xmlns:a="http://schemas.openxmlformats.org/drawingml/2006/main" xmlns:pic="http://schemas.openxmlformats.org/drawingml/2006/picture">
            <wp:extent cx="3207258" cy="303655"/>
            <wp:docPr id="10" name="Picture 10" descr="Equation 9: r_f(z,t)=\partial_t\theta(\hat h)-\partial_z\left[K(\hat h)(\partial_z\hat h+1)\right]+S_r."/>
            <wp:cNvGraphicFramePr>
              <a:graphicFrameLocks noChangeAspect="1"/>
            </wp:cNvGraphicFramePr>
            <a:graphic>
              <a:graphicData uri="http://schemas.openxmlformats.org/drawingml/2006/picture">
                <pic:pic>
                  <pic:nvPicPr>
                    <pic:cNvPr id="0" name="equation-9.png"/>
                    <pic:cNvPicPr/>
                  </pic:nvPicPr>
                  <pic:blipFill>
                    <a:blip r:embed="rId20"/>
                    <a:stretch>
                      <a:fillRect/>
                    </a:stretch>
                  </pic:blipFill>
                  <pic:spPr>
                    <a:xfrm>
                      <a:off x="0" y="0"/>
                      <a:ext cx="3207258" cy="303655"/>
                    </a:xfrm>
                    <a:prstGeom prst="rect"/>
                  </pic:spPr>
                </pic:pic>
              </a:graphicData>
            </a:graphic>
          </wp:inline>
        </w:drawing>
      </w:r>
      <w:r>
        <w:tab/>
        <w:t>(9)</w:t>
      </w:r>
    </w:p>
    <w:p>
      <w:pPr>
        <w:jc w:val="both"/>
      </w:pPr>
      <w:r>
        <w:t>A suitable training objective distinguishes data, governing physics, initial conditions, boundary conditions, and parameter regularisation:</w:t>
      </w:r>
    </w:p>
    <w:p>
      <w:pPr>
        <w:tabs>
          <w:tab w:pos="4608" w:val="center"/>
          <w:tab w:pos="9792" w:val="right"/>
        </w:tabs>
        <w:spacing w:before="100" w:after="160"/>
      </w:pPr>
      <w:r>
        <w:tab/>
      </w:r>
      <w:r>
        <w:drawing>
          <wp:inline xmlns:a="http://schemas.openxmlformats.org/drawingml/2006/main" xmlns:pic="http://schemas.openxmlformats.org/drawingml/2006/picture">
            <wp:extent cx="3189732" cy="169177"/>
            <wp:docPr id="11" name="Picture 11" descr="Equation 10: \mathcal L=\lambda_d\mathcal L_d+\lambda_f\mathcal L_f+\lambda_{ic}\mathcal L_{ic}+\lambda_{bc}\mathcal L_{bc}+\lambda_p\mathcal L_p."/>
            <wp:cNvGraphicFramePr>
              <a:graphicFrameLocks noChangeAspect="1"/>
            </wp:cNvGraphicFramePr>
            <a:graphic>
              <a:graphicData uri="http://schemas.openxmlformats.org/drawingml/2006/picture">
                <pic:pic>
                  <pic:nvPicPr>
                    <pic:cNvPr id="0" name="equation-10.png"/>
                    <pic:cNvPicPr/>
                  </pic:nvPicPr>
                  <pic:blipFill>
                    <a:blip r:embed="rId21"/>
                    <a:stretch>
                      <a:fillRect/>
                    </a:stretch>
                  </pic:blipFill>
                  <pic:spPr>
                    <a:xfrm>
                      <a:off x="0" y="0"/>
                      <a:ext cx="3189732" cy="169177"/>
                    </a:xfrm>
                    <a:prstGeom prst="rect"/>
                  </pic:spPr>
                </pic:pic>
              </a:graphicData>
            </a:graphic>
          </wp:inline>
        </w:drawing>
      </w:r>
      <w:r>
        <w:tab/>
        <w:t>(10)</w:t>
      </w:r>
    </w:p>
    <w:p>
      <w:pPr>
        <w:jc w:val="both"/>
      </w:pPr>
      <w:r>
        <w:t>Data loss compares predicted observables with measurements; physics loss evaluates the residual at collocation points. The remaining terms constrain initial and boundary behaviour and admissible parameters. Automatic differentiation supplies the derivatives. Terms should be nondimensionalised or scaled before their weights are chosen, because a numerical balance among incompatible units has no physical interpretation. Joint estimation of network weights and hydraulic parameters is possible, but adding a physical residual does not create information that the measurements cannot identify.</w:t>
      </w:r>
    </w:p>
    <w:p>
      <w:pPr>
        <w:jc w:val="both"/>
      </w:pPr>
      <w:r>
        <w:t>Bandai and Ghezzehei [15] investigate inverse estimation of constitutive relationships and soil-water flux from moisture measurements using monotonicity constraints. Their subsequent work [16] evaluates forward and inverse Richards modelling, including domain decomposition for soils with discontinuous hydraulic conductivity. Its comparisons with analytical and conventional numerical solutions establish modelling evidence, not a field-tested claim of irrigation savings. The reported sensitivity to initialisation and computational cost is important when considering online use.</w:t>
      </w:r>
    </w:p>
    <w:p>
      <w:pPr>
        <w:pStyle w:val="Heading2"/>
      </w:pPr>
      <w:r>
        <w:t>6.2 Failure Modes and Hybrid Alternatives</w:t>
      </w:r>
    </w:p>
    <w:p>
      <w:pPr>
        <w:jc w:val="both"/>
      </w:pPr>
      <w:r>
        <w:t>PINNs should not be assumed to outperform established numerical solvers. Krishnapriyan et al. [17] demonstrate optimisation difficulties for representative differential equations as problem complexity increases. A small training loss also does not guarantee accurate extrapolation or exact integral conservation. In a layered soil, physical continuity conditions for pressure and flux require explicit attention; one smooth network can be an unsuitable representation of discontinuous material properties.</w:t>
      </w:r>
    </w:p>
    <w:p>
      <w:pPr>
        <w:jc w:val="both"/>
      </w:pPr>
      <w:r>
        <w:t>For agricultural deployment, the proposed comparison should include a calibrated conventional solver, a purely data-driven predictor, and a hybrid alternative. A PINN may be useful for inverse estimation, while a conservative simulator remains responsible for water accounting. Alternatively, a trained surrogate can accelerate repeated predictions inside a controller. Offline training time, online inference time, retraining frequency, and error under unfamiliar weather should be reported separately. These costs determine whether computational acceleration is real for the complete workflow.</w:t>
      </w:r>
    </w:p>
    <w:p>
      <w:pPr>
        <w:jc w:val="both"/>
      </w:pPr>
      <w:r>
        <w:t>The strongest candidate is therefore not necessarily an end-to-end PINN. A hybrid may use physical storage dynamics, learned forecast corrections, and bounded residual terms. Any learned correction should be checked for long-term drift and changes in mass balance. Physics supplies a useful constraint, but it can also encode an incomplete model of the field. Detecting that incompleteness remains a necessary part of model validation.</w:t>
      </w:r>
    </w:p>
    <w:p>
      <w:pPr>
        <w:pStyle w:val="Heading1"/>
      </w:pPr>
      <w:r>
        <w:t>7 Applications and the Strength of Current Evidence</w:t>
      </w:r>
    </w:p>
    <w:p>
      <w:pPr>
        <w:jc w:val="both"/>
      </w:pPr>
      <w:r>
        <w:t>Table 1 separates representative contributions by their evidence and unresolved implications. It is a purposive comparison, not a ranking or a complete catalogue. Across these studies, the distinction between a model that predicts, a platform that integrates, and a system that improves management is central.</w:t>
      </w:r>
    </w:p>
    <w:tbl>
      <w:tblPr>
        <w:tblW w:type="auto" w:w="0"/>
        <w:jc w:val="center"/>
        <w:tblLayout w:type="fixed"/>
        <w:tblLook w:firstColumn="1" w:firstRow="1" w:lastColumn="0" w:lastRow="0" w:noHBand="0" w:noVBand="1" w:val="04A0"/>
      </w:tblPr>
      <w:tblGrid>
        <w:gridCol w:w="1901"/>
        <w:gridCol w:w="2189"/>
        <w:gridCol w:w="2851"/>
        <w:gridCol w:w="2851"/>
      </w:tblGrid>
      <w:tr>
        <w:trPr>
          <w:tblHeader/>
          <w:cantSplit/>
        </w:trPr>
        <w:tc>
          <w:tcPr>
            <w:tcW w:type="dxa" w:w="190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8ECEE"/>
          </w:tcPr>
          <w:p>
            <w:pPr>
              <w:keepNext w:val="0"/>
              <w:spacing w:after="0" w:line="252" w:lineRule="auto"/>
            </w:pPr>
            <w:r>
              <w:rPr>
                <w:rFonts w:ascii="Times New Roman" w:hAnsi="Times New Roman"/>
                <w:b/>
                <w:sz w:val="19"/>
              </w:rPr>
              <w:t>Study focus</w:t>
            </w:r>
          </w:p>
        </w:tc>
        <w:tc>
          <w:tcPr>
            <w:tcW w:type="dxa" w:w="2189"/>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8ECEE"/>
          </w:tcPr>
          <w:p>
            <w:pPr>
              <w:keepNext w:val="0"/>
              <w:spacing w:after="0" w:line="252" w:lineRule="auto"/>
            </w:pPr>
            <w:r>
              <w:rPr>
                <w:rFonts w:ascii="Times New Roman" w:hAnsi="Times New Roman"/>
                <w:b/>
                <w:sz w:val="19"/>
              </w:rPr>
              <w:t>Evidence level</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8ECEE"/>
          </w:tcPr>
          <w:p>
            <w:pPr>
              <w:keepNext w:val="0"/>
              <w:spacing w:after="0" w:line="252" w:lineRule="auto"/>
            </w:pPr>
            <w:r>
              <w:rPr>
                <w:rFonts w:ascii="Times New Roman" w:hAnsi="Times New Roman"/>
                <w:b/>
                <w:sz w:val="19"/>
              </w:rPr>
              <w:t>Contribution</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8ECEE"/>
          </w:tcPr>
          <w:p>
            <w:pPr>
              <w:keepNext w:val="0"/>
              <w:spacing w:after="0" w:line="252" w:lineRule="auto"/>
            </w:pPr>
            <w:r>
              <w:rPr>
                <w:rFonts w:ascii="Times New Roman" w:hAnsi="Times New Roman"/>
                <w:b/>
                <w:sz w:val="19"/>
              </w:rPr>
              <w:t>Limit of inference</w:t>
            </w:r>
          </w:p>
        </w:tc>
      </w:tr>
      <w:tr>
        <w:trPr>
          <w:cantSplit/>
        </w:trPr>
        <w:tc>
          <w:tcPr>
            <w:tcW w:type="dxa" w:w="190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Architecture and adoption [1-3]</w:t>
            </w:r>
          </w:p>
        </w:tc>
        <w:tc>
          <w:tcPr>
            <w:tcW w:type="dxa" w:w="2189"/>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Conceptual synthesis and reviews</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Management loops and integration pathways</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Not a controlled estimate of water savings</w:t>
            </w:r>
          </w:p>
        </w:tc>
      </w:tr>
      <w:tr>
        <w:trPr>
          <w:cantSplit/>
        </w:trPr>
        <w:tc>
          <w:tcPr>
            <w:tcW w:type="dxa" w:w="190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Interoperability [4]</w:t>
            </w:r>
          </w:p>
        </w:tc>
        <w:tc>
          <w:tcPr>
            <w:tcW w:type="dxa" w:w="2189"/>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Systematic review by the cited authors</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Semantics and cross-asset integration gaps</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A review-level finding, not a deployment test</w:t>
            </w:r>
          </w:p>
        </w:tc>
      </w:tr>
      <w:tr>
        <w:trPr>
          <w:cantSplit/>
        </w:trPr>
        <w:tc>
          <w:tcPr>
            <w:tcW w:type="dxa" w:w="190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Soil-water PINNs [15,16]</w:t>
            </w:r>
          </w:p>
        </w:tc>
        <w:tc>
          <w:tcPr>
            <w:tcW w:type="dxa" w:w="2189"/>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Inverse modelling and numerical validation</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Hydraulic inference and layered-soil modelling</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Does not demonstrate seasonal farm benefits</w:t>
            </w:r>
          </w:p>
        </w:tc>
      </w:tr>
      <w:tr>
        <w:trPr>
          <w:cantSplit/>
        </w:trPr>
        <w:tc>
          <w:tcPr>
            <w:tcW w:type="dxa" w:w="190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Irrigation control [18]</w:t>
            </w:r>
          </w:p>
        </w:tc>
        <w:tc>
          <w:tcPr>
            <w:tcW w:type="dxa" w:w="2189"/>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Numerical control study; preprint</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Surrogate prediction and zone control</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Requires independent field validation</w:t>
            </w:r>
          </w:p>
        </w:tc>
      </w:tr>
      <w:tr>
        <w:trPr>
          <w:cantSplit/>
        </w:trPr>
        <w:tc>
          <w:tcPr>
            <w:tcW w:type="dxa" w:w="190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Water-salt management [19]</w:t>
            </w:r>
          </w:p>
        </w:tc>
        <w:tc>
          <w:tcPr>
            <w:tcW w:type="dxa" w:w="2189"/>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Reported physical irrigation-drainage deployment</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Monitoring, forecasting, and operational integration</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Site-specific and multi-component evidence</w:t>
            </w:r>
          </w:p>
        </w:tc>
      </w:tr>
      <w:tr>
        <w:trPr>
          <w:cantSplit/>
        </w:trPr>
        <w:tc>
          <w:tcPr>
            <w:tcW w:type="dxa" w:w="190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spacing w:after="0" w:line="252" w:lineRule="auto"/>
            </w:pPr>
            <w:r>
              <w:rPr>
                <w:rFonts w:ascii="Times New Roman" w:hAnsi="Times New Roman"/>
                <w:b w:val="0"/>
                <w:sz w:val="19"/>
              </w:rPr>
              <w:t>Greenhouse management [20]</w:t>
            </w:r>
          </w:p>
        </w:tc>
        <w:tc>
          <w:tcPr>
            <w:tcW w:type="dxa" w:w="2189"/>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spacing w:after="0" w:line="252" w:lineRule="auto"/>
            </w:pPr>
            <w:r>
              <w:rPr>
                <w:rFonts w:ascii="Times New Roman" w:hAnsi="Times New Roman"/>
                <w:b w:val="0"/>
                <w:sz w:val="19"/>
              </w:rPr>
              <w:t>Greenhouse case study</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spacing w:after="0" w:line="252" w:lineRule="auto"/>
            </w:pPr>
            <w:r>
              <w:rPr>
                <w:rFonts w:ascii="Times New Roman" w:hAnsi="Times New Roman"/>
                <w:b w:val="0"/>
                <w:sz w:val="19"/>
              </w:rPr>
              <w:t>Canopy and environmental model integration</w:t>
            </w:r>
          </w:p>
        </w:tc>
        <w:tc>
          <w:tcPr>
            <w:tcW w:type="dxa" w:w="2851"/>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spacing w:after="0" w:line="252" w:lineRule="auto"/>
            </w:pPr>
            <w:r>
              <w:rPr>
                <w:rFonts w:ascii="Times New Roman" w:hAnsi="Times New Roman"/>
                <w:b w:val="0"/>
                <w:sz w:val="19"/>
              </w:rPr>
              <w:t>Transfer to open fields is not established</w:t>
            </w:r>
          </w:p>
        </w:tc>
      </w:tr>
    </w:tbl>
    <w:p>
      <w:pPr>
        <w:pStyle w:val="Caption"/>
      </w:pPr>
      <w:r>
        <w:t>Table 1. Representative literature and the limits of inference. Review articles supply context; numerical studies and physical deployments answer different validation questions.</w:t>
      </w:r>
    </w:p>
    <w:p>
      <w:pPr>
        <w:jc w:val="both"/>
      </w:pPr>
      <w:r>
        <w:t>Precision irrigation is the most direct application of the technical framework developed here. Huang et al. [18] describe a neural-network approximation used in zone model predictive control to keep root-zone soil moisture within a target region while reducing irrigation. Their preprint supports the relevance of computationally tractable prediction and control; its numerical results should not be presented as established field performance.</w:t>
      </w:r>
    </w:p>
    <w:p>
      <w:pPr>
        <w:jc w:val="both"/>
      </w:pPr>
      <w:r>
        <w:t>Qin et al. [19] report a digital-twin-enabled irrigation-drainage system for saline agroecosystems that combines environmental monitoring, forecasting, and automated control. The reported setting demonstrates why moisture alone may be insufficient: irrigation decisions can also affect salt redistribution and groundwater interactions. This review does not extract a universal water-saving percentage from that platform. Transfer to another crop or soil requires a new assessment, and improvements in a multi-component system cannot automatically be attributed to the digital twin or AI model in isolation.</w:t>
      </w:r>
    </w:p>
    <w:p>
      <w:pPr>
        <w:jc w:val="both"/>
      </w:pPr>
      <w:r>
        <w:t>Greenhouse management extends the same reasoning to energy and microclimate. Xu et al. [20] describe a digital-twin approach using functional-structural plant modelling in a Beijing solar greenhouse case study. That modelling perspective links canopy representation with environmental management, but conclusions from a bounded greenhouse setting should not be transferred directly to open fields. Temperature, light, and water decisions can interact, so an irrigation-only objective may overlook energy or crop-quality consequences.</w:t>
      </w:r>
    </w:p>
    <w:p>
      <w:pPr>
        <w:jc w:val="both"/>
      </w:pPr>
      <w:r>
        <w:t>At the broader smart-farming level, the reviews cover crop monitoring, livestock, machinery, and other management contexts [2,3]. The equations in this paper are not a universal model for those applications. What transfers is the evaluation logic: define the physical entity, specify the observation and feedback pathways, validate the model at the relevant scale, and measure the consequence of the decision. Extending the irrigation framework to livestock or machinery would require different governing models and domain-specific outcomes.</w:t>
      </w:r>
    </w:p>
    <w:p>
      <w:pPr>
        <w:pStyle w:val="Heading1"/>
      </w:pPr>
      <w:r>
        <w:t>8 From Model Predictions to Measurable Decisions</w:t>
      </w:r>
    </w:p>
    <w:p>
      <w:pPr>
        <w:pStyle w:val="Heading2"/>
      </w:pPr>
      <w:r>
        <w:t>8.1 Constrained Irrigation Optimisation</w:t>
      </w:r>
    </w:p>
    <w:p>
      <w:pPr>
        <w:jc w:val="both"/>
      </w:pPr>
      <w:r>
        <w:t>The following model predictive control formulation is proposed as an organising example, informed by the control setting in [18]. At each decision time, estimate the current state, forecast over H intervals, optimise an irrigation sequence, execute only its first action, and repeat after new observations. A dimensionally normalised objective is:</w:t>
      </w:r>
    </w:p>
    <w:p>
      <w:pPr>
        <w:tabs>
          <w:tab w:pos="4608" w:val="center"/>
          <w:tab w:pos="9792" w:val="right"/>
        </w:tabs>
        <w:spacing w:before="100" w:after="160"/>
      </w:pPr>
      <w:r>
        <w:tab/>
      </w:r>
      <w:r>
        <w:drawing>
          <wp:inline xmlns:a="http://schemas.openxmlformats.org/drawingml/2006/main" xmlns:pic="http://schemas.openxmlformats.org/drawingml/2006/picture">
            <wp:extent cx="3417570" cy="507706"/>
            <wp:docPr id="12" name="Picture 12" descr="Equation 11: \min_{u_{0:H-1}}\sum_{k=1}^{H}\left[a\left(\frac{u_{k-1}}{U_0}\right)^2+b\left(\frac{s_k}{S_0}\right)^2+c\left(\frac{d_k}{D_0}\right)^2\right]."/>
            <wp:cNvGraphicFramePr>
              <a:graphicFrameLocks noChangeAspect="1"/>
            </wp:cNvGraphicFramePr>
            <a:graphic>
              <a:graphicData uri="http://schemas.openxmlformats.org/drawingml/2006/picture">
                <pic:pic>
                  <pic:nvPicPr>
                    <pic:cNvPr id="0" name="equation-11.png"/>
                    <pic:cNvPicPr/>
                  </pic:nvPicPr>
                  <pic:blipFill>
                    <a:blip r:embed="rId22"/>
                    <a:stretch>
                      <a:fillRect/>
                    </a:stretch>
                  </pic:blipFill>
                  <pic:spPr>
                    <a:xfrm>
                      <a:off x="0" y="0"/>
                      <a:ext cx="3417570" cy="507706"/>
                    </a:xfrm>
                    <a:prstGeom prst="rect"/>
                  </pic:spPr>
                </pic:pic>
              </a:graphicData>
            </a:graphic>
          </wp:inline>
        </w:drawing>
      </w:r>
      <w:r>
        <w:tab/>
        <w:t>(11)</w:t>
      </w:r>
    </w:p>
    <w:p>
      <w:pPr>
        <w:jc w:val="both"/>
      </w:pPr>
      <w:r>
        <w:t xml:space="preserve">Here u is gross irrigation depth, s is depletion above the chosen stress threshold, and d is deep drainage; </w:t>
      </w:r>
      <w:r>
        <w:rPr>
          <w:i/>
        </w:rPr>
        <w:t>U</w:t>
      </w:r>
      <w:r>
        <w:rPr>
          <w:vertAlign w:val="subscript"/>
        </w:rPr>
        <w:t>0</w:t>
      </w:r>
      <w:r>
        <w:t xml:space="preserve">, </w:t>
      </w:r>
      <w:r>
        <w:rPr>
          <w:i/>
        </w:rPr>
        <w:t>S</w:t>
      </w:r>
      <w:r>
        <w:rPr>
          <w:vertAlign w:val="subscript"/>
        </w:rPr>
        <w:t>0</w:t>
      </w:r>
      <w:r>
        <w:t xml:space="preserve">, and </w:t>
      </w:r>
      <w:r>
        <w:rPr>
          <w:i/>
        </w:rPr>
        <w:t>D</w:t>
      </w:r>
      <w:r>
        <w:rPr>
          <w:vertAlign w:val="subscript"/>
        </w:rPr>
        <w:t>0</w:t>
      </w:r>
      <w:r>
        <w:t xml:space="preserve"> are positive reference depths. The weights a, b, and c express management priorities rather than universal constants. Constraints include available water, pump capacity, permissible operating windows, soil infiltration limits, and maximum allowable crop stress. Saline soils may require planned leaching, so penalising all drainage would be inappropriate. A crop- and site-specific formulation must distinguish beneficial leaching from avoidable losses.</w:t>
      </w:r>
    </w:p>
    <w:p>
      <w:pPr>
        <w:jc w:val="both"/>
      </w:pPr>
      <w:r>
        <w:t>Weather ensembles and parameter ensembles can reveal whether a recommendation is sensitive to uncertainty. The proposed controller should report that sensitivity and defer to a predefined fallback when its operating conditions are not met. Choosing among uncertain actions requires an explicit risk preference; widening an uncertainty interval without changing the decision rule is not, by itself, risk-aware management.</w:t>
      </w:r>
    </w:p>
    <w:p>
      <w:pPr>
        <w:pStyle w:val="Heading2"/>
      </w:pPr>
      <w:r>
        <w:t>8.2 Illustrative Calculation</w:t>
      </w:r>
    </w:p>
    <w:p>
      <w:pPr>
        <w:jc w:val="both"/>
      </w:pPr>
      <w:r>
        <w:t>Consider an assumed one-hectare field with a uniform 0.40 m root zone, field-capacity water content of 0.30, wilting-point water content of 0.15, and allowable depletion fraction of 0.50. Equations (2) and (3) give total available water of 60 mm and readily available water of 30 mm. A mean water content of 0.24 corresponds to depletion of 24 mm.</w:t>
      </w:r>
    </w:p>
    <w:p>
      <w:pPr>
        <w:jc w:val="both"/>
      </w:pPr>
      <w:r>
        <w:t>If the next interval removes 6 mm by evapotranspiration, with no rainfall, capillary rise, runoff, or drainage, depletion reaches 30 mm. Suppose irrigation is then applied to reduce depletion to a chosen target of 12 mm. The required net addition is 18 mm. With an assumed 0.90 fraction of gross irrigation entering the control volume, gross application is 20 mm. The volume conversion is:</w:t>
      </w:r>
    </w:p>
    <w:p>
      <w:pPr>
        <w:tabs>
          <w:tab w:pos="4608" w:val="center"/>
          <w:tab w:pos="9792" w:val="right"/>
        </w:tabs>
        <w:spacing w:before="100" w:after="160"/>
      </w:pPr>
      <w:r>
        <w:tab/>
      </w:r>
      <w:r>
        <w:drawing>
          <wp:inline xmlns:a="http://schemas.openxmlformats.org/drawingml/2006/main" xmlns:pic="http://schemas.openxmlformats.org/drawingml/2006/picture">
            <wp:extent cx="5108829" cy="361628"/>
            <wp:docPr id="13" name="Picture 13" descr="Equation 12: I_g=\frac{30-12}{0.90}=20\ \mathrm{mm},\qquad V=\frac{I_g}{1000}A=200\ \mathrm{m^3},\quad A=10{,}000\ \mathrm{m^2}."/>
            <wp:cNvGraphicFramePr>
              <a:graphicFrameLocks noChangeAspect="1"/>
            </wp:cNvGraphicFramePr>
            <a:graphic>
              <a:graphicData uri="http://schemas.openxmlformats.org/drawingml/2006/picture">
                <pic:pic>
                  <pic:nvPicPr>
                    <pic:cNvPr id="0" name="equation-12.png"/>
                    <pic:cNvPicPr/>
                  </pic:nvPicPr>
                  <pic:blipFill>
                    <a:blip r:embed="rId23"/>
                    <a:stretch>
                      <a:fillRect/>
                    </a:stretch>
                  </pic:blipFill>
                  <pic:spPr>
                    <a:xfrm>
                      <a:off x="0" y="0"/>
                      <a:ext cx="5108829" cy="361628"/>
                    </a:xfrm>
                    <a:prstGeom prst="rect"/>
                  </pic:spPr>
                </pic:pic>
              </a:graphicData>
            </a:graphic>
          </wp:inline>
        </w:drawing>
      </w:r>
      <w:r>
        <w:tab/>
        <w:t>(12)</w:t>
      </w:r>
    </w:p>
    <w:p>
      <w:pPr>
        <w:jc w:val="both"/>
      </w:pPr>
      <w:r>
        <w:t>These are illustrative assumptions, not observed crop parameters or an optimised recommendation. The 12 mm target is selected solely to demonstrate the calculation. Actual timing must respect infiltration, equipment capacity, weather forecasts, and the interval during which crop stress might develop. An uncertainty of 0.02 in mean volumetric water content corresponds to 8 mm of root-zone storage in this example. That sensitivity shows why a precise-looking recommendation can be poorly supported even when average predictive performance appears acceptable.</w:t>
      </w:r>
    </w:p>
    <w:p>
      <w:pPr>
        <w:pStyle w:val="Heading2"/>
      </w:pPr>
      <w:r>
        <w:t>8.3 Metrics and an Evaluation Protocol</w:t>
      </w:r>
    </w:p>
    <w:p>
      <w:pPr>
        <w:jc w:val="both"/>
      </w:pPr>
      <w:r>
        <w:t>Table 2 proposes outcome definitions that keep modelling performance distinct from management benefit. In particular, irrigation withdrawal or application is not identical to consumptive water use. Reduced pumping can coexist with unchanged evapotranspiration, and altered drainage can affect downstream availability. A study must identify the water-accounting boundary before claiming savings.</w:t>
      </w:r>
    </w:p>
    <w:tbl>
      <w:tblPr>
        <w:tblW w:type="auto" w:w="0"/>
        <w:jc w:val="center"/>
        <w:tblLayout w:type="fixed"/>
        <w:tblLook w:firstColumn="1" w:firstRow="1" w:lastColumn="0" w:lastRow="0" w:noHBand="0" w:noVBand="1" w:val="04A0"/>
      </w:tblPr>
      <w:tblGrid>
        <w:gridCol w:w="1872"/>
        <w:gridCol w:w="3888"/>
        <w:gridCol w:w="4032"/>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8ECEE"/>
          </w:tcPr>
          <w:p>
            <w:pPr>
              <w:keepNext w:val="0"/>
              <w:spacing w:after="0" w:line="252" w:lineRule="auto"/>
            </w:pPr>
            <w:r>
              <w:rPr>
                <w:rFonts w:ascii="Times New Roman" w:hAnsi="Times New Roman"/>
                <w:b/>
                <w:sz w:val="19"/>
              </w:rPr>
              <w:t>Outcome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8ECEE"/>
          </w:tcPr>
          <w:p>
            <w:pPr>
              <w:keepNext w:val="0"/>
              <w:spacing w:after="0" w:line="252" w:lineRule="auto"/>
            </w:pPr>
            <w:r>
              <w:rPr>
                <w:rFonts w:ascii="Times New Roman" w:hAnsi="Times New Roman"/>
                <w:b/>
                <w:sz w:val="19"/>
              </w:rPr>
              <w:t>Metric or unit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8ECEE"/>
          </w:tcPr>
          <w:p>
            <w:pPr>
              <w:keepNext w:val="0"/>
              <w:spacing w:after="0" w:line="252" w:lineRule="auto"/>
            </w:pPr>
            <w:r>
              <w:rPr>
                <w:rFonts w:ascii="Times New Roman" w:hAnsi="Times New Roman"/>
                <w:b/>
                <w:sz w:val="19"/>
              </w:rPr>
              <w:t>Interpretation requirement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Moisture prediction</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RMSE and bias in volumetric water content, by depth and horizon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Independent observations and event-level holdouts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State uncertainty</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Interval coverage and width; threshold exceedance reliability</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Coverage alone can reward uninformative intervals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Water accounting</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Storage change minus net physical inflow, in mm</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Report assimilation increments separately</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Irrigation delivery</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Metered gross depth (mm) and volume (m³)</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Define field area, meter location, and evaluation period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Consumptive use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Actual evapotranspiration (mm), measured or independently estimated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Do not equate it with water pumped or applied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Agronomic response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Marketable yield (kg/ha), quality, and stress exposure</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val="0"/>
              <w:spacing w:after="0" w:line="252" w:lineRule="auto"/>
            </w:pPr>
            <w:r>
              <w:rPr>
                <w:rFonts w:ascii="Times New Roman" w:hAnsi="Times New Roman"/>
                <w:b w:val="0"/>
                <w:sz w:val="19"/>
              </w:rPr>
              <w:t>Use an appropriate replicated comparator</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Water productivity</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Yield / applied irrigation, or yield / actual ET (kg/m³)</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line="252" w:lineRule="auto"/>
            </w:pPr>
            <w:r>
              <w:rPr>
                <w:rFonts w:ascii="Times New Roman" w:hAnsi="Times New Roman"/>
                <w:b w:val="0"/>
                <w:sz w:val="19"/>
              </w:rPr>
              <w:t>State the denominator; these are different measures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spacing w:after="0" w:line="252" w:lineRule="auto"/>
            </w:pPr>
            <w:r>
              <w:rPr>
                <w:rFonts w:ascii="Times New Roman" w:hAnsi="Times New Roman"/>
                <w:b w:val="0"/>
                <w:sz w:val="19"/>
              </w:rPr>
              <w:t>Operational value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spacing w:after="0" w:line="252" w:lineRule="auto"/>
            </w:pPr>
            <w:r>
              <w:rPr>
                <w:rFonts w:ascii="Times New Roman" w:hAnsi="Times New Roman"/>
                <w:b w:val="0"/>
                <w:sz w:val="19"/>
              </w:rPr>
              <w:t>Missed actions, uptime, costs, and operator effort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7F8F8"/>
          </w:tcPr>
          <w:p>
            <w:pPr>
              <w:keepNext/>
              <w:spacing w:after="0" w:line="252" w:lineRule="auto"/>
            </w:pPr>
            <w:r>
              <w:rPr>
                <w:rFonts w:ascii="Times New Roman" w:hAnsi="Times New Roman"/>
                <w:b w:val="0"/>
                <w:sz w:val="19"/>
              </w:rPr>
              <w:t>Include installation, maintenance, and failure recovery</w:t>
            </w:r>
          </w:p>
        </w:tc>
      </w:tr>
    </w:tbl>
    <w:p>
      <w:pPr>
        <w:pStyle w:val="Caption"/>
      </w:pPr>
      <w:r>
        <w:t>Table 2. Proposed minimum reporting set. Metrics should be accompanied by uncertainty, the measurement boundary, and the relevant comparison period.</w:t>
      </w:r>
    </w:p>
    <w:p>
      <w:pPr>
        <w:jc w:val="both"/>
      </w:pPr>
      <w:r>
        <w:t>The proposed validation sequence begins with retrospective model testing using event- or season-level holdouts. It proceeds to prospective shadow operation, where recommendations are recorded but not executed, and then to supervised field trials. Comparators should include the current farm schedule and a credible simple baseline, such as a calibrated depletion-threshold controller. Ablations should separate the effects of new sensors, assimilation, learned components, and optimisation.</w:t>
      </w:r>
    </w:p>
    <w:p>
      <w:pPr>
        <w:jc w:val="both"/>
      </w:pPr>
      <w:r>
        <w:t>Where feasible, field trials should allocate treatments across independent plots or irrigation zones with replication, account for spatial variation, and cover more than one season. Statistical independence belongs to the experimental unit, not to each sensor timestamp. Report seasonal applied volume, marketable yield or quality, stress exposure, failure events, maintenance effort, and uncertainty in treatment differences. Yield non-inferiority margins and primary outcomes should be specified before examining results. No trial or power calculation is claimed in this review; these are requirements for subsequent empirical work.</w:t>
      </w:r>
    </w:p>
    <w:p>
      <w:pPr>
        <w:pStyle w:val="Heading1"/>
      </w:pPr>
      <w:r>
        <w:t>9 Research Directions and Deployment Constraints</w:t>
      </w:r>
    </w:p>
    <w:p>
      <w:pPr>
        <w:jc w:val="both"/>
      </w:pPr>
      <w:r>
        <w:t>Decision-aware calibration is a priority. Minimising average moisture error can give too little weight to mistakes near an irrigation threshold. Future studies should evaluate whether parameters calibrated to event timing, depletion exceedance, or action regret improve decisions while retaining physical plausibility. The comparison must be made on held-out events rather than by selecting a favourable objective retrospectively.</w:t>
      </w:r>
    </w:p>
    <w:p>
      <w:pPr>
        <w:jc w:val="both"/>
      </w:pPr>
      <w:r>
        <w:t>Identifiability-aware sensing is equally important. Additional sensors should be evaluated for the uncertainty or decision ambiguity they remove. A flow meter, water-table observation, or extra measurement depth may be more informative than another surface probe. Active sensing and experimental irrigation pulses are promising research designs, but they require agronomic safeguards and a quantified value-of-information analysis.</w:t>
      </w:r>
    </w:p>
    <w:p>
      <w:pPr>
        <w:jc w:val="both"/>
      </w:pPr>
      <w:r>
        <w:t>Hybrid models need better conservation and uncertainty tests. A useful benchmark would contain known irrigation inputs, multiple soil depths, hydraulic measurements, weather, and crop observations, with entire fields and seasons reserved for testing. It should assess water-balance residuals, interval calibration, inference cost, and decision outcomes together. This proposed benchmark would allow a PINN, a numerical solver, and a simpler balance model to be compared under the same information constraints.</w:t>
      </w:r>
    </w:p>
    <w:p>
      <w:pPr>
        <w:jc w:val="both"/>
      </w:pPr>
      <w:r>
        <w:t>Interoperability must include meaning, not only message transport. The fragmentation identified in [4] motivates portable descriptions of observation depth, management zones, crop stage, model parameters, and executed actions. Versioned data and model records should make it possible to reconstruct why a recommendation changed. A vendor-independent export of measurements and decisions is also important for continuity when equipment or software providers change.</w:t>
      </w:r>
    </w:p>
    <w:p>
      <w:pPr>
        <w:jc w:val="both"/>
      </w:pPr>
      <w:r>
        <w:t>Deployment research must address affordability and failure recovery. The relevant cost includes installation, replacement sensors, calibration visits, communications, computation, and operator time. A farmer should be able to understand the proposed action, override it, and see whether delivery matched the plan. Access control and authenticated commands are particularly important when the model can actuate pumps or valves. These are proposed operational requirements, not evidence that any reviewed platform already satisfies them.</w:t>
      </w:r>
    </w:p>
    <w:p>
      <w:pPr>
        <w:jc w:val="both"/>
      </w:pPr>
      <w:r>
        <w:t>Finally, transferability should be tested deliberately. A model validated in one soil, crop, or greenhouse may fail under another rooting pattern, salinity regime, irrigation method, or connectivity condition. Multi-season and multi-site evaluations should therefore distinguish parameters that transfer, parameters needing recalibration, and processes that require a different model. A defensible system should be able to decline an unsupported recommendation rather than conceal unfamiliar conditions behind a confident forecast.</w:t>
      </w:r>
    </w:p>
    <w:p>
      <w:pPr>
        <w:pStyle w:val="Heading1"/>
      </w:pPr>
      <w:r>
        <w:t>10 Conclusion</w:t>
      </w:r>
    </w:p>
    <w:p>
      <w:pPr>
        <w:jc w:val="both"/>
      </w:pPr>
      <w:r>
        <w:t>The convergence of AI and digital twins can support smart farming when observations, models, and decisions are connected through a verifiable physical loop. For precision irrigation, governing equations make storage and flux assumptions explicit; calibration links model parameters to local evidence; assimilation updates the estimated state; and physics-informed learning offers additional tools for constrained approximation and inverse modelling. None of these components independently establishes practical benefit.</w:t>
      </w:r>
    </w:p>
    <w:p>
      <w:pPr>
        <w:jc w:val="both"/>
      </w:pPr>
      <w:r>
        <w:t>The review argues for evaluating the full chain from soil-moisture estimation to irrigation execution and crop response. A convincing system must account for uncertainty, identify its limits of validity, and compare measured water and production outcomes against credible alternatives. PINNs deserve investigation within that chain, but not exemption from comparison with simpler models or conventional solvers. The proposed architecture and worked example provide a technical basis for subsequent research, while controlled field validation remains necessary before any claim of improved water consumption, yield, or economic return.</w:t>
      </w:r>
    </w:p>
    <w:p>
      <w:pPr>
        <w:pStyle w:val="Heading1"/>
      </w:pPr>
      <w:r>
        <w:t>Research Transparency</w:t>
      </w:r>
    </w:p>
    <w:p>
      <w:pPr>
        <w:jc w:val="both"/>
      </w:pPr>
      <w:r>
        <w:t>This manuscript is an AI-assisted review draft prepared for researcher review. It reports no new experiment, dataset, or measured treatment effect. The architecture, control formulation, and evaluation protocol are proposed synthesis; the numerical irrigation example is illustrative. The cited control preprint is identified separately from peer-reviewed sources. Before submission, the author should review the complete cited works, confirm the final scope and attribution, and adapt AI-use disclosure to the applicable institutional or journal policy.</w:t>
      </w:r>
    </w:p>
    <w:p>
      <w:pPr>
        <w:pStyle w:val="Heading1"/>
      </w:pPr>
      <w:r>
        <w:t>References</w:t>
      </w:r>
    </w:p>
    <w:p>
      <w:pPr>
        <w:keepLines/>
        <w:spacing w:after="140" w:line="252" w:lineRule="auto"/>
        <w:ind w:left="403" w:hanging="403"/>
      </w:pPr>
      <w:r>
        <w:rPr>
          <w:sz w:val="19"/>
        </w:rPr>
        <w:t xml:space="preserve">[1] Verdouw, C.; Tekinerdogan, B.; Beulens, A.; Wolfert, S. (2021). Digital twins in smart farming. Agricultural Systems, 189, 103046. </w:t>
      </w:r>
      <w:hyperlink r:id="rId24">
        <w:r>
          <w:rPr>
            <w:color w:val="25475A"/>
            <w:sz w:val="19"/>
          </w:rPr>
          <w:t>https://doi.org/10.1016/j.agsy.2020.103046</w:t>
        </w:r>
      </w:hyperlink>
    </w:p>
    <w:p>
      <w:pPr>
        <w:keepLines/>
        <w:spacing w:after="140" w:line="252" w:lineRule="auto"/>
        <w:ind w:left="403" w:hanging="403"/>
      </w:pPr>
      <w:r>
        <w:rPr>
          <w:sz w:val="19"/>
        </w:rPr>
        <w:t xml:space="preserve">[2] Pylianidis, C.; Osinga, S.; Athanasiadis, I. N. (2021). Introducing digital twins to agriculture. Computers and Electronics in Agriculture, 184, 105942. </w:t>
      </w:r>
      <w:hyperlink r:id="rId25">
        <w:r>
          <w:rPr>
            <w:color w:val="25475A"/>
            <w:sz w:val="19"/>
          </w:rPr>
          <w:t>https://doi.org/10.1016/j.compag.2020.105942</w:t>
        </w:r>
      </w:hyperlink>
    </w:p>
    <w:p>
      <w:pPr>
        <w:keepLines/>
        <w:spacing w:after="140" w:line="252" w:lineRule="auto"/>
        <w:ind w:left="403" w:hanging="403"/>
      </w:pPr>
      <w:r>
        <w:rPr>
          <w:sz w:val="19"/>
        </w:rPr>
        <w:t xml:space="preserve">[3] Purcell, W.; Neubauer, T. (2023). Digital Twins in Agriculture: A State-of-the-art review. Smart Agricultural Technology, 3, 100094. </w:t>
      </w:r>
      <w:hyperlink r:id="rId26">
        <w:r>
          <w:rPr>
            <w:color w:val="25475A"/>
            <w:sz w:val="19"/>
          </w:rPr>
          <w:t>https://doi.org/10.1016/j.atech.2022.100094</w:t>
        </w:r>
      </w:hyperlink>
    </w:p>
    <w:p>
      <w:pPr>
        <w:keepLines/>
        <w:spacing w:after="140" w:line="252" w:lineRule="auto"/>
        <w:ind w:left="403" w:hanging="403"/>
      </w:pPr>
      <w:r>
        <w:rPr>
          <w:sz w:val="19"/>
        </w:rPr>
        <w:t xml:space="preserve">[4] Morgan Pereira, P. H.; Costa Piazza, G.; Usman, K.; Santos Comelli da Silveira, L.; Cella Ceriotti, V.; de Souza Pazin, Y.; et al. (2026). Digital twins in agriculture: A systematic literature review on modeling, semantics, and interoperability. Smart Agricultural Technology, 14, 102283. </w:t>
      </w:r>
      <w:hyperlink r:id="rId27">
        <w:r>
          <w:rPr>
            <w:color w:val="25475A"/>
            <w:sz w:val="19"/>
          </w:rPr>
          <w:t>https://doi.org/10.1016/j.atech.2026.102283</w:t>
        </w:r>
      </w:hyperlink>
    </w:p>
    <w:p>
      <w:pPr>
        <w:keepLines/>
        <w:spacing w:after="140" w:line="252" w:lineRule="auto"/>
        <w:ind w:left="403" w:hanging="403"/>
      </w:pPr>
      <w:r>
        <w:rPr>
          <w:sz w:val="19"/>
        </w:rPr>
        <w:t xml:space="preserve">[5] Kritzinger, W.; Karner, M.; Traar, G.; Henjes, J.; Sihn, W. (2018). Digital Twin in manufacturing: A categorical literature review and classification. IFAC-PapersOnLine, 51(11), 1016-1022. </w:t>
      </w:r>
      <w:hyperlink r:id="rId28">
        <w:r>
          <w:rPr>
            <w:color w:val="25475A"/>
            <w:sz w:val="19"/>
          </w:rPr>
          <w:t>https://doi.org/10.1016/j.ifacol.2018.08.474</w:t>
        </w:r>
      </w:hyperlink>
    </w:p>
    <w:p>
      <w:pPr>
        <w:keepLines/>
        <w:spacing w:after="140" w:line="252" w:lineRule="auto"/>
        <w:ind w:left="403" w:hanging="403"/>
      </w:pPr>
      <w:r>
        <w:rPr>
          <w:sz w:val="19"/>
        </w:rPr>
        <w:t xml:space="preserve">[6] Allen, R. G.; Pereira, L. S.; Raes, D.; Smith, M. (1998). Crop evapotranspiration: Guidelines for computing crop water requirements. FAO Irrigation and Drainage Paper 56. Food and Agriculture Organization, Rome. </w:t>
      </w:r>
      <w:hyperlink r:id="rId29">
        <w:r>
          <w:rPr>
            <w:color w:val="25475A"/>
            <w:sz w:val="19"/>
          </w:rPr>
          <w:t>https://www.fao.org/4/x0490e/x0490e00.htm</w:t>
        </w:r>
      </w:hyperlink>
    </w:p>
    <w:p>
      <w:pPr>
        <w:keepLines/>
        <w:spacing w:after="140" w:line="252" w:lineRule="auto"/>
        <w:ind w:left="403" w:hanging="403"/>
      </w:pPr>
      <w:r>
        <w:rPr>
          <w:sz w:val="19"/>
        </w:rPr>
        <w:t xml:space="preserve">[7] Richards, L. A. (1931). Capillary conduction of liquids through porous mediums. Physics, 1(5), 318-333. </w:t>
      </w:r>
      <w:hyperlink r:id="rId30">
        <w:r>
          <w:rPr>
            <w:color w:val="25475A"/>
            <w:sz w:val="19"/>
          </w:rPr>
          <w:t>https://doi.org/10.1063/1.1745010</w:t>
        </w:r>
      </w:hyperlink>
    </w:p>
    <w:p>
      <w:pPr>
        <w:keepLines/>
        <w:spacing w:after="140" w:line="252" w:lineRule="auto"/>
        <w:ind w:left="403" w:hanging="403"/>
      </w:pPr>
      <w:r>
        <w:rPr>
          <w:sz w:val="19"/>
        </w:rPr>
        <w:t xml:space="preserve">[8] van Genuchten, M. T. (1980). A Closed-form Equation for Predicting the Hydraulic Conductivity of Unsaturated Soils. Soil Science Society of America Journal, 44(5), 892-898. </w:t>
      </w:r>
      <w:hyperlink r:id="rId31">
        <w:r>
          <w:rPr>
            <w:color w:val="25475A"/>
            <w:sz w:val="19"/>
          </w:rPr>
          <w:t>https://doi.org/10.2136/sssaj1980.03615995004400050002x</w:t>
        </w:r>
      </w:hyperlink>
    </w:p>
    <w:p>
      <w:pPr>
        <w:keepLines/>
        <w:spacing w:after="140" w:line="252" w:lineRule="auto"/>
        <w:ind w:left="403" w:hanging="403"/>
      </w:pPr>
      <w:r>
        <w:rPr>
          <w:sz w:val="19"/>
        </w:rPr>
        <w:t xml:space="preserve">[9] Mualem, Y. (1976). A new model for predicting the hydraulic conductivity of unsaturated porous media. Water Resources Research, 12(3), 513-522. </w:t>
      </w:r>
      <w:hyperlink r:id="rId32">
        <w:r>
          <w:rPr>
            <w:color w:val="25475A"/>
            <w:sz w:val="19"/>
          </w:rPr>
          <w:t>https://doi.org/10.1029/wr012i003p00513</w:t>
        </w:r>
      </w:hyperlink>
    </w:p>
    <w:p>
      <w:pPr>
        <w:keepLines/>
        <w:spacing w:after="140" w:line="252" w:lineRule="auto"/>
        <w:ind w:left="403" w:hanging="403"/>
      </w:pPr>
      <w:r>
        <w:rPr>
          <w:sz w:val="19"/>
        </w:rPr>
        <w:t xml:space="preserve">[10] Holzworth, D. P.; Huth, N. I.; deVoil, P. G.; Zurcher, E. J.; Herrmann, N. I.; McLean, G.; et al. (2014). APSIM - Evolution towards a new generation of agricultural systems simulation. Environmental Modelling &amp; Software, 62, 327-350. </w:t>
      </w:r>
      <w:hyperlink r:id="rId33">
        <w:r>
          <w:rPr>
            <w:color w:val="25475A"/>
            <w:sz w:val="19"/>
          </w:rPr>
          <w:t>https://doi.org/10.1016/j.envsoft.2014.07.009</w:t>
        </w:r>
      </w:hyperlink>
    </w:p>
    <w:p>
      <w:pPr>
        <w:keepLines/>
        <w:spacing w:after="140" w:line="252" w:lineRule="auto"/>
        <w:ind w:left="403" w:hanging="403"/>
      </w:pPr>
      <w:r>
        <w:rPr>
          <w:sz w:val="19"/>
        </w:rPr>
        <w:t xml:space="preserve">[11] Steduto, P.; Hsiao, T. C.; Raes, D.; Fereres, E. (2009). AquaCrop-The FAO Crop Model to Simulate Yield Response to Water: I. Concepts and Underlying Principles. Agronomy Journal, 101(3), 426-437. </w:t>
      </w:r>
      <w:hyperlink r:id="rId34">
        <w:r>
          <w:rPr>
            <w:color w:val="25475A"/>
            <w:sz w:val="19"/>
          </w:rPr>
          <w:t>https://doi.org/10.2134/agronj2008.0139s</w:t>
        </w:r>
      </w:hyperlink>
    </w:p>
    <w:p>
      <w:pPr>
        <w:keepLines/>
        <w:spacing w:after="140" w:line="252" w:lineRule="auto"/>
        <w:ind w:left="403" w:hanging="403"/>
      </w:pPr>
      <w:r>
        <w:rPr>
          <w:sz w:val="19"/>
        </w:rPr>
        <w:t xml:space="preserve">[12] Evensen, G. (2003). The Ensemble Kalman Filter: theoretical formulation and practical implementation. Ocean Dynamics, 53(4), 343-367. </w:t>
      </w:r>
      <w:hyperlink r:id="rId35">
        <w:r>
          <w:rPr>
            <w:color w:val="25475A"/>
            <w:sz w:val="19"/>
          </w:rPr>
          <w:t>https://doi.org/10.1007/s10236-003-0036-9</w:t>
        </w:r>
      </w:hyperlink>
    </w:p>
    <w:p>
      <w:pPr>
        <w:keepLines/>
        <w:spacing w:after="140" w:line="252" w:lineRule="auto"/>
        <w:ind w:left="403" w:hanging="403"/>
      </w:pPr>
      <w:r>
        <w:rPr>
          <w:sz w:val="19"/>
        </w:rPr>
        <w:t xml:space="preserve">[13] Raissi, M.; Perdikaris, P.; Karniadakis, G. (2019). Physics-informed neural networks: A deep learning framework for solving forward and inverse problems involving nonlinear partial differential equations. Journal of Computational Physics, 378, 686-707. </w:t>
      </w:r>
      <w:hyperlink r:id="rId36">
        <w:r>
          <w:rPr>
            <w:color w:val="25475A"/>
            <w:sz w:val="19"/>
          </w:rPr>
          <w:t>https://doi.org/10.1016/j.jcp.2018.10.045</w:t>
        </w:r>
      </w:hyperlink>
    </w:p>
    <w:p>
      <w:pPr>
        <w:keepLines/>
        <w:spacing w:after="140" w:line="252" w:lineRule="auto"/>
        <w:ind w:left="403" w:hanging="403"/>
      </w:pPr>
      <w:r>
        <w:rPr>
          <w:sz w:val="19"/>
        </w:rPr>
        <w:t xml:space="preserve">[14] Karniadakis, G. E.; Kevrekidis, I. G.; Lu, L.; Perdikaris, P.; Wang, S.; Yang, L. (2021). Physics-informed machine learning. Nature Reviews Physics, 3(6), 422-440. </w:t>
      </w:r>
      <w:hyperlink r:id="rId37">
        <w:r>
          <w:rPr>
            <w:color w:val="25475A"/>
            <w:sz w:val="19"/>
          </w:rPr>
          <w:t>https://doi.org/10.1038/s42254-021-00314-5</w:t>
        </w:r>
      </w:hyperlink>
    </w:p>
    <w:p>
      <w:pPr>
        <w:keepLines/>
        <w:spacing w:after="140" w:line="252" w:lineRule="auto"/>
        <w:ind w:left="403" w:hanging="403"/>
      </w:pPr>
      <w:r>
        <w:rPr>
          <w:sz w:val="19"/>
        </w:rPr>
        <w:t xml:space="preserve">[15] Bandai, T.; Ghezzehei, T. A. (2021). Physics-Informed Neural Networks With Monotonicity Constraints for Richardson-Richards Equation: Estimation of Constitutive Relationships and Soil Water Flux Density From Volumetric Water Content Measurements. Water Resources Research, 57(2), e2020WR027642. </w:t>
      </w:r>
      <w:hyperlink r:id="rId38">
        <w:r>
          <w:rPr>
            <w:color w:val="25475A"/>
            <w:sz w:val="19"/>
          </w:rPr>
          <w:t>https://doi.org/10.1029/2020wr027642</w:t>
        </w:r>
      </w:hyperlink>
    </w:p>
    <w:p>
      <w:pPr>
        <w:keepLines/>
        <w:spacing w:after="140" w:line="252" w:lineRule="auto"/>
        <w:ind w:left="403" w:hanging="403"/>
      </w:pPr>
      <w:r>
        <w:rPr>
          <w:sz w:val="19"/>
        </w:rPr>
        <w:t xml:space="preserve">[16] Bandai, T.; Ghezzehei, T. A. (2022). Forward and inverse modeling of water flow in unsaturated soils with discontinuous hydraulic conductivities using physics-informed neural networks with domain decomposition. Hydrology and Earth System Sciences, 26(16), 4469-4495. </w:t>
      </w:r>
      <w:hyperlink r:id="rId39">
        <w:r>
          <w:rPr>
            <w:color w:val="25475A"/>
            <w:sz w:val="19"/>
          </w:rPr>
          <w:t>https://doi.org/10.5194/hess-26-4469-2022</w:t>
        </w:r>
      </w:hyperlink>
    </w:p>
    <w:p>
      <w:pPr>
        <w:keepLines/>
        <w:spacing w:after="140" w:line="252" w:lineRule="auto"/>
        <w:ind w:left="403" w:hanging="403"/>
      </w:pPr>
      <w:r>
        <w:rPr>
          <w:sz w:val="19"/>
        </w:rPr>
        <w:t xml:space="preserve">[17] Krishnapriyan, A.; Gholami, A.; Zhe, S.; Kirby, R.; Mahoney, M. W. (2021). Characterizing possible failure modes in physics-informed neural networks. Advances in Neural Information Processing Systems, 34, 26548-26560. </w:t>
      </w:r>
      <w:hyperlink r:id="rId40">
        <w:r>
          <w:rPr>
            <w:color w:val="25475A"/>
            <w:sz w:val="19"/>
          </w:rPr>
          <w:t>https://arxiv.org/abs/2109.01050</w:t>
        </w:r>
      </w:hyperlink>
    </w:p>
    <w:p>
      <w:pPr>
        <w:keepLines/>
        <w:spacing w:after="140" w:line="252" w:lineRule="auto"/>
        <w:ind w:left="403" w:hanging="403"/>
      </w:pPr>
      <w:r>
        <w:rPr>
          <w:sz w:val="19"/>
        </w:rPr>
        <w:t xml:space="preserve">[18] Huang, Z.; Liu, J.; Huang, B. (2022). Model predictive control of agro-hydrological systems based on a two-layer neural network modeling framework. arXiv preprint arXiv:2204.12694. </w:t>
      </w:r>
      <w:hyperlink r:id="rId41">
        <w:r>
          <w:rPr>
            <w:color w:val="25475A"/>
            <w:sz w:val="19"/>
          </w:rPr>
          <w:t>https://doi.org/10.48550/arXiv.2204.12694</w:t>
        </w:r>
      </w:hyperlink>
    </w:p>
    <w:p>
      <w:pPr>
        <w:keepLines/>
        <w:spacing w:after="140" w:line="252" w:lineRule="auto"/>
        <w:ind w:left="403" w:hanging="403"/>
      </w:pPr>
      <w:r>
        <w:rPr>
          <w:sz w:val="19"/>
        </w:rPr>
        <w:t xml:space="preserve">[19] Qin, M.; Zhang, C.; Ma, G.; Ma, Y.; Feng, X.; Li, P.; et al. (2025). Digital twin-enabled intelligent irrigation-drainage system for precision water-salt management in saline agroecosystems. Agricultural Water Management, 322, 109957. </w:t>
      </w:r>
      <w:hyperlink r:id="rId42">
        <w:r>
          <w:rPr>
            <w:color w:val="25475A"/>
            <w:sz w:val="19"/>
          </w:rPr>
          <w:t>https://doi.org/10.1016/j.agwat.2025.109957</w:t>
        </w:r>
      </w:hyperlink>
    </w:p>
    <w:p>
      <w:pPr>
        <w:keepLines/>
        <w:spacing w:after="140" w:line="252" w:lineRule="auto"/>
        <w:ind w:left="403" w:hanging="403"/>
      </w:pPr>
      <w:r>
        <w:rPr>
          <w:sz w:val="19"/>
        </w:rPr>
        <w:t xml:space="preserve">[20] Xu, D.; Zhu, J.; Ma, Y. (2025). Advancing sustainable solar greenhouse management through digital twin enabled by functional-structural plant modeling: case study in Beijing, China. Energy Conversion and Management, 346, 120505. </w:t>
      </w:r>
      <w:hyperlink r:id="rId43">
        <w:r>
          <w:rPr>
            <w:color w:val="25475A"/>
            <w:sz w:val="19"/>
          </w:rPr>
          <w:t>https://doi.org/10.1016/j.enconman.2025.120505</w:t>
        </w:r>
      </w:hyperlink>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AI AND DIGITAL TWINS FOR SMART FARMING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80"/>
    </w:pPr>
    <w:rPr>
      <w:rFonts w:ascii="Times New Roman" w:hAnsi="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doi.org/10.1016/j.agsy.2020.103046" TargetMode="External"/><Relationship Id="rId25" Type="http://schemas.openxmlformats.org/officeDocument/2006/relationships/hyperlink" Target="https://doi.org/10.1016/j.compag.2020.105942" TargetMode="External"/><Relationship Id="rId26" Type="http://schemas.openxmlformats.org/officeDocument/2006/relationships/hyperlink" Target="https://doi.org/10.1016/j.atech.2022.100094" TargetMode="External"/><Relationship Id="rId27" Type="http://schemas.openxmlformats.org/officeDocument/2006/relationships/hyperlink" Target="https://doi.org/10.1016/j.atech.2026.102283" TargetMode="External"/><Relationship Id="rId28" Type="http://schemas.openxmlformats.org/officeDocument/2006/relationships/hyperlink" Target="https://doi.org/10.1016/j.ifacol.2018.08.474" TargetMode="External"/><Relationship Id="rId29" Type="http://schemas.openxmlformats.org/officeDocument/2006/relationships/hyperlink" Target="https://www.fao.org/4/x0490e/x0490e00.htm" TargetMode="External"/><Relationship Id="rId30" Type="http://schemas.openxmlformats.org/officeDocument/2006/relationships/hyperlink" Target="https://doi.org/10.1063/1.1745010" TargetMode="External"/><Relationship Id="rId31" Type="http://schemas.openxmlformats.org/officeDocument/2006/relationships/hyperlink" Target="https://doi.org/10.2136/sssaj1980.03615995004400050002x" TargetMode="External"/><Relationship Id="rId32" Type="http://schemas.openxmlformats.org/officeDocument/2006/relationships/hyperlink" Target="https://doi.org/10.1029/wr012i003p00513" TargetMode="External"/><Relationship Id="rId33" Type="http://schemas.openxmlformats.org/officeDocument/2006/relationships/hyperlink" Target="https://doi.org/10.1016/j.envsoft.2014.07.009" TargetMode="External"/><Relationship Id="rId34" Type="http://schemas.openxmlformats.org/officeDocument/2006/relationships/hyperlink" Target="https://doi.org/10.2134/agronj2008.0139s" TargetMode="External"/><Relationship Id="rId35" Type="http://schemas.openxmlformats.org/officeDocument/2006/relationships/hyperlink" Target="https://doi.org/10.1007/s10236-003-0036-9" TargetMode="External"/><Relationship Id="rId36" Type="http://schemas.openxmlformats.org/officeDocument/2006/relationships/hyperlink" Target="https://doi.org/10.1016/j.jcp.2018.10.045" TargetMode="External"/><Relationship Id="rId37" Type="http://schemas.openxmlformats.org/officeDocument/2006/relationships/hyperlink" Target="https://doi.org/10.1038/s42254-021-00314-5" TargetMode="External"/><Relationship Id="rId38" Type="http://schemas.openxmlformats.org/officeDocument/2006/relationships/hyperlink" Target="https://doi.org/10.1029/2020wr027642" TargetMode="External"/><Relationship Id="rId39" Type="http://schemas.openxmlformats.org/officeDocument/2006/relationships/hyperlink" Target="https://doi.org/10.5194/hess-26-4469-2022" TargetMode="External"/><Relationship Id="rId40" Type="http://schemas.openxmlformats.org/officeDocument/2006/relationships/hyperlink" Target="https://arxiv.org/abs/2109.01050" TargetMode="External"/><Relationship Id="rId41" Type="http://schemas.openxmlformats.org/officeDocument/2006/relationships/hyperlink" Target="https://doi.org/10.48550/arXiv.2204.12694" TargetMode="External"/><Relationship Id="rId42" Type="http://schemas.openxmlformats.org/officeDocument/2006/relationships/hyperlink" Target="https://doi.org/10.1016/j.agwat.2025.109957" TargetMode="External"/><Relationship Id="rId43" Type="http://schemas.openxmlformats.org/officeDocument/2006/relationships/hyperlink" Target="https://doi.org/10.1016/j.enconman.2025.120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Convergence of Artificial Intelligence and Digital Twins for Smart Farming: A Critical Review of Architectures, Applications, and Research Directions</dc:title>
  <dc:subject>Critical narrative review of AI-enabled digital twins and precision irrigation</dc:subject>
  <dc:creator/>
  <cp:keywords>Digital twin, smart farming, soil moisture, PINN, model calibration, irrigation</cp:keywords>
  <dc:description>generated by python-docx</dc:description>
  <cp:lastModifiedBy/>
  <cp:revision>1</cp:revision>
  <dcterms:created xsi:type="dcterms:W3CDTF">2013-12-23T23:15:00Z</dcterms:created>
  <dcterms:modified xsi:type="dcterms:W3CDTF">2013-12-23T23:15:00Z</dcterms:modified>
  <cp:category/>
</cp:coreProperties>
</file>