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66D6" w14:textId="67EB99D3" w:rsidR="00EB0B48" w:rsidRDefault="00EB0B48"/>
    <w:p w14:paraId="54792F35" w14:textId="551C2888" w:rsidR="00303666" w:rsidRPr="00F00F28" w:rsidRDefault="00F60242">
      <w:pPr>
        <w:rPr>
          <w:b/>
          <w:bCs/>
        </w:rPr>
      </w:pPr>
      <w:r w:rsidRPr="00F00F28">
        <w:rPr>
          <w:b/>
          <w:bCs/>
        </w:rPr>
        <w:t xml:space="preserve">Assumptions for Eaton LDAP Upgrade </w:t>
      </w:r>
      <w:r w:rsidR="00E3314F" w:rsidRPr="00F00F28">
        <w:rPr>
          <w:b/>
          <w:bCs/>
        </w:rPr>
        <w:t>Project – ODSEE to OUD</w:t>
      </w:r>
    </w:p>
    <w:p w14:paraId="669E4D9A" w14:textId="08D8A8DE" w:rsidR="00303666" w:rsidRDefault="00303666" w:rsidP="00303666">
      <w:pPr>
        <w:pStyle w:val="ListParagraph"/>
        <w:numPr>
          <w:ilvl w:val="0"/>
          <w:numId w:val="1"/>
        </w:numPr>
      </w:pPr>
      <w:r>
        <w:t xml:space="preserve">No change to the LDAP schema is required for the move to </w:t>
      </w:r>
      <w:proofErr w:type="gramStart"/>
      <w:r>
        <w:t>OUD</w:t>
      </w:r>
      <w:proofErr w:type="gramEnd"/>
    </w:p>
    <w:p w14:paraId="384DBE79" w14:textId="72087825" w:rsidR="00303666" w:rsidRDefault="00303666" w:rsidP="00303666">
      <w:pPr>
        <w:pStyle w:val="ListParagraph"/>
        <w:numPr>
          <w:ilvl w:val="0"/>
          <w:numId w:val="1"/>
        </w:numPr>
      </w:pPr>
      <w:r>
        <w:t xml:space="preserve">No change to the LDAP Namespace is required for the move to </w:t>
      </w:r>
      <w:proofErr w:type="gramStart"/>
      <w:r>
        <w:t>OUD</w:t>
      </w:r>
      <w:proofErr w:type="gramEnd"/>
    </w:p>
    <w:p w14:paraId="6DB47C28" w14:textId="016F5F31" w:rsidR="00303666" w:rsidRDefault="00303666" w:rsidP="00303666">
      <w:pPr>
        <w:pStyle w:val="ListParagraph"/>
        <w:numPr>
          <w:ilvl w:val="0"/>
          <w:numId w:val="1"/>
        </w:numPr>
      </w:pPr>
      <w:r>
        <w:t>New servers will be provisioned by Eaton (cloud VM, On premise VM, or physical hardware)</w:t>
      </w:r>
    </w:p>
    <w:p w14:paraId="28A38A88" w14:textId="138A65AA" w:rsidR="00303666" w:rsidRDefault="00303666" w:rsidP="00303666">
      <w:pPr>
        <w:pStyle w:val="ListParagraph"/>
        <w:numPr>
          <w:ilvl w:val="0"/>
          <w:numId w:val="1"/>
        </w:numPr>
      </w:pPr>
      <w:r>
        <w:t>The server OS will be compatible with the latest version of Oracle Unified Directory (OUD) 12c</w:t>
      </w:r>
      <w:r w:rsidR="003E04C5">
        <w:t xml:space="preserve"> found </w:t>
      </w:r>
      <w:hyperlink r:id="rId8" w:anchor="GUID-880D655D-F9FB-439B-8001-10AA78D0FC57" w:history="1">
        <w:r w:rsidR="003E04C5" w:rsidRPr="003E04C5">
          <w:rPr>
            <w:rStyle w:val="Hyperlink"/>
          </w:rPr>
          <w:t>here</w:t>
        </w:r>
      </w:hyperlink>
      <w:r w:rsidR="003E04C5">
        <w:t>.</w:t>
      </w:r>
    </w:p>
    <w:p w14:paraId="204291B7" w14:textId="5944B7C3" w:rsidR="00303666" w:rsidRDefault="00303666" w:rsidP="00303666">
      <w:pPr>
        <w:pStyle w:val="ListParagraph"/>
        <w:numPr>
          <w:ilvl w:val="0"/>
          <w:numId w:val="1"/>
        </w:numPr>
      </w:pPr>
      <w:r>
        <w:t>OUD deployment architecture will mirror the existing ODSEE architecture.</w:t>
      </w:r>
    </w:p>
    <w:p w14:paraId="267D76D8" w14:textId="741B9BF8" w:rsidR="00303666" w:rsidRDefault="00303666" w:rsidP="00303666">
      <w:pPr>
        <w:pStyle w:val="ListParagraph"/>
        <w:numPr>
          <w:ilvl w:val="0"/>
          <w:numId w:val="1"/>
        </w:numPr>
      </w:pPr>
      <w:r>
        <w:t xml:space="preserve">KPMG will employ offshore resources to execute the installation and migration of directory services configuration and </w:t>
      </w:r>
      <w:r w:rsidR="003E04C5">
        <w:t>data.</w:t>
      </w:r>
    </w:p>
    <w:p w14:paraId="1BD03DFA" w14:textId="5A6CB40E" w:rsidR="00303666" w:rsidRDefault="00303666" w:rsidP="00303666">
      <w:pPr>
        <w:pStyle w:val="ListParagraph"/>
        <w:numPr>
          <w:ilvl w:val="0"/>
          <w:numId w:val="1"/>
        </w:numPr>
      </w:pPr>
      <w:r>
        <w:t xml:space="preserve">KPMG will have a dedicated US based resource to manage the upgrade </w:t>
      </w:r>
      <w:r w:rsidR="003E04C5">
        <w:t>project.</w:t>
      </w:r>
    </w:p>
    <w:p w14:paraId="1C31A069" w14:textId="2491BEC1" w:rsidR="00303666" w:rsidRDefault="00303666" w:rsidP="00303666">
      <w:pPr>
        <w:pStyle w:val="ListParagraph"/>
        <w:numPr>
          <w:ilvl w:val="0"/>
          <w:numId w:val="1"/>
        </w:numPr>
      </w:pPr>
      <w:r>
        <w:t xml:space="preserve">KPMG will perform system integration </w:t>
      </w:r>
      <w:r w:rsidR="003E04C5">
        <w:t>testing.</w:t>
      </w:r>
    </w:p>
    <w:p w14:paraId="2C7D3E42" w14:textId="397BEBC2" w:rsidR="00303666" w:rsidRDefault="00303666" w:rsidP="00303666">
      <w:pPr>
        <w:pStyle w:val="ListParagraph"/>
        <w:numPr>
          <w:ilvl w:val="0"/>
          <w:numId w:val="1"/>
        </w:numPr>
      </w:pPr>
      <w:r>
        <w:t>KPMG will perform the upgrade/migration in 3 Eaton environments (Dev, Test, Production)</w:t>
      </w:r>
    </w:p>
    <w:p w14:paraId="6210494A" w14:textId="70BC2360" w:rsidR="00303666" w:rsidRDefault="00303666" w:rsidP="00303666">
      <w:pPr>
        <w:pStyle w:val="ListParagraph"/>
        <w:numPr>
          <w:ilvl w:val="0"/>
          <w:numId w:val="1"/>
        </w:numPr>
      </w:pPr>
      <w:r>
        <w:t xml:space="preserve">The deployment for each environment will include two data centers with two to three servers in each data </w:t>
      </w:r>
      <w:r w:rsidR="003E04C5">
        <w:t>center.</w:t>
      </w:r>
    </w:p>
    <w:p w14:paraId="3C75F2BD" w14:textId="289948E5" w:rsidR="00303666" w:rsidRDefault="003E04C5" w:rsidP="00303666">
      <w:pPr>
        <w:pStyle w:val="ListParagraph"/>
        <w:numPr>
          <w:ilvl w:val="0"/>
          <w:numId w:val="1"/>
        </w:numPr>
      </w:pPr>
      <w:r>
        <w:t>User acceptance testing (UAT) will require Eaton applications to validate the OUD directory functionality is operating as expected after migration.</w:t>
      </w:r>
    </w:p>
    <w:p w14:paraId="3FD25116" w14:textId="623B6417" w:rsidR="003E04C5" w:rsidRDefault="003E04C5" w:rsidP="00303666">
      <w:pPr>
        <w:pStyle w:val="ListParagraph"/>
        <w:numPr>
          <w:ilvl w:val="0"/>
          <w:numId w:val="1"/>
        </w:numPr>
      </w:pPr>
      <w:r>
        <w:t>UAT will occur in a pre-production environment.</w:t>
      </w:r>
    </w:p>
    <w:p w14:paraId="1B7BAEE2" w14:textId="7A6691C7" w:rsidR="003E04C5" w:rsidRDefault="003E04C5" w:rsidP="00303666">
      <w:pPr>
        <w:pStyle w:val="ListParagraph"/>
        <w:numPr>
          <w:ilvl w:val="0"/>
          <w:numId w:val="1"/>
        </w:numPr>
      </w:pPr>
      <w:r>
        <w:t xml:space="preserve">KPMG expects Eaton application teams to supply </w:t>
      </w:r>
      <w:proofErr w:type="spellStart"/>
      <w:proofErr w:type="gramStart"/>
      <w:r>
        <w:t>there</w:t>
      </w:r>
      <w:proofErr w:type="gramEnd"/>
      <w:r>
        <w:t xml:space="preserve"> own</w:t>
      </w:r>
      <w:proofErr w:type="spellEnd"/>
      <w:r>
        <w:t xml:space="preserve"> test scripts that exercise functions served by the LDAP directory service. This includes but is not limited </w:t>
      </w:r>
      <w:proofErr w:type="gramStart"/>
      <w:r>
        <w:t>to</w:t>
      </w:r>
      <w:proofErr w:type="gramEnd"/>
      <w:r>
        <w:t xml:space="preserve"> </w:t>
      </w:r>
    </w:p>
    <w:p w14:paraId="4BF37C6C" w14:textId="3D23E018" w:rsidR="003E04C5" w:rsidRDefault="003E04C5" w:rsidP="003E04C5">
      <w:pPr>
        <w:pStyle w:val="ListParagraph"/>
        <w:numPr>
          <w:ilvl w:val="0"/>
          <w:numId w:val="1"/>
        </w:numPr>
        <w:tabs>
          <w:tab w:val="clear" w:pos="340"/>
          <w:tab w:val="num" w:pos="680"/>
        </w:tabs>
        <w:ind w:left="680"/>
      </w:pPr>
      <w:r>
        <w:t>User authentication</w:t>
      </w:r>
    </w:p>
    <w:p w14:paraId="2458C466" w14:textId="0680285B" w:rsidR="003E04C5" w:rsidRDefault="003E04C5" w:rsidP="003E04C5">
      <w:pPr>
        <w:pStyle w:val="ListParagraph"/>
        <w:numPr>
          <w:ilvl w:val="0"/>
          <w:numId w:val="1"/>
        </w:numPr>
        <w:tabs>
          <w:tab w:val="clear" w:pos="340"/>
          <w:tab w:val="num" w:pos="680"/>
        </w:tabs>
        <w:ind w:left="680"/>
      </w:pPr>
      <w:r>
        <w:t>User search</w:t>
      </w:r>
    </w:p>
    <w:p w14:paraId="7D98E37A" w14:textId="367A0BF8" w:rsidR="003E04C5" w:rsidRDefault="003E04C5" w:rsidP="003E04C5">
      <w:pPr>
        <w:pStyle w:val="ListParagraph"/>
        <w:numPr>
          <w:ilvl w:val="0"/>
          <w:numId w:val="1"/>
        </w:numPr>
        <w:tabs>
          <w:tab w:val="clear" w:pos="340"/>
          <w:tab w:val="num" w:pos="680"/>
        </w:tabs>
        <w:ind w:left="680"/>
      </w:pPr>
      <w:r>
        <w:t>Role / Group membership queries</w:t>
      </w:r>
    </w:p>
    <w:p w14:paraId="0329FE71" w14:textId="19079BA4" w:rsidR="003E04C5" w:rsidRDefault="003E04C5" w:rsidP="003E04C5">
      <w:pPr>
        <w:pStyle w:val="ListParagraph"/>
        <w:numPr>
          <w:ilvl w:val="0"/>
          <w:numId w:val="1"/>
        </w:numPr>
        <w:tabs>
          <w:tab w:val="clear" w:pos="340"/>
          <w:tab w:val="num" w:pos="680"/>
        </w:tabs>
        <w:ind w:left="680"/>
      </w:pPr>
      <w:r>
        <w:t>New user registration</w:t>
      </w:r>
    </w:p>
    <w:p w14:paraId="53EAA244" w14:textId="7C464EF5" w:rsidR="003E04C5" w:rsidRDefault="003E04C5" w:rsidP="003E04C5">
      <w:pPr>
        <w:pStyle w:val="ListParagraph"/>
        <w:numPr>
          <w:ilvl w:val="0"/>
          <w:numId w:val="1"/>
        </w:numPr>
        <w:tabs>
          <w:tab w:val="clear" w:pos="340"/>
          <w:tab w:val="num" w:pos="680"/>
        </w:tabs>
        <w:ind w:left="680"/>
      </w:pPr>
      <w:r>
        <w:t>User provisioning</w:t>
      </w:r>
    </w:p>
    <w:p w14:paraId="304FFDB3" w14:textId="75E1D0EC" w:rsidR="003E04C5" w:rsidRDefault="003E04C5" w:rsidP="003E04C5">
      <w:pPr>
        <w:pStyle w:val="ListParagraph"/>
        <w:numPr>
          <w:ilvl w:val="0"/>
          <w:numId w:val="1"/>
        </w:numPr>
        <w:tabs>
          <w:tab w:val="clear" w:pos="340"/>
          <w:tab w:val="num" w:pos="680"/>
        </w:tabs>
        <w:ind w:left="680"/>
      </w:pPr>
      <w:r>
        <w:t>User profile updates</w:t>
      </w:r>
    </w:p>
    <w:p w14:paraId="7318DE20" w14:textId="6B634CE3" w:rsidR="003E04C5" w:rsidRDefault="003E04C5" w:rsidP="003E04C5">
      <w:pPr>
        <w:pStyle w:val="ListParagraph"/>
        <w:numPr>
          <w:ilvl w:val="0"/>
          <w:numId w:val="1"/>
        </w:numPr>
        <w:tabs>
          <w:tab w:val="clear" w:pos="340"/>
          <w:tab w:val="num" w:pos="680"/>
        </w:tabs>
        <w:ind w:left="680"/>
      </w:pPr>
      <w:r>
        <w:t>User password updates</w:t>
      </w:r>
    </w:p>
    <w:p w14:paraId="5B899055" w14:textId="335F3AB6" w:rsidR="003E04C5" w:rsidRDefault="003E04C5" w:rsidP="003E04C5">
      <w:pPr>
        <w:pStyle w:val="ListParagraph"/>
        <w:numPr>
          <w:ilvl w:val="0"/>
          <w:numId w:val="1"/>
        </w:numPr>
        <w:tabs>
          <w:tab w:val="clear" w:pos="340"/>
          <w:tab w:val="num" w:pos="680"/>
        </w:tabs>
        <w:ind w:left="680"/>
      </w:pPr>
      <w:r>
        <w:t>User disabled status.</w:t>
      </w:r>
    </w:p>
    <w:p w14:paraId="31920D7D" w14:textId="53D2BB2C" w:rsidR="003E04C5" w:rsidRDefault="003E04C5" w:rsidP="00303666">
      <w:pPr>
        <w:pStyle w:val="ListParagraph"/>
        <w:numPr>
          <w:ilvl w:val="0"/>
          <w:numId w:val="1"/>
        </w:numPr>
      </w:pPr>
      <w:r>
        <w:t xml:space="preserve">Deployment of the new servers in production will be dependent on Eaton stakeholder approval of UAT test </w:t>
      </w:r>
      <w:r w:rsidR="00294F19">
        <w:t>results.</w:t>
      </w:r>
    </w:p>
    <w:p w14:paraId="529A1EDB" w14:textId="642445CB" w:rsidR="003E04C5" w:rsidRDefault="003E04C5" w:rsidP="00303666">
      <w:pPr>
        <w:pStyle w:val="ListParagraph"/>
        <w:numPr>
          <w:ilvl w:val="0"/>
          <w:numId w:val="1"/>
        </w:numPr>
      </w:pPr>
      <w:r>
        <w:t xml:space="preserve">The Eaton directory services architecture includes a global / local load balancer which manages traffic to the </w:t>
      </w:r>
      <w:r w:rsidR="00294F19">
        <w:t xml:space="preserve">current </w:t>
      </w:r>
      <w:r>
        <w:t>ODSEE servers</w:t>
      </w:r>
      <w:r w:rsidR="00294F19">
        <w:t>, and the cutover to the new OUD servers will be facilitated by an update to the load balancer LDAP server IP address configuration.</w:t>
      </w:r>
    </w:p>
    <w:p w14:paraId="66963410" w14:textId="77777777" w:rsidR="00294F19" w:rsidRDefault="00294F19" w:rsidP="00294F19">
      <w:pPr>
        <w:pStyle w:val="ListParagraph"/>
        <w:numPr>
          <w:ilvl w:val="0"/>
          <w:numId w:val="1"/>
        </w:numPr>
      </w:pPr>
      <w:r>
        <w:t>The project will adhere to relevant compliance and regulatory requirements related to data storage, security, and privacy.</w:t>
      </w:r>
    </w:p>
    <w:p w14:paraId="2B584359" w14:textId="77777777" w:rsidR="00294F19" w:rsidRDefault="00294F19" w:rsidP="00294F19">
      <w:pPr>
        <w:pStyle w:val="ListParagraph"/>
        <w:numPr>
          <w:ilvl w:val="0"/>
          <w:numId w:val="1"/>
        </w:numPr>
      </w:pPr>
      <w:r>
        <w:t>The project plan will include a communication and engagement strategy for end-users to ensure that they are aware of the changes and understand the benefits of the upgrade.</w:t>
      </w:r>
    </w:p>
    <w:p w14:paraId="741C78A2" w14:textId="77777777" w:rsidR="00294F19" w:rsidRDefault="00294F19" w:rsidP="00294F19">
      <w:pPr>
        <w:pStyle w:val="ListParagraph"/>
        <w:numPr>
          <w:ilvl w:val="0"/>
          <w:numId w:val="1"/>
        </w:numPr>
      </w:pPr>
      <w:r>
        <w:t>The project will include a rollback plan in case of unexpected issues during deployment or UAT testing.</w:t>
      </w:r>
    </w:p>
    <w:p w14:paraId="034CCDC0" w14:textId="77777777" w:rsidR="00294F19" w:rsidRDefault="00294F19" w:rsidP="00294F19">
      <w:pPr>
        <w:pStyle w:val="ListParagraph"/>
        <w:numPr>
          <w:ilvl w:val="0"/>
          <w:numId w:val="1"/>
        </w:numPr>
      </w:pPr>
      <w:r>
        <w:t>The project will include an ongoing maintenance plan for the upgraded directory to ensure continued functionality and security.</w:t>
      </w:r>
    </w:p>
    <w:p w14:paraId="5E9659D7" w14:textId="5DC57820" w:rsidR="00294F19" w:rsidRDefault="00294F19" w:rsidP="00294F19">
      <w:pPr>
        <w:pStyle w:val="ListParagraph"/>
        <w:numPr>
          <w:ilvl w:val="0"/>
          <w:numId w:val="1"/>
        </w:numPr>
      </w:pPr>
      <w:r>
        <w:lastRenderedPageBreak/>
        <w:t>The project will set up appropriate monitoring and alerting mechanisms to ensure timely identification of any issues post deployment.</w:t>
      </w:r>
    </w:p>
    <w:p w14:paraId="7B9E3F09" w14:textId="19F7077D" w:rsidR="00294F19" w:rsidRDefault="00294F19" w:rsidP="00294F19">
      <w:pPr>
        <w:pStyle w:val="ListParagraph"/>
        <w:numPr>
          <w:ilvl w:val="0"/>
          <w:numId w:val="1"/>
        </w:numPr>
      </w:pPr>
      <w:r>
        <w:t>KPMG will manage project risks with regular updates via project status of project Risks, Action Items, Issues, and Decisions</w:t>
      </w:r>
    </w:p>
    <w:p w14:paraId="34E70D71" w14:textId="3480C7CE" w:rsidR="00F00F28" w:rsidRDefault="00F00F28" w:rsidP="00F00F28"/>
    <w:p w14:paraId="557A57F5" w14:textId="647A93FE" w:rsidR="00F00F28" w:rsidRDefault="00F00F28" w:rsidP="00F00F28">
      <w:pPr>
        <w:rPr>
          <w:b/>
          <w:bCs/>
        </w:rPr>
      </w:pPr>
      <w:r w:rsidRPr="00F00F28">
        <w:rPr>
          <w:b/>
          <w:bCs/>
        </w:rPr>
        <w:t>Questions from Managed Services – OUD Support</w:t>
      </w:r>
    </w:p>
    <w:p w14:paraId="4D8C63EB" w14:textId="1DE216C0" w:rsidR="00F00F28" w:rsidRDefault="00F00F28" w:rsidP="00F00F28">
      <w:pPr>
        <w:rPr>
          <w:b/>
          <w:bCs/>
        </w:rPr>
      </w:pPr>
    </w:p>
    <w:p w14:paraId="101EF661" w14:textId="77777777" w:rsidR="00F00F28" w:rsidRPr="00F00F28" w:rsidRDefault="00F00F28" w:rsidP="00F00F28">
      <w:pPr>
        <w:pStyle w:val="ListParagraph"/>
        <w:numPr>
          <w:ilvl w:val="0"/>
          <w:numId w:val="1"/>
        </w:numPr>
      </w:pPr>
      <w:r w:rsidRPr="00F00F28">
        <w:t>Volume of users / groups / roles that will be migrated from ODSEE to OUD?</w:t>
      </w:r>
    </w:p>
    <w:p w14:paraId="0EDEA6EE" w14:textId="77777777" w:rsidR="00F00F28" w:rsidRPr="00F00F28" w:rsidRDefault="00F00F28" w:rsidP="00F00F28">
      <w:pPr>
        <w:pStyle w:val="ListParagraph"/>
        <w:numPr>
          <w:ilvl w:val="0"/>
          <w:numId w:val="1"/>
        </w:numPr>
      </w:pPr>
      <w:r w:rsidRPr="00F00F28">
        <w:t>Are service accounts / admin accounts / functional accounts to be managed in OUD?</w:t>
      </w:r>
    </w:p>
    <w:p w14:paraId="0EB6BB13" w14:textId="51AE9817" w:rsidR="00F00F28" w:rsidRPr="00F00F28" w:rsidRDefault="00F00F28" w:rsidP="00F00F28">
      <w:pPr>
        <w:pStyle w:val="ListParagraph"/>
        <w:numPr>
          <w:ilvl w:val="0"/>
          <w:numId w:val="1"/>
        </w:numPr>
      </w:pPr>
      <w:r w:rsidRPr="00F00F28">
        <w:t>Provide information on the</w:t>
      </w:r>
      <w:r>
        <w:t xml:space="preserve"> </w:t>
      </w:r>
      <w:proofErr w:type="gramStart"/>
      <w:r>
        <w:t>high level</w:t>
      </w:r>
      <w:proofErr w:type="gramEnd"/>
      <w:r w:rsidRPr="00F00F28">
        <w:t xml:space="preserve"> proposed OUD architecture (e.g. No. of OUD servers, proxy setup, replication model, HA setup)</w:t>
      </w:r>
    </w:p>
    <w:p w14:paraId="13338DBD" w14:textId="77777777" w:rsidR="00F00F28" w:rsidRPr="00F00F28" w:rsidRDefault="00F00F28" w:rsidP="00F00F28">
      <w:pPr>
        <w:pStyle w:val="ListParagraph"/>
        <w:numPr>
          <w:ilvl w:val="0"/>
          <w:numId w:val="1"/>
        </w:numPr>
      </w:pPr>
      <w:r w:rsidRPr="00F00F28">
        <w:t xml:space="preserve"> Provide the expected volumes for the following – </w:t>
      </w:r>
    </w:p>
    <w:p w14:paraId="3BD14A3A" w14:textId="77777777" w:rsidR="00F00F28" w:rsidRPr="00F00F28" w:rsidRDefault="00F00F28" w:rsidP="00F00F28">
      <w:pPr>
        <w:pStyle w:val="ListParagraph"/>
        <w:numPr>
          <w:ilvl w:val="0"/>
          <w:numId w:val="1"/>
        </w:numPr>
      </w:pPr>
      <w:r w:rsidRPr="00F00F28">
        <w:t>               a) Incident tickets per month</w:t>
      </w:r>
    </w:p>
    <w:p w14:paraId="6719603F" w14:textId="77777777" w:rsidR="00F00F28" w:rsidRPr="00F00F28" w:rsidRDefault="00F00F28" w:rsidP="00F00F28">
      <w:pPr>
        <w:pStyle w:val="ListParagraph"/>
        <w:numPr>
          <w:ilvl w:val="0"/>
          <w:numId w:val="1"/>
        </w:numPr>
      </w:pPr>
      <w:r w:rsidRPr="00F00F28">
        <w:t>               b) Service Requests per month</w:t>
      </w:r>
    </w:p>
    <w:p w14:paraId="538E2E2C" w14:textId="77777777" w:rsidR="00F00F28" w:rsidRPr="00F00F28" w:rsidRDefault="00F00F28" w:rsidP="00F00F28">
      <w:pPr>
        <w:pStyle w:val="ListParagraph"/>
        <w:numPr>
          <w:ilvl w:val="0"/>
          <w:numId w:val="1"/>
        </w:numPr>
      </w:pPr>
      <w:r w:rsidRPr="00F00F28">
        <w:t>               c) No. of Patching per quarter</w:t>
      </w:r>
    </w:p>
    <w:p w14:paraId="108E2D4C" w14:textId="77777777" w:rsidR="00F00F28" w:rsidRPr="00F00F28" w:rsidRDefault="00F00F28" w:rsidP="00F00F28">
      <w:pPr>
        <w:pStyle w:val="ListParagraph"/>
        <w:numPr>
          <w:ilvl w:val="0"/>
          <w:numId w:val="1"/>
        </w:numPr>
      </w:pPr>
      <w:r w:rsidRPr="00F00F28">
        <w:t>Is OUD server upgrade part of scope? </w:t>
      </w:r>
    </w:p>
    <w:p w14:paraId="396C71E2" w14:textId="77777777" w:rsidR="00F00F28" w:rsidRPr="00F00F28" w:rsidRDefault="00F00F28" w:rsidP="00F00F28">
      <w:pPr>
        <w:pStyle w:val="ListParagraph"/>
        <w:numPr>
          <w:ilvl w:val="0"/>
          <w:numId w:val="1"/>
        </w:numPr>
      </w:pPr>
      <w:r w:rsidRPr="00F00F28">
        <w:t xml:space="preserve">Are there plans to use Oracle Unified Directory Services Manager (OUDSM) for managing OUD instances? Or are we expected to use command-line interface for daily OUD related </w:t>
      </w:r>
      <w:proofErr w:type="gramStart"/>
      <w:r w:rsidRPr="00F00F28">
        <w:t>operations ?</w:t>
      </w:r>
      <w:proofErr w:type="gramEnd"/>
    </w:p>
    <w:p w14:paraId="1059CA90" w14:textId="77777777" w:rsidR="00F00F28" w:rsidRPr="00F00F28" w:rsidRDefault="00F00F28" w:rsidP="00F00F28">
      <w:pPr>
        <w:pStyle w:val="ListParagraph"/>
        <w:numPr>
          <w:ilvl w:val="0"/>
          <w:numId w:val="1"/>
        </w:numPr>
      </w:pPr>
      <w:r w:rsidRPr="00F00F28">
        <w:t>Is managing Access Control Instruction (ACIs) part of the scope?</w:t>
      </w:r>
    </w:p>
    <w:p w14:paraId="5FBCB986" w14:textId="77777777" w:rsidR="00F00F28" w:rsidRPr="00F00F28" w:rsidRDefault="00F00F28" w:rsidP="00F00F28">
      <w:pPr>
        <w:pStyle w:val="ListParagraph"/>
        <w:numPr>
          <w:ilvl w:val="0"/>
          <w:numId w:val="1"/>
        </w:numPr>
      </w:pPr>
      <w:r w:rsidRPr="00F00F28">
        <w:t>Are there any upstream / downstream applications consuming OUD data? If yes, are we expected to support any of the related operations?</w:t>
      </w:r>
    </w:p>
    <w:p w14:paraId="662620E5" w14:textId="77777777" w:rsidR="00F00F28" w:rsidRPr="00F00F28" w:rsidRDefault="00F00F28" w:rsidP="00F00F28">
      <w:pPr>
        <w:pStyle w:val="ListParagraph"/>
        <w:numPr>
          <w:ilvl w:val="0"/>
          <w:numId w:val="1"/>
        </w:numPr>
      </w:pPr>
      <w:r w:rsidRPr="00F00F28">
        <w:t>Expectations pertaining to OUD stack monitoring (e.g., How frequently are the servers to be monitored? Etc.) </w:t>
      </w:r>
    </w:p>
    <w:p w14:paraId="5FC8DB83" w14:textId="77777777" w:rsidR="00F00F28" w:rsidRPr="00F00F28" w:rsidRDefault="00F00F28" w:rsidP="00F00F28">
      <w:pPr>
        <w:pStyle w:val="ListParagraph"/>
        <w:numPr>
          <w:ilvl w:val="0"/>
          <w:numId w:val="1"/>
        </w:numPr>
      </w:pPr>
      <w:r w:rsidRPr="00F00F28">
        <w:t>Are there any expectations on shell script creations for OUD stack management? </w:t>
      </w:r>
    </w:p>
    <w:p w14:paraId="379A2721" w14:textId="77777777" w:rsidR="00F00F28" w:rsidRPr="00F00F28" w:rsidRDefault="00F00F28" w:rsidP="00F00F28">
      <w:pPr>
        <w:pStyle w:val="ListParagraph"/>
        <w:numPr>
          <w:ilvl w:val="0"/>
          <w:numId w:val="1"/>
        </w:numPr>
      </w:pPr>
      <w:r w:rsidRPr="00F00F28">
        <w:t>Does the BAU operations involve performing any specific tasks?</w:t>
      </w:r>
    </w:p>
    <w:p w14:paraId="2FDBDE1A" w14:textId="77777777" w:rsidR="00F00F28" w:rsidRPr="00F00F28" w:rsidRDefault="00F00F28" w:rsidP="00F00F28">
      <w:pPr>
        <w:pStyle w:val="ListParagraph"/>
        <w:numPr>
          <w:ilvl w:val="0"/>
          <w:numId w:val="1"/>
        </w:numPr>
      </w:pPr>
      <w:r w:rsidRPr="00F00F28">
        <w:t xml:space="preserve">Expected Support Coverage model? </w:t>
      </w:r>
      <w:proofErr w:type="gramStart"/>
      <w:r w:rsidRPr="00F00F28">
        <w:t>E.g.</w:t>
      </w:r>
      <w:proofErr w:type="gramEnd"/>
      <w:r w:rsidRPr="00F00F28">
        <w:t xml:space="preserve"> 8x5, 24x7, Offshore/Onshore</w:t>
      </w:r>
    </w:p>
    <w:p w14:paraId="20E45F5E" w14:textId="77777777" w:rsidR="00F00F28" w:rsidRPr="00F00F28" w:rsidRDefault="00F00F28" w:rsidP="00F00F28">
      <w:pPr>
        <w:pStyle w:val="ListParagraph"/>
        <w:numPr>
          <w:ilvl w:val="0"/>
          <w:numId w:val="1"/>
        </w:numPr>
      </w:pPr>
      <w:r w:rsidRPr="00F00F28">
        <w:t>Are adequate SOPs available to support the OUD setup? </w:t>
      </w:r>
    </w:p>
    <w:p w14:paraId="742B5D68" w14:textId="77777777" w:rsidR="00F00F28" w:rsidRPr="00F00F28" w:rsidRDefault="00F00F28" w:rsidP="00F00F28">
      <w:pPr>
        <w:pStyle w:val="ListParagraph"/>
        <w:numPr>
          <w:ilvl w:val="0"/>
          <w:numId w:val="1"/>
        </w:numPr>
      </w:pPr>
      <w:r w:rsidRPr="00F00F28">
        <w:t>Are there any OUD specific reporting and documentation requirements? </w:t>
      </w:r>
    </w:p>
    <w:p w14:paraId="3EAB4AD4" w14:textId="320D962E" w:rsidR="00F00F28" w:rsidRDefault="00F00F28" w:rsidP="00F00F28">
      <w:pPr>
        <w:pStyle w:val="ListParagraph"/>
        <w:numPr>
          <w:ilvl w:val="0"/>
          <w:numId w:val="1"/>
        </w:numPr>
      </w:pPr>
      <w:r w:rsidRPr="00F00F28">
        <w:t>Are SSL certificate renewals for OUD part of the scope? </w:t>
      </w:r>
    </w:p>
    <w:p w14:paraId="4E4724CC" w14:textId="51DD9A53" w:rsidR="00F00F28" w:rsidRDefault="00F00F28" w:rsidP="00F00F28">
      <w:pPr>
        <w:pStyle w:val="ListParagraph"/>
        <w:numPr>
          <w:ilvl w:val="0"/>
          <w:numId w:val="1"/>
        </w:numPr>
      </w:pPr>
      <w:r>
        <w:t>Are there any additional systems other than OUD that need to be supported?</w:t>
      </w:r>
    </w:p>
    <w:p w14:paraId="3D764210" w14:textId="7EBDAE72" w:rsidR="00F00F28" w:rsidRPr="00F00F28" w:rsidRDefault="00F00F28" w:rsidP="00F00F28">
      <w:pPr>
        <w:pStyle w:val="ListParagraph"/>
        <w:ind w:left="340"/>
      </w:pPr>
    </w:p>
    <w:p w14:paraId="058F7834" w14:textId="77777777" w:rsidR="00F00F28" w:rsidRPr="00F00F28" w:rsidRDefault="00F00F28" w:rsidP="00F00F28">
      <w:pPr>
        <w:rPr>
          <w:b/>
          <w:bCs/>
        </w:rPr>
      </w:pPr>
    </w:p>
    <w:sectPr w:rsidR="00F00F28" w:rsidRPr="00F0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5377C"/>
    <w:multiLevelType w:val="hybridMultilevel"/>
    <w:tmpl w:val="B1188116"/>
    <w:lvl w:ilvl="0" w:tplc="A28C4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40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4A0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00D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4F1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6E0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487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7A6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67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65533D4"/>
    <w:multiLevelType w:val="singleLevel"/>
    <w:tmpl w:val="C286382A"/>
    <w:lvl w:ilvl="0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226306265">
    <w:abstractNumId w:val="1"/>
  </w:num>
  <w:num w:numId="2" w16cid:durableId="120475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66"/>
    <w:rsid w:val="00294F19"/>
    <w:rsid w:val="002A349D"/>
    <w:rsid w:val="00303666"/>
    <w:rsid w:val="003E04C5"/>
    <w:rsid w:val="00431E10"/>
    <w:rsid w:val="00E3314F"/>
    <w:rsid w:val="00EB0B48"/>
    <w:rsid w:val="00F00F28"/>
    <w:rsid w:val="00F6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2A02"/>
  <w15:chartTrackingRefBased/>
  <w15:docId w15:val="{71A06252-34AF-49A5-BE42-343DC852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0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6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7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7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4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5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6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4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middleware/fusion-middleware/12.2.1.4/sysrs/system-requirements-and-specification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3218198187E3429A2011EFF59FF3B8" ma:contentTypeVersion="14" ma:contentTypeDescription="Create a new document." ma:contentTypeScope="" ma:versionID="97a86cd59c04efe6bc32f2911a65ef67">
  <xsd:schema xmlns:xsd="http://www.w3.org/2001/XMLSchema" xmlns:xs="http://www.w3.org/2001/XMLSchema" xmlns:p="http://schemas.microsoft.com/office/2006/metadata/properties" xmlns:ns3="60f0b1ce-cfe1-4a5d-9aba-751e20304330" xmlns:ns4="8ad6f359-4902-4b1d-b74f-7a258943068e" targetNamespace="http://schemas.microsoft.com/office/2006/metadata/properties" ma:root="true" ma:fieldsID="0231f88616189f4da087417f03ebc82b" ns3:_="" ns4:_="">
    <xsd:import namespace="60f0b1ce-cfe1-4a5d-9aba-751e20304330"/>
    <xsd:import namespace="8ad6f359-4902-4b1d-b74f-7a25894306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0b1ce-cfe1-4a5d-9aba-751e20304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6f359-4902-4b1d-b74f-7a258943068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f0b1ce-cfe1-4a5d-9aba-751e20304330" xsi:nil="true"/>
  </documentManagement>
</p:properties>
</file>

<file path=customXml/itemProps1.xml><?xml version="1.0" encoding="utf-8"?>
<ds:datastoreItem xmlns:ds="http://schemas.openxmlformats.org/officeDocument/2006/customXml" ds:itemID="{3228DBE7-7DF0-4BF0-8A63-501D0AE940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91AFF8-8FA1-4832-B464-AC02B6CCE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f0b1ce-cfe1-4a5d-9aba-751e20304330"/>
    <ds:schemaRef ds:uri="8ad6f359-4902-4b1d-b74f-7a2589430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DED1E5-341C-4C60-BD78-0D608A67A932}">
  <ds:schemaRefs>
    <ds:schemaRef ds:uri="http://schemas.microsoft.com/office/2006/metadata/properties"/>
    <ds:schemaRef ds:uri="http://schemas.microsoft.com/office/infopath/2007/PartnerControls"/>
    <ds:schemaRef ds:uri="60f0b1ce-cfe1-4a5d-9aba-751e20304330"/>
  </ds:schemaRefs>
</ds:datastoreItem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Santopietro, Michael</dc:creator>
  <cp:keywords/>
  <dc:description/>
  <cp:lastModifiedBy>Chavda, Pravin</cp:lastModifiedBy>
  <cp:revision>3</cp:revision>
  <dcterms:created xsi:type="dcterms:W3CDTF">2024-01-31T15:39:00Z</dcterms:created>
  <dcterms:modified xsi:type="dcterms:W3CDTF">2024-01-31T15:42:00Z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0x0101004E3218198187E3429A2011EFF59FF3B8</vt:lpwstr>
  </property>
</Properties>
</file>