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Statically 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yped Languages: In statically typed languages, the data types of variables are determined and checked at compile time. This means that the programmer must declare the data type of each variable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explicitly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before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using it in the code. Once the data type is assigned, it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cannot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be changed during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the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program's execution. The compiler checks for type compatibility and ensures that operations are performed on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compatible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data types.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Dynamically Typed Languages: In dynamically typed languages, the data types of variables are determined and checked at runtime, while the program is executing. Unlike statically typed languages, you don't need to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explicitly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declare the data type of a variable; the type is inferred based on the value assigned to the variable during execution. This flexibility allows variables to change their type during the program's lifetime.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In Java, a variable is a named memory location that holds a value of a particular data type. Variables are fundamental elements in programming, and they allow you to store, retrieve, and manipulate data within a program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374151"/>
          <w:spacing w:val="0"/>
          <w:sz w:val="28"/>
          <w:szCs w:val="28"/>
          <w:shd w:val="clear" w:color="auto" w:fill="auto"/>
          <w:lang w:val="en-IN"/>
        </w:rPr>
        <w:t>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  <w:t>ata_type variable name = value;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  <w:t>byte  , short,int,long ,booelan,char,float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In Java, an identifier is a name used to identify a class, method, variable, or other programming elements within the code. 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374151"/>
          <w:spacing w:val="0"/>
          <w:sz w:val="28"/>
          <w:szCs w:val="28"/>
          <w:shd w:val="clear" w:color="auto" w:fill="auto"/>
          <w:lang w:val="en-IN"/>
        </w:rPr>
        <w:t>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  <w:t xml:space="preserve">g ; public , class, int , variable   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374151"/>
          <w:spacing w:val="0"/>
          <w:sz w:val="28"/>
          <w:szCs w:val="28"/>
          <w:shd w:val="clear" w:color="auto" w:fill="auto"/>
          <w:lang w:val="en-IN"/>
        </w:rPr>
        <w:t>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  <w:t>rithmetic operators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374151"/>
          <w:spacing w:val="0"/>
          <w:sz w:val="28"/>
          <w:szCs w:val="28"/>
          <w:shd w:val="clear" w:color="auto" w:fill="auto"/>
          <w:lang w:val="en-IN"/>
        </w:rPr>
        <w:t>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  <w:t xml:space="preserve">ssignment 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  <w:t xml:space="preserve"> Operators</w:t>
      </w:r>
    </w:p>
    <w:p>
      <w:pPr>
        <w:numPr>
          <w:numId w:val="0"/>
        </w:numPr>
        <w:ind w:leftChars="0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  <w:t>Comparison Operators</w:t>
      </w:r>
    </w:p>
    <w:p>
      <w:pPr>
        <w:numPr>
          <w:numId w:val="0"/>
        </w:numPr>
        <w:ind w:leftChars="0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  <w:t>Logical Operators</w:t>
      </w:r>
    </w:p>
    <w:p>
      <w:pPr>
        <w:numPr>
          <w:numId w:val="0"/>
        </w:numPr>
        <w:ind w:leftChars="0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  <w:t>Unary Operators</w:t>
      </w:r>
    </w:p>
    <w:p>
      <w:pPr>
        <w:numPr>
          <w:numId w:val="0"/>
        </w:numPr>
        <w:ind w:leftChars="0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  <w:t>Bitwise Operators</w:t>
      </w:r>
    </w:p>
    <w:p>
      <w:pPr>
        <w:numPr>
          <w:numId w:val="0"/>
        </w:numPr>
        <w:ind w:leftChars="0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Increment Operator (++)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The increment operator (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++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) adds 1 to the value of the variable it is applied to.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1440" w:right="0" w:hanging="360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It can be used as a prefix (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++x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) or a postfix (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x++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) operator, and there is a slight difference between the two usages: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1440" w:right="0" w:hanging="360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Prefix: Increments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 xml:space="preserve"> the value of the variable first and then returns the new value.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1440" w:right="0" w:hanging="360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Postfix: Returns the current value of the variable first and then increments it.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The increment operator only works with numeric data types (byte, short, int, long, float, double) and the char data type.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bdr w:val="single" w:color="D9D9E3" w:sz="2" w:space="0"/>
          <w:shd w:val="clear" w:color="auto" w:fill="auto"/>
          <w:lang w:val="en-US" w:eastAsia="zh-CN" w:bidi="ar"/>
        </w:rPr>
        <w:t>Decrement Operator (--)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The decrement operator (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--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) subtracts 1 from the value of the variable it is applied to.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Like the increment operator, it can be used as a prefix (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--x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) or a postfix (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x--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)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operator, with similar prefix/postfix behavior as described above.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The decrement operator, like the increment operator, only works with numeric data types and the char data type.</w:t>
      </w:r>
    </w:p>
    <w:p>
      <w:pPr>
        <w:numPr>
          <w:numId w:val="0"/>
        </w:numPr>
        <w:ind w:leftChars="0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36E61"/>
    <w:multiLevelType w:val="singleLevel"/>
    <w:tmpl w:val="CFF36E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E39C95"/>
    <w:multiLevelType w:val="multilevel"/>
    <w:tmpl w:val="03E39C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CEC5166"/>
    <w:multiLevelType w:val="multilevel"/>
    <w:tmpl w:val="6CEC516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2023-07-27T10:57:39Z</dcterms:created>
  <dc:creator>APPLE COMPUTERS</dc:creator>
  <cp:lastModifiedBy>Vineeth Kumar</cp:lastModifiedBy>
  <dcterms:modified xsi:type="dcterms:W3CDTF">2023-07-27T11:15:18Z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B50FA8A03DAE4143918B73A38C1DFF16</vt:lpwstr>
  </property>
</Properties>
</file>