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62" w:after="0" w:line="240"/>
        <w:ind w:right="0" w:left="0" w:firstLine="0"/>
        <w:jc w:val="center"/>
        <w:rPr>
          <w:rFonts w:ascii="Arial" w:hAnsi="Arial" w:cs="Arial" w:eastAsia="Arial"/>
          <w:b/>
          <w:color w:val="auto"/>
          <w:spacing w:val="0"/>
          <w:position w:val="0"/>
          <w:sz w:val="36"/>
          <w:shd w:fill="auto" w:val="clear"/>
        </w:rPr>
      </w:pPr>
      <w:r>
        <w:rPr>
          <w:rFonts w:ascii="Arial" w:hAnsi="Arial" w:cs="Arial" w:eastAsia="Arial"/>
          <w:b/>
          <w:color w:val="auto"/>
          <w:spacing w:val="0"/>
          <w:position w:val="0"/>
          <w:sz w:val="36"/>
          <w:shd w:fill="auto" w:val="clear"/>
        </w:rPr>
        <w:t xml:space="preserve">VINEETHA </w:t>
      </w:r>
      <w:r>
        <w:rPr>
          <w:rFonts w:ascii="Arial" w:hAnsi="Arial" w:cs="Arial" w:eastAsia="Arial"/>
          <w:b/>
          <w:color w:val="auto"/>
          <w:spacing w:val="-2"/>
          <w:position w:val="0"/>
          <w:sz w:val="36"/>
          <w:shd w:fill="auto" w:val="clear"/>
        </w:rPr>
        <w:t xml:space="preserve">RAMATHOTA</w:t>
      </w:r>
    </w:p>
    <w:p>
      <w:pPr>
        <w:spacing w:before="256" w:after="0" w:line="240"/>
        <w:ind w:right="0" w:left="0" w:firstLine="0"/>
        <w:jc w:val="center"/>
        <w:rPr>
          <w:rFonts w:ascii="Arial MT" w:hAnsi="Arial MT" w:cs="Arial MT" w:eastAsia="Arial MT"/>
          <w:color w:val="auto"/>
          <w:spacing w:val="0"/>
          <w:position w:val="0"/>
          <w:sz w:val="20"/>
          <w:shd w:fill="auto" w:val="clear"/>
        </w:rPr>
      </w:pPr>
      <w:r>
        <w:rPr>
          <w:rFonts w:ascii="Arial MT" w:hAnsi="Arial MT" w:cs="Arial MT" w:eastAsia="Arial MT"/>
          <w:color w:val="auto"/>
          <w:spacing w:val="0"/>
          <w:position w:val="0"/>
          <w:sz w:val="20"/>
          <w:shd w:fill="auto" w:val="clear"/>
        </w:rPr>
        <w:t xml:space="preserve">Email: </w:t>
      </w:r>
      <w:hyperlink xmlns:r="http://schemas.openxmlformats.org/officeDocument/2006/relationships" r:id="docRId0">
        <w:r>
          <w:rPr>
            <w:rFonts w:ascii="Arial MT" w:hAnsi="Arial MT" w:cs="Arial MT" w:eastAsia="Arial MT"/>
            <w:color w:val="0000FF"/>
            <w:spacing w:val="0"/>
            <w:position w:val="0"/>
            <w:sz w:val="20"/>
            <w:u w:val="single"/>
            <w:shd w:fill="auto" w:val="clear"/>
          </w:rPr>
          <w:t xml:space="preserve">vineetharamathota@gmail.com</w:t>
        </w:r>
      </w:hyperlink>
      <w:r>
        <w:rPr>
          <w:rFonts w:ascii="Arial MT" w:hAnsi="Arial MT" w:cs="Arial MT" w:eastAsia="Arial MT"/>
          <w:color w:val="auto"/>
          <w:spacing w:val="0"/>
          <w:position w:val="0"/>
          <w:sz w:val="20"/>
          <w:shd w:fill="auto" w:val="clear"/>
        </w:rPr>
        <w:t xml:space="preserve"> | Phone: +91 </w:t>
      </w:r>
      <w:r>
        <w:rPr>
          <w:rFonts w:ascii="Arial MT" w:hAnsi="Arial MT" w:cs="Arial MT" w:eastAsia="Arial MT"/>
          <w:color w:val="auto"/>
          <w:spacing w:val="-2"/>
          <w:position w:val="0"/>
          <w:sz w:val="20"/>
          <w:shd w:fill="auto" w:val="clear"/>
        </w:rPr>
        <w:t xml:space="preserve">9494667443</w:t>
      </w:r>
    </w:p>
    <w:p>
      <w:pPr>
        <w:spacing w:before="24" w:after="0" w:line="240"/>
        <w:ind w:right="0" w:left="0" w:firstLine="0"/>
        <w:jc w:val="left"/>
        <w:rPr>
          <w:rFonts w:ascii="Arial MT" w:hAnsi="Arial MT" w:cs="Arial MT" w:eastAsia="Arial MT"/>
          <w:color w:val="auto"/>
          <w:spacing w:val="0"/>
          <w:position w:val="0"/>
          <w:sz w:val="20"/>
          <w:shd w:fill="auto" w:val="clear"/>
        </w:rPr>
      </w:pPr>
    </w:p>
    <w:p>
      <w:pPr>
        <w:spacing w:before="207" w:after="0" w:line="240"/>
        <w:ind w:right="0" w:left="0" w:firstLine="0"/>
        <w:jc w:val="left"/>
        <w:rPr>
          <w:rFonts w:ascii="Arial MT" w:hAnsi="Arial MT" w:cs="Arial MT" w:eastAsia="Arial MT"/>
          <w:color w:val="auto"/>
          <w:spacing w:val="0"/>
          <w:position w:val="0"/>
          <w:sz w:val="26"/>
          <w:shd w:fill="auto" w:val="clear"/>
        </w:rPr>
      </w:pPr>
    </w:p>
    <w:p>
      <w:pPr>
        <w:tabs>
          <w:tab w:val="left" w:pos="8280" w:leader="none"/>
        </w:tabs>
        <w:spacing w:before="0" w:after="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00008A"/>
          <w:spacing w:val="0"/>
          <w:position w:val="0"/>
          <w:sz w:val="24"/>
          <w:shd w:fill="auto" w:val="clear"/>
        </w:rPr>
        <w:t xml:space="preserve">PROFESSIONAL </w:t>
      </w:r>
      <w:r>
        <w:rPr>
          <w:rFonts w:ascii="Times New Roman" w:hAnsi="Times New Roman" w:cs="Times New Roman" w:eastAsia="Times New Roman"/>
          <w:b/>
          <w:color w:val="00008A"/>
          <w:spacing w:val="-2"/>
          <w:position w:val="0"/>
          <w:sz w:val="24"/>
          <w:shd w:fill="auto" w:val="clear"/>
        </w:rPr>
        <w:t xml:space="preserve">SUMMARY</w:t>
      </w:r>
    </w:p>
    <w:p>
      <w:pPr>
        <w:spacing w:before="138" w:after="0" w:line="240"/>
        <w:ind w:right="196"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Detail-oriented Data/ETL Engineer with 5+ years of experience in data ingestion, cloud data integration, pipeline orchestration, and large-scale data processing. Skilled in AWS (Raw &amp; Trusted Zones), Teradata, CI/CD, Snowflakes and scheduling tools. Skilled in building end-to-end data flow from source systems to enterprise data warehouse.Proven ability to analyze complex datasets, ensure data quality, troubleshoot ingestion failures, and deliver production-ready solutions.</w:t>
      </w:r>
    </w:p>
    <w:p>
      <w:pPr>
        <w:spacing w:before="201"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20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00008A"/>
          <w:spacing w:val="0"/>
          <w:position w:val="0"/>
          <w:sz w:val="24"/>
          <w:shd w:fill="auto" w:val="clear"/>
        </w:rPr>
        <w:t xml:space="preserve">WORK </w:t>
      </w:r>
      <w:r>
        <w:rPr>
          <w:rFonts w:ascii="Times New Roman" w:hAnsi="Times New Roman" w:cs="Times New Roman" w:eastAsia="Times New Roman"/>
          <w:b/>
          <w:color w:val="00008A"/>
          <w:spacing w:val="-2"/>
          <w:position w:val="0"/>
          <w:sz w:val="24"/>
          <w:shd w:fill="auto" w:val="clear"/>
        </w:rPr>
        <w:t xml:space="preserve">EXPERIENCE</w:t>
      </w:r>
    </w:p>
    <w:p>
      <w:pPr>
        <w:spacing w:before="138" w:after="0" w:line="240"/>
        <w:ind w:right="0" w:left="20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Associate | Cognizant Technology Solutions (Dec 2021 </w:t>
      </w:r>
      <w:r>
        <w:rPr>
          <w:rFonts w:ascii="Times New Roman" w:hAnsi="Times New Roman" w:cs="Times New Roman" w:eastAsia="Times New Roman"/>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w:t>
      </w:r>
      <w:r>
        <w:rPr>
          <w:rFonts w:ascii="Times New Roman" w:hAnsi="Times New Roman" w:cs="Times New Roman" w:eastAsia="Times New Roman"/>
          <w:b/>
          <w:color w:val="auto"/>
          <w:spacing w:val="-2"/>
          <w:position w:val="0"/>
          <w:sz w:val="24"/>
          <w:shd w:fill="auto" w:val="clear"/>
        </w:rPr>
        <w:t xml:space="preserve">Present)</w:t>
      </w:r>
    </w:p>
    <w:p>
      <w:pPr>
        <w:spacing w:before="240" w:after="0" w:line="240"/>
        <w:ind w:right="0" w:left="18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Data Ingestion, ETL Development &amp; Cloud Integration</w:t>
      </w:r>
    </w:p>
    <w:p>
      <w:pPr>
        <w:spacing w:before="240" w:after="0" w:line="240"/>
        <w:ind w:right="0" w:left="18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Proficiently managed data ingestion process from diverse source to a target system through the adept management of Data pipeline (DPL) methodologies. Engineered and implemented robust ingestion process, consistently maintained keen eye for details and meeting transformation criteria and quality benchmark. Contributed to a data driven environment by ensuring the reliability and integrity of the data that ingested for actionable insight and analytics.</w:t>
      </w:r>
    </w:p>
    <w:p>
      <w:pPr>
        <w:numPr>
          <w:ilvl w:val="0"/>
          <w:numId w:val="12"/>
        </w:numPr>
        <w:spacing w:before="240"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Ingestion of data from raw zone to trusted AWS zone, incorporating Teradata Data Quality (TDQ) checks for seamless flow of information by quality assessment transferred across environment for AWS. Data placement is taken before the ingestion by transferring file to AWS raw zone prior to ingestion process by optimizing data management workflow within AWS environment</w:t>
      </w:r>
      <w:r>
        <w:rPr>
          <w:rFonts w:ascii="Times New Roman" w:hAnsi="Times New Roman" w:cs="Times New Roman" w:eastAsia="Times New Roman"/>
          <w:color w:val="auto"/>
          <w:spacing w:val="0"/>
          <w:position w:val="0"/>
          <w:sz w:val="24"/>
          <w:shd w:fill="auto" w:val="clear"/>
        </w:rPr>
        <w:t xml:space="preserve">.</w:t>
      </w:r>
    </w:p>
    <w:p>
      <w:pPr>
        <w:numPr>
          <w:ilvl w:val="0"/>
          <w:numId w:val="12"/>
        </w:numPr>
        <w:spacing w:before="240"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Ensured proper data placement by transferring files to AWS Raw Zone before ingestion, optimizing workflow and data readiness.</w:t>
      </w:r>
    </w:p>
    <w:p>
      <w:pPr>
        <w:numPr>
          <w:ilvl w:val="0"/>
          <w:numId w:val="12"/>
        </w:numPr>
        <w:spacing w:before="240"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Executed end-to-end ingestion processes involving registration of</w:t>
      </w:r>
      <w:r>
        <w:rPr>
          <w:rFonts w:ascii="Times New Roman" w:hAnsi="Times New Roman" w:cs="Times New Roman" w:eastAsia="Times New Roman"/>
          <w:color w:val="auto"/>
          <w:spacing w:val="0"/>
          <w:position w:val="0"/>
          <w:sz w:val="24"/>
          <w:shd w:fill="auto" w:val="clear"/>
        </w:rPr>
        <w:t xml:space="preserve"> Dataset as per Teradata table, pipelines, connectors, dataset routes, Glue table creating as prerequisite for implementation.</w:t>
      </w:r>
    </w:p>
    <w:p>
      <w:pPr>
        <w:numPr>
          <w:ilvl w:val="0"/>
          <w:numId w:val="12"/>
        </w:numPr>
        <w:spacing w:before="240"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Created detailed techincal documentaion , includeing job dependency, schedules,mapping sheets and design specifications.</w:t>
      </w:r>
    </w:p>
    <w:p>
      <w:pPr>
        <w:numPr>
          <w:ilvl w:val="0"/>
          <w:numId w:val="12"/>
        </w:numPr>
        <w:spacing w:before="240"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Worked on ingestion of data from AWS Trusted Zone to Teradata ensuring timely and accurate deilvery of datasets for downstream analytical teams..</w:t>
      </w:r>
    </w:p>
    <w:p>
      <w:pPr>
        <w:numPr>
          <w:ilvl w:val="0"/>
          <w:numId w:val="12"/>
        </w:numPr>
        <w:spacing w:before="240"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Collaborated closely with the URDS team for dataset readiness, metadata alignment, and trusted zone data availability.</w:t>
      </w:r>
    </w:p>
    <w:p>
      <w:pPr>
        <w:numPr>
          <w:ilvl w:val="0"/>
          <w:numId w:val="12"/>
        </w:numPr>
        <w:spacing w:before="240"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Supported the migration of teradata workloads to Snowflake by designing and developing refined datasets, pipelines and AWS glue tables uinsg DPL framework to enable seamless transition of data assesrs to the snowflake ennvironment.</w:t>
      </w:r>
    </w:p>
    <w:p>
      <w:pPr>
        <w:numPr>
          <w:ilvl w:val="0"/>
          <w:numId w:val="12"/>
        </w:numPr>
        <w:spacing w:before="240"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Created snowflake tables and views alligment with refined data models ensuring schema accuracy , performance optimization, and compatibility and downsteam anaytical use case.</w:t>
      </w:r>
    </w:p>
    <w:p>
      <w:pPr>
        <w:numPr>
          <w:ilvl w:val="0"/>
          <w:numId w:val="12"/>
        </w:numPr>
        <w:spacing w:before="240"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Enabled smooth migration workflows by integrating DPL ingestion process with Snowflake data loading patterns.</w:t>
      </w:r>
    </w:p>
    <w:p>
      <w:pPr>
        <w:spacing w:before="240"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240" w:after="0" w:line="240"/>
        <w:ind w:right="0" w:left="27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Data Quality, Analysis &amp; Validation</w:t>
      </w:r>
    </w:p>
    <w:p>
      <w:pPr>
        <w:numPr>
          <w:ilvl w:val="0"/>
          <w:numId w:val="16"/>
        </w:numPr>
        <w:spacing w:before="240"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Analyzed delimiter patterns, file encoding, and structural attributes to ensure ingestion feasibility and transformation accuracy.</w:t>
      </w:r>
    </w:p>
    <w:p>
      <w:pPr>
        <w:numPr>
          <w:ilvl w:val="0"/>
          <w:numId w:val="16"/>
        </w:numPr>
        <w:spacing w:before="240"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Performed checksum comparison and systematic validation for confirming data integrity between source and target.</w:t>
      </w:r>
    </w:p>
    <w:p>
      <w:pPr>
        <w:numPr>
          <w:ilvl w:val="0"/>
          <w:numId w:val="16"/>
        </w:numPr>
        <w:spacing w:before="240"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Conducted detailed analysis of failed files by reviewing logs, identifying root causes, and applying corrective measures.</w:t>
      </w:r>
      <w:r>
        <w:rPr>
          <w:rFonts w:ascii="Times New Roman" w:hAnsi="Times New Roman" w:cs="Times New Roman" w:eastAsia="Times New Roman"/>
          <w:color w:val="auto"/>
          <w:spacing w:val="0"/>
          <w:position w:val="0"/>
          <w:sz w:val="24"/>
          <w:shd w:fill="auto" w:val="clear"/>
        </w:rPr>
        <w:t xml:space="preserve">Analyzed data issues, resolved failures in flow and perform impact anaysis for chnage and enhancement.</w:t>
      </w:r>
    </w:p>
    <w:p>
      <w:pPr>
        <w:numPr>
          <w:ilvl w:val="0"/>
          <w:numId w:val="16"/>
        </w:numPr>
        <w:spacing w:before="240"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Validating data completeness,quality and consistency throghout the migration cycle.</w:t>
      </w:r>
    </w:p>
    <w:p>
      <w:pPr>
        <w:spacing w:before="240" w:after="0" w:line="240"/>
        <w:ind w:right="0" w:left="0" w:firstLine="0"/>
        <w:jc w:val="both"/>
        <w:rPr>
          <w:rFonts w:ascii="Times New Roman" w:hAnsi="Times New Roman" w:cs="Times New Roman" w:eastAsia="Times New Roman"/>
          <w:b/>
          <w:color w:val="auto"/>
          <w:spacing w:val="0"/>
          <w:position w:val="0"/>
          <w:sz w:val="24"/>
          <w:shd w:fill="auto" w:val="clear"/>
        </w:rPr>
      </w:pPr>
    </w:p>
    <w:p>
      <w:pPr>
        <w:spacing w:before="240" w:after="0" w:line="240"/>
        <w:ind w:right="0" w:left="27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Ab Initio, Transformation &amp; Processing</w:t>
      </w:r>
    </w:p>
    <w:p>
      <w:pPr>
        <w:numPr>
          <w:ilvl w:val="0"/>
          <w:numId w:val="19"/>
        </w:numPr>
        <w:spacing w:before="240"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Maintained Ab Initio ETL pipelines to meet target requirements aligned with Informatica transformation logic.</w:t>
      </w:r>
    </w:p>
    <w:p>
      <w:pPr>
        <w:numPr>
          <w:ilvl w:val="0"/>
          <w:numId w:val="19"/>
        </w:numPr>
        <w:spacing w:before="240"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Performed source-to-target mapping, data validation and transformation logic according to business requirement.</w:t>
      </w:r>
      <w:r>
        <w:rPr>
          <w:rFonts w:ascii="Times New Roman" w:hAnsi="Times New Roman" w:cs="Times New Roman" w:eastAsia="Times New Roman"/>
          <w:color w:val="auto"/>
          <w:spacing w:val="0"/>
          <w:position w:val="0"/>
          <w:sz w:val="24"/>
          <w:shd w:fill="auto" w:val="clear"/>
        </w:rPr>
        <w:t xml:space="preserve">.</w:t>
      </w:r>
    </w:p>
    <w:p>
      <w:pPr>
        <w:numPr>
          <w:ilvl w:val="0"/>
          <w:numId w:val="19"/>
        </w:numPr>
        <w:spacing w:before="240"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Ensured high-quality ingestion by validating extracted data before processing.</w:t>
      </w:r>
    </w:p>
    <w:p>
      <w:pPr>
        <w:spacing w:before="240" w:after="0" w:line="240"/>
        <w:ind w:right="0" w:left="540" w:hanging="180"/>
        <w:jc w:val="both"/>
        <w:rPr>
          <w:rFonts w:ascii="Times New Roman" w:hAnsi="Times New Roman" w:cs="Times New Roman" w:eastAsia="Times New Roman"/>
          <w:b/>
          <w:color w:val="auto"/>
          <w:spacing w:val="0"/>
          <w:position w:val="0"/>
          <w:sz w:val="24"/>
          <w:shd w:fill="auto" w:val="clear"/>
        </w:rPr>
      </w:pPr>
    </w:p>
    <w:p>
      <w:pPr>
        <w:spacing w:before="240" w:after="0" w:line="240"/>
        <w:ind w:right="0" w:left="540" w:hanging="18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CI/CD, Deployment &amp; Automation</w:t>
      </w:r>
    </w:p>
    <w:p>
      <w:pPr>
        <w:numPr>
          <w:ilvl w:val="0"/>
          <w:numId w:val="21"/>
        </w:numPr>
        <w:spacing w:before="240"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Automated deployment using Skaffold, Kaniko, Docker, and configured YAML files for container image builds.</w:t>
      </w:r>
    </w:p>
    <w:p>
      <w:pPr>
        <w:numPr>
          <w:ilvl w:val="0"/>
          <w:numId w:val="21"/>
        </w:numPr>
        <w:spacing w:before="240" w:after="0" w:line="240"/>
        <w:ind w:right="0" w:left="720" w:hanging="36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Methodically committed and pushed code to Bitbucket repositories, triggers CI/CD pipelines by running Jules build that places the image in the register container from local once build is successful</w:t>
      </w:r>
      <w:r>
        <w:rPr>
          <w:rFonts w:ascii="Times New Roman" w:hAnsi="Times New Roman" w:cs="Times New Roman" w:eastAsia="Times New Roman"/>
          <w:color w:val="auto"/>
          <w:spacing w:val="0"/>
          <w:position w:val="0"/>
          <w:sz w:val="24"/>
          <w:shd w:fill="auto" w:val="clear"/>
        </w:rPr>
        <w:t xml:space="preserve">.</w:t>
      </w:r>
    </w:p>
    <w:p>
      <w:pPr>
        <w:spacing w:before="240" w:after="0" w:line="240"/>
        <w:ind w:right="0" w:left="27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Scheduling &amp; Production Support</w:t>
      </w:r>
    </w:p>
    <w:p>
      <w:pPr>
        <w:numPr>
          <w:ilvl w:val="0"/>
          <w:numId w:val="23"/>
        </w:numPr>
        <w:spacing w:before="240"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Successfully navigated ingestion challenges by leveraging using scheduling tool control-m automation and adeptly utilizing command -line operations in putty</w:t>
      </w:r>
      <w:r>
        <w:rPr>
          <w:rFonts w:ascii="Times New Roman" w:hAnsi="Times New Roman" w:cs="Times New Roman" w:eastAsia="Times New Roman"/>
          <w:color w:val="auto"/>
          <w:spacing w:val="0"/>
          <w:position w:val="0"/>
          <w:sz w:val="24"/>
          <w:shd w:fill="auto" w:val="clear"/>
        </w:rPr>
        <w:t xml:space="preserve">.</w:t>
      </w:r>
    </w:p>
    <w:p>
      <w:pPr>
        <w:numPr>
          <w:ilvl w:val="0"/>
          <w:numId w:val="23"/>
        </w:numPr>
        <w:spacing w:before="240"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Provided strong production support by monitoring ingestion jobs, addressing failures, and ensuring minimal downtime.</w:t>
      </w:r>
    </w:p>
    <w:p>
      <w:pPr>
        <w:numPr>
          <w:ilvl w:val="0"/>
          <w:numId w:val="23"/>
        </w:numPr>
        <w:spacing w:before="240"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Responded promptly to team queries and provided technical support whenever required.</w:t>
      </w:r>
    </w:p>
    <w:p>
      <w:pPr>
        <w:numPr>
          <w:ilvl w:val="0"/>
          <w:numId w:val="23"/>
        </w:numPr>
        <w:spacing w:before="240"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Developed and scheduled control-M jobs to orchestrate end-to-end data movement from AWS trusted zone to snowflake environments ensuring timely ,automated and reliable data delivery.</w:t>
      </w:r>
    </w:p>
    <w:p>
      <w:pPr>
        <w:spacing w:before="240" w:after="0" w:line="240"/>
        <w:ind w:right="0" w:left="0" w:firstLine="0"/>
        <w:jc w:val="both"/>
        <w:rPr>
          <w:rFonts w:ascii="Times New Roman" w:hAnsi="Times New Roman" w:cs="Times New Roman" w:eastAsia="Times New Roman"/>
          <w:b/>
          <w:color w:val="auto"/>
          <w:spacing w:val="0"/>
          <w:position w:val="0"/>
          <w:sz w:val="24"/>
          <w:shd w:fill="auto" w:val="clear"/>
        </w:rPr>
      </w:pPr>
    </w:p>
    <w:p>
      <w:pPr>
        <w:spacing w:before="240" w:after="0" w:line="240"/>
        <w:ind w:right="0" w:left="27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Additional Responsibilities</w:t>
      </w:r>
    </w:p>
    <w:p>
      <w:pPr>
        <w:numPr>
          <w:ilvl w:val="0"/>
          <w:numId w:val="26"/>
        </w:numPr>
        <w:spacing w:before="240"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Maintained confidential data and performed internal security checks including password audits.</w:t>
      </w:r>
    </w:p>
    <w:p>
      <w:pPr>
        <w:numPr>
          <w:ilvl w:val="0"/>
          <w:numId w:val="26"/>
        </w:numPr>
        <w:spacing w:before="240" w:after="0" w:line="24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Developed strong analytical and troubleshooting skills through continuous log analysis and issue resolution.</w:t>
      </w:r>
    </w:p>
    <w:p>
      <w:pPr>
        <w:spacing w:before="240" w:after="0" w:line="240"/>
        <w:ind w:right="0" w:left="0" w:firstLine="0"/>
        <w:jc w:val="both"/>
        <w:rPr>
          <w:rFonts w:ascii="Times New Roman" w:hAnsi="Times New Roman" w:cs="Times New Roman" w:eastAsia="Times New Roman"/>
          <w:color w:val="auto"/>
          <w:spacing w:val="0"/>
          <w:position w:val="0"/>
          <w:sz w:val="24"/>
          <w:shd w:fill="auto" w:val="clear"/>
        </w:rPr>
      </w:pPr>
    </w:p>
    <w:p>
      <w:pPr>
        <w:spacing w:before="0" w:after="0" w:line="240"/>
        <w:ind w:right="0" w:left="20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00008A"/>
          <w:spacing w:val="0"/>
          <w:position w:val="0"/>
          <w:sz w:val="24"/>
          <w:shd w:fill="auto" w:val="clear"/>
        </w:rPr>
        <w:t xml:space="preserve">TECHNICAL </w:t>
      </w:r>
      <w:r>
        <w:rPr>
          <w:rFonts w:ascii="Times New Roman" w:hAnsi="Times New Roman" w:cs="Times New Roman" w:eastAsia="Times New Roman"/>
          <w:b/>
          <w:color w:val="00008A"/>
          <w:spacing w:val="-2"/>
          <w:position w:val="0"/>
          <w:sz w:val="24"/>
          <w:shd w:fill="auto" w:val="clear"/>
        </w:rPr>
        <w:t xml:space="preserve">SKILLS</w:t>
      </w:r>
    </w:p>
    <w:p>
      <w:pPr>
        <w:spacing w:before="138" w:after="0" w:line="240"/>
        <w:ind w:right="4140" w:left="20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Languages:</w:t>
      </w:r>
      <w:r>
        <w:rPr>
          <w:rFonts w:ascii="Times New Roman" w:hAnsi="Times New Roman" w:cs="Times New Roman" w:eastAsia="Times New Roman"/>
          <w:color w:val="auto"/>
          <w:spacing w:val="0"/>
          <w:position w:val="0"/>
          <w:sz w:val="24"/>
          <w:shd w:fill="auto" w:val="clear"/>
        </w:rPr>
        <w:t xml:space="preserve">Python,SQL, C programming</w:t>
      </w:r>
    </w:p>
    <w:p>
      <w:pPr>
        <w:tabs>
          <w:tab w:val="left" w:pos="5310" w:leader="none"/>
        </w:tabs>
        <w:spacing w:before="138" w:after="0" w:line="240"/>
        <w:ind w:right="2430" w:left="20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Cloud:</w:t>
      </w:r>
      <w:r>
        <w:rPr>
          <w:rFonts w:ascii="Times New Roman" w:hAnsi="Times New Roman" w:cs="Times New Roman" w:eastAsia="Times New Roman"/>
          <w:b/>
          <w:color w:val="auto"/>
          <w:spacing w:val="-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AWS</w:t>
      </w:r>
      <w:r>
        <w:rPr>
          <w:rFonts w:ascii="Times New Roman" w:hAnsi="Times New Roman" w:cs="Times New Roman" w:eastAsia="Times New Roman"/>
          <w:color w:val="auto"/>
          <w:spacing w:val="-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(RawZone,</w:t>
      </w:r>
      <w:r>
        <w:rPr>
          <w:rFonts w:ascii="Times New Roman" w:hAnsi="Times New Roman" w:cs="Times New Roman" w:eastAsia="Times New Roman"/>
          <w:color w:val="auto"/>
          <w:spacing w:val="-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Trusted</w:t>
      </w:r>
      <w:r>
        <w:rPr>
          <w:rFonts w:ascii="Times New Roman" w:hAnsi="Times New Roman" w:cs="Times New Roman" w:eastAsia="Times New Roman"/>
          <w:color w:val="auto"/>
          <w:spacing w:val="-7"/>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Zone,S3) ,Snowflake Schema(Helio ,constellation)</w:t>
      </w:r>
    </w:p>
    <w:p>
      <w:pPr>
        <w:spacing w:before="138" w:after="0" w:line="240"/>
        <w:ind w:right="2880" w:left="20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ETL /BigData:</w:t>
      </w:r>
      <w:r>
        <w:rPr>
          <w:rFonts w:ascii="Times New Roman" w:hAnsi="Times New Roman" w:cs="Times New Roman" w:eastAsia="Times New Roman"/>
          <w:color w:val="auto"/>
          <w:spacing w:val="0"/>
          <w:position w:val="0"/>
          <w:sz w:val="24"/>
          <w:shd w:fill="auto" w:val="clear"/>
        </w:rPr>
        <w:t xml:space="preserve">DPL</w:t>
      </w:r>
      <w:r>
        <w:rPr>
          <w:rFonts w:ascii="Times New Roman" w:hAnsi="Times New Roman" w:cs="Times New Roman" w:eastAsia="Times New Roman"/>
          <w:color w:val="auto"/>
          <w:spacing w:val="0"/>
          <w:position w:val="0"/>
          <w:sz w:val="24"/>
          <w:shd w:fill="auto" w:val="clear"/>
        </w:rPr>
        <w:t xml:space="preserve">Hadoop,Abinitio(basics)</w:t>
      </w:r>
    </w:p>
    <w:p>
      <w:pPr>
        <w:spacing w:before="138" w:after="0" w:line="240"/>
        <w:ind w:right="4590" w:left="20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Tools: </w:t>
      </w:r>
      <w:r>
        <w:rPr>
          <w:rFonts w:ascii="Times New Roman" w:hAnsi="Times New Roman" w:cs="Times New Roman" w:eastAsia="Times New Roman"/>
          <w:color w:val="auto"/>
          <w:spacing w:val="0"/>
          <w:position w:val="0"/>
          <w:sz w:val="24"/>
          <w:shd w:fill="auto" w:val="clear"/>
        </w:rPr>
        <w:t xml:space="preserve">Control-M, Bitbucket, Jules </w:t>
      </w:r>
    </w:p>
    <w:p>
      <w:pPr>
        <w:spacing w:before="138" w:after="0" w:line="240"/>
        <w:ind w:right="4590" w:left="20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Databases: </w:t>
      </w:r>
      <w:r>
        <w:rPr>
          <w:rFonts w:ascii="Times New Roman" w:hAnsi="Times New Roman" w:cs="Times New Roman" w:eastAsia="Times New Roman"/>
          <w:color w:val="auto"/>
          <w:spacing w:val="0"/>
          <w:position w:val="0"/>
          <w:sz w:val="24"/>
          <w:shd w:fill="auto" w:val="clear"/>
        </w:rPr>
        <w:t xml:space="preserve">Teradata, MySQL</w:t>
      </w:r>
    </w:p>
    <w:p>
      <w:pPr>
        <w:spacing w:before="138" w:after="0" w:line="240"/>
        <w:ind w:right="4590" w:left="20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Scripting </w:t>
      </w:r>
      <w:r>
        <w:rPr>
          <w:rFonts w:ascii="Times New Roman" w:hAnsi="Times New Roman" w:cs="Times New Roman" w:eastAsia="Times New Roman"/>
          <w:color w:val="auto"/>
          <w:spacing w:val="0"/>
          <w:position w:val="0"/>
          <w:sz w:val="24"/>
          <w:shd w:fill="auto" w:val="clear"/>
        </w:rPr>
        <w:t xml:space="preserve">: Unix shell</w:t>
      </w:r>
    </w:p>
    <w:p>
      <w:pPr>
        <w:spacing w:before="0" w:after="0" w:line="240"/>
        <w:ind w:right="4002" w:left="200" w:firstLine="0"/>
        <w:jc w:val="both"/>
        <w:rPr>
          <w:rFonts w:ascii="Times New Roman" w:hAnsi="Times New Roman" w:cs="Times New Roman" w:eastAsia="Times New Roman"/>
          <w:color w:val="auto"/>
          <w:spacing w:val="0"/>
          <w:position w:val="0"/>
          <w:sz w:val="24"/>
          <w:shd w:fill="auto" w:val="clear"/>
        </w:rPr>
      </w:pPr>
    </w:p>
    <w:p>
      <w:pPr>
        <w:spacing w:before="0" w:after="0" w:line="240"/>
        <w:ind w:right="990" w:left="20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Data concepts </w:t>
      </w:r>
      <w:r>
        <w:rPr>
          <w:rFonts w:ascii="Times New Roman" w:hAnsi="Times New Roman" w:cs="Times New Roman" w:eastAsia="Times New Roman"/>
          <w:color w:val="auto"/>
          <w:spacing w:val="0"/>
          <w:position w:val="0"/>
          <w:sz w:val="24"/>
          <w:shd w:fill="auto" w:val="clear"/>
        </w:rPr>
        <w:t xml:space="preserve">: Data warehousing , Data ingestion,Data validation,Data quality checks</w:t>
      </w:r>
    </w:p>
    <w:p>
      <w:pPr>
        <w:spacing w:before="201" w:after="0" w:line="240"/>
        <w:ind w:right="0" w:left="0" w:firstLine="0"/>
        <w:jc w:val="both"/>
        <w:rPr>
          <w:rFonts w:ascii="Times New Roman" w:hAnsi="Times New Roman" w:cs="Times New Roman" w:eastAsia="Times New Roman"/>
          <w:color w:val="auto"/>
          <w:spacing w:val="0"/>
          <w:position w:val="0"/>
          <w:sz w:val="24"/>
          <w:shd w:fill="auto" w:val="clear"/>
        </w:rPr>
      </w:pPr>
    </w:p>
    <w:p>
      <w:pPr>
        <w:spacing w:before="0" w:after="0" w:line="240"/>
        <w:ind w:right="0" w:left="20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00008A"/>
          <w:spacing w:val="-2"/>
          <w:position w:val="0"/>
          <w:sz w:val="24"/>
          <w:shd w:fill="auto" w:val="clear"/>
        </w:rPr>
        <w:t xml:space="preserve">CERTIFICATIONS</w:t>
      </w:r>
    </w:p>
    <w:p>
      <w:pPr>
        <w:numPr>
          <w:ilvl w:val="0"/>
          <w:numId w:val="37"/>
        </w:numPr>
        <w:tabs>
          <w:tab w:val="left" w:pos="331" w:leader="none"/>
        </w:tabs>
        <w:spacing w:before="138" w:after="0" w:line="240"/>
        <w:ind w:right="0" w:left="331" w:hanging="131"/>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Python for Beginners (Python </w:t>
      </w:r>
      <w:r>
        <w:rPr>
          <w:rFonts w:ascii="Times New Roman" w:hAnsi="Times New Roman" w:cs="Times New Roman" w:eastAsia="Times New Roman"/>
          <w:color w:val="auto"/>
          <w:spacing w:val="-5"/>
          <w:position w:val="0"/>
          <w:sz w:val="24"/>
          <w:shd w:fill="auto" w:val="clear"/>
        </w:rPr>
        <w:t xml:space="preserve">3)</w:t>
      </w:r>
    </w:p>
    <w:p>
      <w:pPr>
        <w:numPr>
          <w:ilvl w:val="0"/>
          <w:numId w:val="37"/>
        </w:numPr>
        <w:tabs>
          <w:tab w:val="left" w:pos="331" w:leader="none"/>
        </w:tabs>
        <w:spacing w:before="39" w:after="0" w:line="240"/>
        <w:ind w:right="0" w:left="331" w:hanging="131"/>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Python for </w:t>
      </w:r>
      <w:r>
        <w:rPr>
          <w:rFonts w:ascii="Times New Roman" w:hAnsi="Times New Roman" w:cs="Times New Roman" w:eastAsia="Times New Roman"/>
          <w:color w:val="auto"/>
          <w:spacing w:val="-2"/>
          <w:position w:val="0"/>
          <w:sz w:val="24"/>
          <w:shd w:fill="auto" w:val="clear"/>
        </w:rPr>
        <w:t xml:space="preserve">Programmers</w:t>
      </w:r>
    </w:p>
    <w:p>
      <w:pPr>
        <w:numPr>
          <w:ilvl w:val="0"/>
          <w:numId w:val="37"/>
        </w:numPr>
        <w:tabs>
          <w:tab w:val="left" w:pos="331" w:leader="none"/>
        </w:tabs>
        <w:spacing w:before="38" w:after="0" w:line="240"/>
        <w:ind w:right="0" w:left="331" w:hanging="131"/>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Google Analytics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Udemy</w:t>
      </w:r>
    </w:p>
    <w:p>
      <w:pPr>
        <w:numPr>
          <w:ilvl w:val="0"/>
          <w:numId w:val="37"/>
        </w:numPr>
        <w:tabs>
          <w:tab w:val="left" w:pos="331" w:leader="none"/>
        </w:tabs>
        <w:spacing w:before="39" w:after="0" w:line="240"/>
        <w:ind w:right="0" w:left="331" w:hanging="131"/>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HTML, CSS, PL/SQL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Udemy</w:t>
      </w:r>
    </w:p>
    <w:p>
      <w:pPr>
        <w:numPr>
          <w:ilvl w:val="0"/>
          <w:numId w:val="37"/>
        </w:numPr>
        <w:tabs>
          <w:tab w:val="left" w:pos="331" w:leader="none"/>
        </w:tabs>
        <w:spacing w:before="38" w:after="0" w:line="240"/>
        <w:ind w:right="0" w:left="331" w:hanging="131"/>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SQL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2"/>
          <w:position w:val="0"/>
          <w:sz w:val="24"/>
          <w:shd w:fill="auto" w:val="clear"/>
        </w:rPr>
        <w:t xml:space="preserve">Udemy</w:t>
      </w:r>
    </w:p>
    <w:p>
      <w:pPr>
        <w:spacing w:before="240" w:after="0" w:line="240"/>
        <w:ind w:right="0" w:left="0" w:firstLine="0"/>
        <w:jc w:val="both"/>
        <w:rPr>
          <w:rFonts w:ascii="Times New Roman" w:hAnsi="Times New Roman" w:cs="Times New Roman" w:eastAsia="Times New Roman"/>
          <w:color w:val="auto"/>
          <w:spacing w:val="0"/>
          <w:position w:val="0"/>
          <w:sz w:val="24"/>
          <w:shd w:fill="auto" w:val="clear"/>
        </w:rPr>
      </w:pPr>
    </w:p>
    <w:p>
      <w:pPr>
        <w:spacing w:before="0" w:after="0" w:line="240"/>
        <w:ind w:right="0" w:left="20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00008A"/>
          <w:spacing w:val="-2"/>
          <w:position w:val="0"/>
          <w:sz w:val="24"/>
          <w:shd w:fill="auto" w:val="clear"/>
        </w:rPr>
        <w:t xml:space="preserve">EDUCATION</w:t>
      </w:r>
    </w:p>
    <w:p>
      <w:pPr>
        <w:spacing w:before="0" w:after="0" w:line="240"/>
        <w:ind w:right="0" w:left="200" w:firstLine="0"/>
        <w:jc w:val="both"/>
        <w:rPr>
          <w:rFonts w:ascii="Times New Roman" w:hAnsi="Times New Roman" w:cs="Times New Roman" w:eastAsia="Times New Roman"/>
          <w:b/>
          <w:color w:val="auto"/>
          <w:spacing w:val="0"/>
          <w:position w:val="0"/>
          <w:sz w:val="24"/>
          <w:shd w:fill="auto" w:val="clear"/>
        </w:rPr>
      </w:pPr>
    </w:p>
    <w:p>
      <w:pPr>
        <w:spacing w:before="73" w:after="0" w:line="240"/>
        <w:ind w:right="0" w:left="20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B.Tech </w:t>
      </w:r>
      <w:r>
        <w:rPr>
          <w:rFonts w:ascii="Times New Roman" w:hAnsi="Times New Roman" w:cs="Times New Roman" w:eastAsia="Times New Roman"/>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Electronics and Communication </w:t>
      </w:r>
      <w:r>
        <w:rPr>
          <w:rFonts w:ascii="Times New Roman" w:hAnsi="Times New Roman" w:cs="Times New Roman" w:eastAsia="Times New Roman"/>
          <w:b/>
          <w:color w:val="auto"/>
          <w:spacing w:val="-2"/>
          <w:position w:val="0"/>
          <w:sz w:val="24"/>
          <w:shd w:fill="auto" w:val="clear"/>
        </w:rPr>
        <w:t xml:space="preserve">Engineering</w:t>
      </w:r>
    </w:p>
    <w:p>
      <w:pPr>
        <w:spacing w:before="38" w:after="0" w:line="240"/>
        <w:ind w:right="3780" w:left="20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Raghu</w:t>
      </w:r>
      <w:r>
        <w:rPr>
          <w:rFonts w:ascii="Times New Roman" w:hAnsi="Times New Roman" w:cs="Times New Roman" w:eastAsia="Times New Roman"/>
          <w:color w:val="auto"/>
          <w:spacing w:val="-1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Institute</w:t>
      </w:r>
      <w:r>
        <w:rPr>
          <w:rFonts w:ascii="Times New Roman" w:hAnsi="Times New Roman" w:cs="Times New Roman" w:eastAsia="Times New Roman"/>
          <w:color w:val="auto"/>
          <w:spacing w:val="-1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of</w:t>
      </w:r>
      <w:r>
        <w:rPr>
          <w:rFonts w:ascii="Times New Roman" w:hAnsi="Times New Roman" w:cs="Times New Roman" w:eastAsia="Times New Roman"/>
          <w:color w:val="auto"/>
          <w:spacing w:val="-1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Technology</w:t>
      </w:r>
      <w:r>
        <w:rPr>
          <w:rFonts w:ascii="Times New Roman" w:hAnsi="Times New Roman" w:cs="Times New Roman" w:eastAsia="Times New Roman"/>
          <w:color w:val="auto"/>
          <w:spacing w:val="-1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(2015</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2019) Percentage: 74.2%</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num w:numId="12">
    <w:abstractNumId w:val="36"/>
  </w:num>
  <w:num w:numId="16">
    <w:abstractNumId w:val="30"/>
  </w:num>
  <w:num w:numId="19">
    <w:abstractNumId w:val="24"/>
  </w:num>
  <w:num w:numId="21">
    <w:abstractNumId w:val="18"/>
  </w:num>
  <w:num w:numId="23">
    <w:abstractNumId w:val="12"/>
  </w:num>
  <w:num w:numId="26">
    <w:abstractNumId w:val="6"/>
  </w:num>
  <w:num w:numId="37">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mailto:vineetharamathota@gmail.com" Id="docRId0" Type="http://schemas.openxmlformats.org/officeDocument/2006/relationships/hyperlink" /><Relationship Target="numbering.xml" Id="docRId1" Type="http://schemas.openxmlformats.org/officeDocument/2006/relationships/numbering" /><Relationship Target="styles.xml" Id="docRId2" Type="http://schemas.openxmlformats.org/officeDocument/2006/relationships/styles" /></Relationships>
</file>