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Service Brief</w:t>
      </w:r>
    </w:p>
    <w:p>
      <w:r>
        <w:t>Lifecycle: Request → Quote → Order → Handover. Approvals &amp; sign-off &lt;required&gt; "before" dispatch.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SLA</w:t>
            </w:r>
          </w:p>
        </w:tc>
      </w:tr>
      <w:tr>
        <w:tc>
          <w:tcPr>
            <w:tcW w:type="dxa" w:w="2880"/>
          </w:tcPr>
          <w:p>
            <w:r>
              <w:t>Dispatcher</w:t>
            </w:r>
          </w:p>
        </w:tc>
        <w:tc>
          <w:tcPr>
            <w:tcW w:type="dxa" w:w="2880"/>
          </w:tcPr>
          <w:p>
            <w:r>
              <w:t>Ops</w:t>
            </w:r>
          </w:p>
        </w:tc>
        <w:tc>
          <w:tcPr>
            <w:tcW w:type="dxa" w:w="2880"/>
          </w:tcPr>
          <w:p>
            <w:r>
              <w:t>4 h</w:t>
            </w:r>
          </w:p>
        </w:tc>
      </w:tr>
    </w:tbl>
    <w:p>
      <w:r>
        <w:t>Ünïcode check: café, 25 °C.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