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VINEETH VIJAYAN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Product Designer | Data-Rich Interfaces | Design Systems | Developer Tooling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Bangalore, India · vineethkv.pro@gmail.com · +91 97473 03518</w:t>
      </w:r>
    </w:p>
    <w:p>
      <w:pPr>
        <w:keepNext/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Product Designer with 15+ years of experience designing complex, data-dense interfaces for expert users, from discovery and information architecture through high-fidelity prototyping, design systems, and production-ready handoff. At Kantar, I have owned analytics products end to end, restructuring dense drill-down workflows into clear investigation flows, and building the design system behind them. I also design for developers: I built and launched DesignForge, a live design-system generator for front-end teams that ships tokens to the codebase through GitHub pull requests. I use AI-assisted workflows (Cursor AI, Claude Code) to prototype and validate ideas quickly, and my designs are grounded in what engineers can build.</w:t>
      </w:r>
    </w:p>
    <w:p>
      <w:pPr>
        <w:keepNext/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Design: </w:t>
      </w:r>
      <w:r>
        <w:rPr>
          <w:rFonts w:ascii="Calibri" w:cs="Calibri" w:eastAsia="Calibri" w:hAnsi="Calibri"/>
          <w:sz w:val="20"/>
          <w:szCs w:val="20"/>
        </w:rPr>
        <w:t xml:space="preserve">Data-Rich Interface Design · Information Architecture · Interaction Design · End-to-End Product Thinking · User Research · Usability Testing · Prototyping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Systems: </w:t>
      </w:r>
      <w:r>
        <w:rPr>
          <w:rFonts w:ascii="Calibri" w:cs="Calibri" w:eastAsia="Calibri" w:hAnsi="Calibri"/>
          <w:sz w:val="20"/>
          <w:szCs w:val="20"/>
        </w:rPr>
        <w:t xml:space="preserve">Component Libraries · Design Tokens · Documentation Standards · Figma Dev Mode · Accessibility (WCAG)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Workflows: </w:t>
      </w:r>
      <w:r>
        <w:rPr>
          <w:rFonts w:ascii="Calibri" w:cs="Calibri" w:eastAsia="Calibri" w:hAnsi="Calibri"/>
          <w:sz w:val="20"/>
          <w:szCs w:val="20"/>
        </w:rPr>
        <w:t xml:space="preserve">Cursor AI · Claude Code · AI-Accelerated Prototyping · Figma-to-Code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 Fluency: </w:t>
      </w:r>
      <w:r>
        <w:rPr>
          <w:rFonts w:ascii="Calibri" w:cs="Calibri" w:eastAsia="Calibri" w:hAnsi="Calibri"/>
          <w:sz w:val="20"/>
          <w:szCs w:val="20"/>
        </w:rPr>
        <w:t xml:space="preserve">HTML · CSS · Angular · React · Next.js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Figma · Adobe XD · Sketch · Illustrator · Photoshop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Process: </w:t>
      </w:r>
      <w:r>
        <w:rPr>
          <w:rFonts w:ascii="Calibri" w:cs="Calibri" w:eastAsia="Calibri" w:hAnsi="Calibri"/>
          <w:sz w:val="20"/>
          <w:szCs w:val="20"/>
        </w:rPr>
        <w:t xml:space="preserve">Agile · Scrum · Design Reviews · Cross-Functional Collaboration · Motion Design</w:t>
      </w:r>
    </w:p>
    <w:p>
      <w:pPr>
        <w:keepNext/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 Designer (Design Engineer)</w:t>
      </w:r>
      <w:r>
        <w:rPr>
          <w:rFonts w:ascii="Calibri" w:cs="Calibri" w:eastAsia="Calibri" w:hAnsi="Calibri"/>
          <w:sz w:val="20"/>
          <w:szCs w:val="20"/>
        </w:rPr>
        <w:t xml:space="preserve"> · Kantar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2022 – Present</w:t>
      </w:r>
    </w:p>
    <w:p>
      <w:pPr>
        <w:keepNext/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Analytics Centre of Excellence (COE) · Design Systems &amp; UI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Took over Lift+, Kantar's cross-channel measurement product, and evolved the live product in stages without a relaunch. Replaced an unstructured layout and arbitrarily placed drill-down filters with a left-nav built around analyst questions (Drivers of Lift, Frequency Curves, Efficiencies, Effectiveness, Dimensionalized Results, Brand Impact on Sales), side-by-side comparison views, and a Summary + Dashboard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Dashboard Management Mode for Lift+ client admins: drag-and-drop reordering, show/hide, sub-widgets, and inline text editing, so admins can self-serve dashboard layout without a developer or designer. Replaced an inaccessible all-black dark theme with an accessible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UX-driven analytics dashboards and configurable portals that let users explore BI data through high-performance interfaces, improving stakeholder engagement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end-to-end experience for "Ask Me," a conversational AI chatbot within the Explorer analytics platform, shaping the interaction model and UI for querying dashboards and data in natural language.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maintained a design system for enterprise analytics products: reusable component libraries, design tokens, and documentation standards adopted across engineering teams. Components and interaction patterns were reused across client products with different data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Pioneered a design-to-code workflow using Cursor AI to turn Figma designs into working front-end code, cutting handoff friction and accelerating delivery. Recognized with the Strategic Collaborator Award.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design reviews and usability testing with product and engineering teams; delivered production-ready Figma prototypes and worked closely with developers through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Championed accessibility, performance, and UX best practices across multiple concurrent initiatives, including WCAG-compliant builds.</w:t>
      </w:r>
    </w:p>
    <w:p>
      <w:pPr>
        <w:keepNext/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User Experience Architect</w:t>
      </w:r>
      <w:r>
        <w:rPr>
          <w:rFonts w:ascii="Calibri" w:cs="Calibri" w:eastAsia="Calibri" w:hAnsi="Calibri"/>
          <w:sz w:val="20"/>
          <w:szCs w:val="20"/>
        </w:rPr>
        <w:t xml:space="preserve"> · Kantar (Analytics Quotient Services India Pvt. Ltd.)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 2017 – Jan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analytics dashboard designs with strong command of UI behavior, wireframes, and prototyping; converted designs into working prototypes and supplied developers with SVGs, sprites, and visual guides.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Presented and defended designs and key milestone deliverables to peers, leadership, and cross-functional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Established design guidelines, best practices, and standards adopted across design and engineering teams; introduced animations and transitions in partnership with developers.</w:t>
      </w:r>
    </w:p>
    <w:p>
      <w:pPr>
        <w:keepNext/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UI Designer</w:t>
      </w:r>
      <w:r>
        <w:rPr>
          <w:rFonts w:ascii="Calibri" w:cs="Calibri" w:eastAsia="Calibri" w:hAnsi="Calibri"/>
          <w:sz w:val="20"/>
          <w:szCs w:val="20"/>
        </w:rPr>
        <w:t xml:space="preserve"> · iVista Web Solutions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2016 –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wireframes and interactive prototypes with product managers and engineers; converted designs into responsive HTML &amp; CSS; used user research to refine iterations.</w:t>
      </w:r>
    </w:p>
    <w:p>
      <w:pPr>
        <w:keepNext/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Designer</w:t>
      </w:r>
      <w:r>
        <w:rPr>
          <w:rFonts w:ascii="Calibri" w:cs="Calibri" w:eastAsia="Calibri" w:hAnsi="Calibri"/>
          <w:sz w:val="20"/>
          <w:szCs w:val="20"/>
        </w:rPr>
        <w:t xml:space="preserve"> · iBizsoft Inc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2011 –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eCommerce web pages for Oracle Applications (EBS, Endeca, ATG) across desktop and mobile for US clients; maintained brand consistency across web, email, and marketing materials.</w:t>
      </w:r>
    </w:p>
    <w:p>
      <w:pPr>
        <w:keepNext/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PROJECT</w:t>
      </w:r>
    </w:p>
    <w:p>
      <w:pPr>
        <w:keepNext/>
        <w:tabs>
          <w:tab w:val="right" w:pos="10466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DesignForge</w:t>
      </w:r>
      <w:r>
        <w:rPr>
          <w:rFonts w:ascii="Calibri" w:cs="Calibri" w:eastAsia="Calibri" w:hAnsi="Calibri"/>
          <w:sz w:val="20"/>
          <w:szCs w:val="20"/>
        </w:rPr>
        <w:t xml:space="preserve"> · Design &amp; Build · design-forge-ten.vercel.app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Early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built a design-system generator for front-end developers who do not use Figma: guided builder for color scales, type ramps, spacing, and component tokens, with live component preview and automatic WCAG contrast checks.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for developer adoption: a three-level token hierarchy (primitive, semantic alias, component) where one change cascades, and a publish flow that opens a reviewable GitHub PR with a token diff, plus CSS, Tailwind, W3C JSON, and CDN export.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AI colour-suggestion interaction with before/after diffs, contrast ratios, and accept/reject controls. Built with AI-assisted development using Claude.</w:t>
      </w:r>
    </w:p>
    <w:p>
      <w:pPr>
        <w:keepNext/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Visual Communication</w:t>
      </w:r>
      <w:r>
        <w:rPr>
          <w:rFonts w:ascii="Calibri" w:cs="Calibri" w:eastAsia="Calibri" w:hAnsi="Calibri"/>
          <w:sz w:val="20"/>
          <w:szCs w:val="20"/>
        </w:rPr>
        <w:t xml:space="preserve"> · Annamalai University (CDOE), 2025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Diploma in Web Designing</w:t>
      </w:r>
      <w:r>
        <w:rPr>
          <w:rFonts w:ascii="Calibri" w:cs="Calibri" w:eastAsia="Calibri" w:hAnsi="Calibri"/>
          <w:sz w:val="20"/>
          <w:szCs w:val="20"/>
        </w:rPr>
        <w:t xml:space="preserve"> · Aptech Computer Education, Kerala (2010 – 2011)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Diploma in Computer Applications</w:t>
      </w:r>
      <w:r>
        <w:rPr>
          <w:rFonts w:ascii="Calibri" w:cs="Calibri" w:eastAsia="Calibri" w:hAnsi="Calibri"/>
          <w:sz w:val="20"/>
          <w:szCs w:val="20"/>
        </w:rPr>
        <w:t xml:space="preserve"> · LBS Centre for Science &amp; Technology (2006 – 2009)</w:t>
      </w:r>
    </w:p>
    <w:p>
      <w:p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Google UX Design Certificate · IBM Enterprise Design Thinking Practitioner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2026-10-13T16:14:53.707Z</dcterms:created>
  <dcterms:modified xsi:type="dcterms:W3CDTF">2026-10-13T16:14:53.713Z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