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PURCHASE OF SHARES</w:t>
      </w:r>
    </w:p>
    <w:p>
      <w:pPr>
        <w:pStyle w:val="ListParagraph"/>
        <w:numPr>
          <w:ilvl w:val="0"/>
          <w:numId w:val="2"/>
        </w:numPr>
      </w:pPr>
      <w:r>
        <w:t xml:space="preserve">PAYMENT OF PURCHASE PRICE</w:t>
      </w:r>
    </w:p>
    <w:p>
      <w:pPr>
        <w:pStyle w:val="ListParagraph"/>
        <w:numPr>
          <w:ilvl w:val="0"/>
          <w:numId w:val="2"/>
        </w:numPr>
      </w:pPr>
      <w:r>
        <w:t xml:space="preserve">REPRESENTATIONS AND WARRANTIES</w:t>
      </w:r>
    </w:p>
    <w:p>
      <w:pPr>
        <w:pStyle w:val="ListParagraph"/>
        <w:numPr>
          <w:ilvl w:val="0"/>
          <w:numId w:val="2"/>
        </w:numPr>
      </w:pPr>
      <w:r>
        <w:t xml:space="preserve">CLOSING CONDITIONS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2026-02-07T02:53:04.308Z</dcterms:created>
  <dcterms:modified xsi:type="dcterms:W3CDTF">2026-02-07T02:53:04.308Z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