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>This Agreement contains the following provisions:</w:t>
      </w:r>
    </w:p>
    <w:p>
      <w:pPr>
        <w:pStyle w:val="ListParagraph"/>
        <w:numPr>
          <w:ilvl w:val="0"/>
          <w:numId w:val="2"/>
        </w:numPr>
      </w:pPr>
      <w:r>
        <w:t xml:space="preserve">PURCHASE OF SHARES</w:t>
      </w:r>
    </w:p>
    <w:p>
      <w:pPr>
        <w:pStyle w:val="ListParagraph"/>
        <w:numPr>
          <w:ilvl w:val="0"/>
          <w:numId w:val="2"/>
        </w:numPr>
      </w:pPr>
      <w:r>
        <w:t xml:space="preserve">PAYMENT OF PURCHASE PRICE</w:t>
      </w:r>
    </w:p>
    <w:p>
      <w:pPr>
        <w:pStyle w:val="ListParagraph"/>
        <w:numPr>
          <w:ilvl w:val="0"/>
          <w:numId w:val="2"/>
        </w:numPr>
      </w:pPr>
      <w:r>
        <w:t xml:space="preserve">CLOSING CONDITIONS</w:t>
      </w:r>
    </w:p>
    <w:p>
      <w:r>
        <w:t xml:space="preserve">The parties agree to the terms above.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2026-02-07T02:53:04.316Z</dcterms:created>
  <dcterms:modified xsi:type="dcterms:W3CDTF">2026-02-07T02:53:04.316Z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