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PURCHASE OF SHARES</w:t>
      </w:r>
    </w:p>
    <w:p>
      <w:pPr>
        <w:pStyle w:val="ListParagraph"/>
        <w:numPr>
          <w:ilvl w:val="0"/>
          <w:numId w:val="2"/>
        </w:numPr>
      </w:pPr>
      <w:r>
        <w:t xml:space="preserve">PAYMENT OF PURCHASE PRICE</w:t>
      </w:r>
    </w:p>
    <w:p>
      <w:pPr>
        <w:pStyle w:val="ListParagraph"/>
        <w:numPr>
          <w:ilvl w:val="0"/>
          <w:numId w:val="2"/>
        </w:numPr>
      </w:pPr>
      <w:r>
        <w:t xml:space="preserve">REPRESENTATIONS AND WARRANTIES</w:t>
      </w:r>
    </w:p>
    <w:p>
      <w:pPr>
        <w:pStyle w:val="ListParagraph"/>
        <w:numPr>
          <w:ilvl w:val="0"/>
          <w:numId w:val="2"/>
        </w:numPr>
      </w:pPr>
      <w:r>
        <w:t xml:space="preserve">CLOSING CONDITIONS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2026-02-07T04:15:46.883Z</dcterms:created>
  <dcterms:modified xsi:type="dcterms:W3CDTF">2026-02-07T04:15:46.883Z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