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Agreement contains the following provisions:</w:t>
      </w:r>
    </w:p>
    <w:p>
      <w:pPr>
        <w:pStyle w:val="ListParagraph"/>
        <w:numPr>
          <w:ilvl w:val="0"/>
          <w:numId w:val="2"/>
        </w:numPr>
      </w:pPr>
      <w:r>
        <w:t xml:space="preserve">PURCHASE OF SHARES</w:t>
      </w:r>
    </w:p>
    <w:p>
      <w:pPr>
        <w:pStyle w:val="ListParagraph"/>
        <w:numPr>
          <w:ilvl w:val="0"/>
          <w:numId w:val="2"/>
        </w:numPr>
      </w:pPr>
      <w:r>
        <w:t xml:space="preserve">PAYMENT OF PURCHASE PRICE</w:t>
      </w:r>
    </w:p>
    <w:p>
      <w:pPr>
        <w:pStyle w:val="ListParagraph"/>
        <w:numPr>
          <w:ilvl w:val="0"/>
          <w:numId w:val="2"/>
        </w:numPr>
      </w:pPr>
      <w:r>
        <w:t xml:space="preserve">CLOSING CONDITIONS</w:t>
      </w:r>
    </w:p>
    <w:p>
      <w:r>
        <w:t xml:space="preserve">The parties agree to the terms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2026-02-07T04:15:46.886Z</dcterms:created>
  <dcterms:modified xsi:type="dcterms:W3CDTF">2026-02-07T04:15:46.886Z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