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r w:rsidRPr="004B59BF">
        <w:t>DER predictors in the energy-burden and affordability-gap models (Model 9). Points are coefficient estimates and horizontal lines are 95% confidence intervals.</w:t>
      </w:r>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del w:id="8101" w:author="Claude (pipeline audit)" w:date="2026-08-11T00:00:00Z">
        <w:r>
          <w:delText xml:space="preserve">Model 9:  Outcome-Specific DER Cross-Control / Extension Models</w:delText>
        </w:r>
      </w:del>
      <w:ins w:id="8102" w:author="Claude (pipeline audit)" w:date="2026-08-11T00:00:00Z">
        <w:r>
          <w:t xml:space="preserve">Models 9 and 9A: Outcome-Specific DER Cross-Control and Extension Models</w:t>
        </w:r>
      </w:ins>
    </w:p>
    <w:p w14:paraId="67D5CC51" w14:textId="4CE25354" w:rsidR="002B54C7" w:rsidRPr="002B54C7" w:rsidRDefault="002B54C7" w:rsidP="008159BC">
      <w:del w:id="8103" w:author="Claude (pipeline audit)" w:date="2026-08-11T00:00:00Z">
        <w:r>
          <w:delText xml:space="preserve">This adds local PV deployment to the storage model to test whether storage disparities persist after conditioning on upstream PV deployment. Model 9 (predicting burden): adds DER deployment terms to the energy-burden outcome models to examine whether DER deployment is associated with household energy burden or affordability gaps.</w:delText>
        </w:r>
      </w:del>
      <w:ins w:id="8104" w:author="Claude (pipeline audit)" w:date="2026-08-11T00:00:00Z">
        <w:r>
          <w:t xml:space="preserve">Model 9 (storage, with PV control) adds local PV deployment to the storage model, to test whether storage disparities persist after conditioning on upstream PV deployment.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ins>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del w:id="8105" w:author="Claude (pipeline audit)" w:date="2026-08-11T00:00:00Z">
        <w:r>
          <w:delText xml:space="preserve">Because Model 9 varies with the outcome, we treat it as a targeted robustness or extension model rather than a single, uniform specification across all outcomes.</w:delText>
        </w:r>
      </w:del>
      <w:ins w:id="8106" w:author="Claude (pipeline audit)" w:date="2026-08-11T00:00:00Z">
        <w:r>
          <w:t xml:space="preserve">Because these two variants differ in both outcome and control set, we treat them as targeted robustness and extension models rather than a single, uniform specification applied across all outcomes.</w:t>
        </w:r>
      </w:ins>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