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rPr>
        <w:t>DRAFT FOR AUTHOR REVIEW. Bracketed items need the authors’ input. Delete this line before upload.</w:t>
      </w:r>
    </w:p>
    <w:p>
      <w:pPr>
        <w:spacing w:after="120"/>
      </w:pPr>
      <w:r>
        <w:rPr>
          <w:b w:val="0"/>
          <w:i w:val="0"/>
        </w:rPr>
        <w:t>[Date]</w:t>
      </w:r>
    </w:p>
    <w:p>
      <w:pPr>
        <w:spacing w:after="120"/>
      </w:pPr>
      <w:r>
        <w:rPr>
          <w:b w:val="0"/>
          <w:i w:val="0"/>
        </w:rPr>
        <w:t>Massachusetts Institute of Technology</w:t>
        <w:br/>
        <w:t>77 Massachusetts Avenue</w:t>
        <w:br/>
        <w:t>Cambridge, MA 02139, USA</w:t>
      </w:r>
    </w:p>
    <w:p>
      <w:pPr>
        <w:spacing w:after="120"/>
      </w:pPr>
      <w:r>
        <w:rPr>
          <w:b w:val="0"/>
          <w:i w:val="0"/>
        </w:rPr>
        <w:t>The Editors</w:t>
        <w:br/>
        <w:t>Nature Sustainability</w:t>
      </w:r>
    </w:p>
    <w:p>
      <w:pPr>
        <w:spacing w:after="120"/>
      </w:pPr>
      <w:r>
        <w:rPr>
          <w:b w:val="0"/>
          <w:i w:val="0"/>
        </w:rPr>
        <w:t>Dear Editors,</w:t>
      </w:r>
    </w:p>
    <w:p>
      <w:pPr>
        <w:spacing w:after="120"/>
      </w:pPr>
      <w:r>
        <w:rPr>
          <w:b w:val="0"/>
          <w:i w:val="0"/>
        </w:rPr>
        <w:t>We are pleased to submit our manuscript, “Inequity in distributed energy resource adoption is technology-specific, not uniform,” for consideration as an Article in Nature Sustainability.</w:t>
      </w:r>
    </w:p>
    <w:p>
      <w:pPr>
        <w:spacing w:after="120"/>
      </w:pPr>
      <w:r>
        <w:rPr>
          <w:b w:val="0"/>
          <w:i w:val="0"/>
        </w:rPr>
        <w:t>Evidence that the clean energy transition reproduces racial disparity rests almost entirely on rooftop solar, most prominently the analysis by Sunter, Castellanos and Kammen in this journal, and it is often assumed to generalize to the other distributed energy resources that households now depend on for bill savings, outage protection and transport electrification. We test that assumption directly. We assemble a harmonized dataset for 1,390 California ZIP Code Tabulation Areas that combines rooftop photovoltaics, customer-sited battery storage and public electric-vehicle charging with census demographics, climate, utility territory and electricity demand, and we estimate one consistent set of specifications across all three technologies, retaining race in every model.</w:t>
      </w:r>
    </w:p>
    <w:p>
      <w:pPr>
        <w:spacing w:after="120"/>
      </w:pPr>
      <w:r>
        <w:rPr>
          <w:b w:val="0"/>
          <w:i w:val="0"/>
        </w:rPr>
        <w:t>The technologies do not share a disparity pattern. Storage, the technology that provides backup power during outages and wildfire shutoffs, shows the most consistent racial and ethnic gaps net of income and poverty, and those gaps are not explained by unequal solar adoption: the Asian-share gap holds in every specification we fit, the Black-share gap survives even the strictest specification (county fixed effects with county-clustered errors), and the Hispanic-share gap holds in all but that one. Area-level housing type and tenure explain roughly a quarter to a half of the solar and storage Black- and Asian-share gaps. Public charger counts, by contrast, are if anything higher in poorer areas, but the inventory excludes home charging, so counts measure infrastructure rather than household access.</w:t>
      </w:r>
    </w:p>
    <w:p>
      <w:pPr>
        <w:spacing w:after="120"/>
      </w:pPr>
      <w:r>
        <w:rPr>
          <w:b w:val="0"/>
          <w:i w:val="0"/>
        </w:rPr>
        <w:t>We think these results suit Nature Sustainability’s readership because they bear directly on how equity in the energy transition is measured and targeted. They imply that equity metrics must be technology-specific, that deployment counts are a poor proxy for usable access, and that eligibility rules keyed only to income can miss communities that are underserved on race-correlated dimensions. The paper draws on energy systems, environmental justice and public policy, and its conclusions are framed for planners and regulators as well as researchers.</w:t>
      </w:r>
    </w:p>
    <w:p>
      <w:pPr>
        <w:spacing w:after="120"/>
      </w:pPr>
      <w:r>
        <w:rPr>
          <w:b w:val="0"/>
          <w:i w:val="0"/>
        </w:rPr>
        <w:t>Because the findings are area-level conditional associations from a cross-section, we have tried to be conservative about what they establish. Every result is traced across a model series and a nested cumulative ladder on a fixed sample, and is checked with a specification curve over 48 confounder combinations, Oster bounds, spatially robust (Conley) standard errors, Poisson pseudo-maximum-likelihood models and spatial error models. The harmonized dataset is deposited at Zenodo (https://doi.org/10.5281/zenodo.22053001) and the full data-construction and analysis code is public under the MIT License.</w:t>
      </w:r>
    </w:p>
    <w:p>
      <w:pPr>
        <w:spacing w:after="120"/>
      </w:pPr>
      <w:r>
        <w:rPr>
          <w:b w:val="0"/>
          <w:i w:val="0"/>
        </w:rPr>
        <w:t>This manuscript has not been published and is not under consideration elsewhere. [State any preprint, for example on arXiv or SSRN, or delete this sentence.] All authors have approved the submission, and the authors declare no competing interests.</w:t>
      </w:r>
    </w:p>
    <w:p>
      <w:pPr>
        <w:spacing w:after="120"/>
      </w:pPr>
      <w:r>
        <w:rPr>
          <w:b w:val="0"/>
          <w:i w:val="0"/>
        </w:rPr>
        <w:t>[Optional: suggested reviewers, with institutions and email addresses, and any reviewers to exclude.]</w:t>
      </w:r>
    </w:p>
    <w:p>
      <w:pPr>
        <w:spacing w:after="120"/>
      </w:pPr>
      <w:r>
        <w:rPr>
          <w:b w:val="0"/>
          <w:i w:val="0"/>
        </w:rPr>
        <w:t>Thank you for considering our work. We look forward to hearing from you.</w:t>
      </w:r>
    </w:p>
    <w:p>
      <w:pPr>
        <w:spacing w:after="120"/>
      </w:pPr>
      <w:r>
        <w:rPr>
          <w:b w:val="0"/>
          <w:i w:val="0"/>
        </w:rPr>
        <w:t>Sincerely,</w:t>
      </w:r>
    </w:p>
    <w:p>
      <w:pPr>
        <w:spacing w:after="120"/>
      </w:pPr>
      <w:r>
        <w:rPr>
          <w:b w:val="0"/>
          <w:i w:val="0"/>
        </w:rPr>
        <w:t>Vineet Jagadeesan Nair</w:t>
        <w:br/>
        <w:t>On behalf of Danielle Knutson and Anuradha Annaswamy</w:t>
        <w:br/>
        <w:t>Massachusetts Institute of Technology</w:t>
        <w:br/>
        <w:t>jvineet9@mit.edu</w:t>
      </w:r>
    </w:p>
    <w:p>
      <w:r>
        <w:br w:type="page"/>
      </w:r>
    </w:p>
    <w:p>
      <w:pPr>
        <w:spacing w:after="120"/>
      </w:pPr>
      <w:r>
        <w:rPr>
          <w:b/>
          <w:i w:val="0"/>
        </w:rPr>
        <w:t>Notes for the authors (not part of the letter)</w:t>
      </w:r>
    </w:p>
    <w:p>
      <w:pPr>
        <w:spacing w:after="120"/>
      </w:pPr>
      <w:r>
        <w:rPr>
          <w:b w:val="0"/>
          <w:i/>
          <w:sz w:val="20"/>
        </w:rPr>
        <w:t>Suggested-reviewer candidates drawn from the paper’s reference list, to check for conflicts of interest before naming anyone: D. A. Sunter and D. M. Kammen (racial disparities in rooftop PV, ref. 2); A. M. Brockway and D. Callaway (hosting-capacity limits on DER access in California, ref. 13); T. G. Reames (distributional disparities in rooftop solar, ref. 4); N. R. Darghouth, E. O’Shaughnessy and S. P. Forrester (rooftop solar adoption inequity and energy burden, refs 5 and 10).</w:t>
      </w:r>
    </w:p>
    <w:p>
      <w:pPr>
        <w:spacing w:after="120"/>
      </w:pPr>
      <w:r>
        <w:rPr>
          <w:b w:val="0"/>
          <w:i/>
          <w:sz w:val="20"/>
        </w:rPr>
        <w:t>The Zenodo DOI in the manuscript is the concept DOI, which always resolves to the latest version. The deposited v1.1.0 still holds the storage outcome built before the 28 Oct aggregation fix, so publish a v1.2.0 with the rebuilt data before submitting.</w:t>
      </w:r>
    </w:p>
    <w:p/>
    <w:p>
      <w:pPr>
        <w:spacing w:after="120"/>
      </w:pPr>
      <w:r>
        <w:rPr>
          <w:b/>
          <w:i w:val="0"/>
        </w:rPr>
        <w:t>Draft Reporting Summary answers (Nature Portfolio, behavioural and social sciences study design)</w:t>
      </w:r>
    </w:p>
    <w:tbl>
      <w:tblPr>
        <w:tblStyle w:val="TableGrid"/>
        <w:tblW w:type="auto" w:w="0"/>
        <w:tblLook w:firstColumn="1" w:firstRow="1" w:lastColumn="0" w:lastRow="0" w:noHBand="0" w:noVBand="1" w:val="04A0"/>
      </w:tblPr>
      <w:tblGrid>
        <w:gridCol w:w="4703"/>
        <w:gridCol w:w="4703"/>
      </w:tblGrid>
      <w:tr>
        <w:tc>
          <w:tcPr>
            <w:tcW w:type="dxa" w:w="2268"/>
          </w:tcPr>
          <w:p>
            <w:r>
              <w:rPr>
                <w:b/>
                <w:sz w:val="20"/>
              </w:rPr>
              <w:t>Study description</w:t>
            </w:r>
          </w:p>
        </w:tc>
        <w:tc>
          <w:tcPr>
            <w:tcW w:type="dxa" w:w="6803"/>
          </w:tcPr>
          <w:p>
            <w:r>
              <w:rPr>
                <w:sz w:val="20"/>
              </w:rPr>
              <w:t>Quantitative, observational, cross-sectional study of area-level associations between neighborhood demographic and socioeconomic composition and distributed energy resource deployment (rooftop PV, customer-sited battery storage, public EV charging) across California ZIP Code Tabulation Areas.</w:t>
            </w:r>
          </w:p>
        </w:tc>
      </w:tr>
      <w:tr>
        <w:tc>
          <w:tcPr>
            <w:tcW w:type="dxa" w:w="2268"/>
          </w:tcPr>
          <w:p>
            <w:r>
              <w:rPr>
                <w:b/>
                <w:sz w:val="20"/>
              </w:rPr>
              <w:t>Research sample</w:t>
            </w:r>
          </w:p>
        </w:tc>
        <w:tc>
          <w:tcPr>
            <w:tcW w:type="dxa" w:w="6803"/>
          </w:tcPr>
          <w:p>
            <w:r>
              <w:rPr>
                <w:sz w:val="20"/>
              </w:rPr>
              <w:t>1,390 California ZCTAs with at least 1,000 residents and complete American Community Survey (2023 5-year) data. The units are areas, not individuals; no human participants were recruited.</w:t>
            </w:r>
          </w:p>
        </w:tc>
      </w:tr>
      <w:tr>
        <w:tc>
          <w:tcPr>
            <w:tcW w:type="dxa" w:w="2268"/>
          </w:tcPr>
          <w:p>
            <w:r>
              <w:rPr>
                <w:b/>
                <w:sz w:val="20"/>
              </w:rPr>
              <w:t>Sampling strategy</w:t>
            </w:r>
          </w:p>
        </w:tc>
        <w:tc>
          <w:tcPr>
            <w:tcW w:type="dxa" w:w="6803"/>
          </w:tcPr>
          <w:p>
            <w:r>
              <w:rPr>
                <w:sz w:val="20"/>
              </w:rPr>
              <w:t>No sampling: every eligible California ZCTA is included. No power calculation was performed; the sample is the full set of eligible areas.</w:t>
            </w:r>
          </w:p>
        </w:tc>
      </w:tr>
      <w:tr>
        <w:tc>
          <w:tcPr>
            <w:tcW w:type="dxa" w:w="2268"/>
          </w:tcPr>
          <w:p>
            <w:r>
              <w:rPr>
                <w:b/>
                <w:sz w:val="20"/>
              </w:rPr>
              <w:t>Data collection</w:t>
            </w:r>
          </w:p>
        </w:tc>
        <w:tc>
          <w:tcPr>
            <w:tcW w:type="dxa" w:w="6803"/>
          </w:tcPr>
          <w:p>
            <w:r>
              <w:rPr>
                <w:sz w:val="20"/>
              </w:rPr>
              <w:t>Secondary analysis of public administrative and survey data: LBNL Tracking the Sun (PV), the California Energy Commission Energy Storage System Survey (storage), CEC Zero Emission Vehicle and Infrastructure Statistics (charging), ACS 2023 5-year estimates, NASA POWER (climate and resource), EIA and USGS infrastructure layers, CEC energy equity indicators, and investor-owned-utility ZIP-level usage data. Sources and retrieval URLs are listed in the Supplementary Information and the code repository.</w:t>
            </w:r>
          </w:p>
        </w:tc>
      </w:tr>
      <w:tr>
        <w:tc>
          <w:tcPr>
            <w:tcW w:type="dxa" w:w="2268"/>
          </w:tcPr>
          <w:p>
            <w:r>
              <w:rPr>
                <w:b/>
                <w:sz w:val="20"/>
              </w:rPr>
              <w:t>Timing</w:t>
            </w:r>
          </w:p>
        </w:tc>
        <w:tc>
          <w:tcPr>
            <w:tcW w:type="dxa" w:w="6803"/>
          </w:tcPr>
          <w:p>
            <w:r>
              <w:rPr>
                <w:sz w:val="20"/>
              </w:rPr>
              <w:t>Cross-section aligned to 2023. [Authors: confirm the retrieval dates of each source export; storage and solar are both restricted to systems approved or installed by 31 December 2023.]</w:t>
            </w:r>
          </w:p>
        </w:tc>
      </w:tr>
      <w:tr>
        <w:tc>
          <w:tcPr>
            <w:tcW w:type="dxa" w:w="2268"/>
          </w:tcPr>
          <w:p>
            <w:r>
              <w:rPr>
                <w:b/>
                <w:sz w:val="20"/>
              </w:rPr>
              <w:t>Data exclusions</w:t>
            </w:r>
          </w:p>
        </w:tc>
        <w:tc>
          <w:tcPr>
            <w:tcW w:type="dxa" w:w="6803"/>
          </w:tcPr>
          <w:p>
            <w:r>
              <w:rPr>
                <w:sz w:val="20"/>
              </w:rPr>
              <w:t>ZCTAs under 1,000 residents and ZCTAs with incomplete ACS data; charger records without a valid source ZIP; storage records from the utility sector, above 5 MW per system or approved after 2023; for the main affordability-gap estimates, the 134 ZCTAs whose per-capita gap exceeds $1,000 (full-sample estimates reported in Supplementary Table S11). All exclusions were defined before estimation and are documented in Methods.</w:t>
            </w:r>
          </w:p>
        </w:tc>
      </w:tr>
      <w:tr>
        <w:tc>
          <w:tcPr>
            <w:tcW w:type="dxa" w:w="2268"/>
          </w:tcPr>
          <w:p>
            <w:r>
              <w:rPr>
                <w:b/>
                <w:sz w:val="20"/>
              </w:rPr>
              <w:t>Non-participation</w:t>
            </w:r>
          </w:p>
        </w:tc>
        <w:tc>
          <w:tcPr>
            <w:tcW w:type="dxa" w:w="6803"/>
          </w:tcPr>
          <w:p>
            <w:r>
              <w:rPr>
                <w:sz w:val="20"/>
              </w:rPr>
              <w:t>Not applicable (no human participants).</w:t>
            </w:r>
          </w:p>
        </w:tc>
      </w:tr>
      <w:tr>
        <w:tc>
          <w:tcPr>
            <w:tcW w:type="dxa" w:w="2268"/>
          </w:tcPr>
          <w:p>
            <w:r>
              <w:rPr>
                <w:b/>
                <w:sz w:val="20"/>
              </w:rPr>
              <w:t>Randomization</w:t>
            </w:r>
          </w:p>
        </w:tc>
        <w:tc>
          <w:tcPr>
            <w:tcW w:type="dxa" w:w="6803"/>
          </w:tcPr>
          <w:p>
            <w:r>
              <w:rPr>
                <w:sz w:val="20"/>
              </w:rPr>
              <w:t>Not applicable (observational design). Confounding is addressed through the model series, nested cumulative ladder, specification curve and Oster bounds described in Methods.</w:t>
            </w:r>
          </w:p>
        </w:tc>
      </w:tr>
      <w:tr>
        <w:tc>
          <w:tcPr>
            <w:tcW w:type="dxa" w:w="2268"/>
          </w:tcPr>
          <w:p>
            <w:r>
              <w:rPr>
                <w:b/>
                <w:sz w:val="20"/>
              </w:rPr>
              <w:t>Statistics</w:t>
            </w:r>
          </w:p>
        </w:tc>
        <w:tc>
          <w:tcPr>
            <w:tcW w:type="dxa" w:w="6803"/>
          </w:tcPr>
          <w:p>
            <w:r>
              <w:rPr>
                <w:sz w:val="20"/>
              </w:rPr>
              <w:t>OLS with heteroskedasticity-robust (HC1), county-clustered and Conley spatial HAC standard errors; Poisson pseudo-maximum-likelihood and spatial error models as robustness checks. Two-sided tests throughout. Exact N, coefficients, standard errors and P values are reported for every model in the main and Supplementary tables.</w:t>
            </w:r>
          </w:p>
        </w:tc>
      </w:tr>
      <w:tr>
        <w:tc>
          <w:tcPr>
            <w:tcW w:type="dxa" w:w="2268"/>
          </w:tcPr>
          <w:p>
            <w:r>
              <w:rPr>
                <w:b/>
                <w:sz w:val="20"/>
              </w:rPr>
              <w:t>Software</w:t>
            </w:r>
          </w:p>
        </w:tc>
        <w:tc>
          <w:tcPr>
            <w:tcW w:type="dxa" w:w="6803"/>
          </w:tcPr>
          <w:p>
            <w:r>
              <w:rPr>
                <w:sz w:val="20"/>
              </w:rPr>
              <w:t>Python 3.10 with pandas 2.3.3, NumPy 1.26.4, statsmodels 0.14.6, scikit-learn 1.7.2, XGBoost 3.2.0, GeoPandas 0.14.4 and spreg; pinned in requirements.txt and environment.yml in the code repository.</w:t>
            </w:r>
          </w:p>
        </w:tc>
      </w:tr>
      <w:tr>
        <w:tc>
          <w:tcPr>
            <w:tcW w:type="dxa" w:w="2268"/>
          </w:tcPr>
          <w:p>
            <w:r>
              <w:rPr>
                <w:b/>
                <w:sz w:val="20"/>
              </w:rPr>
              <w:t>Data and code availability</w:t>
            </w:r>
          </w:p>
        </w:tc>
        <w:tc>
          <w:tcPr>
            <w:tcW w:type="dxa" w:w="6803"/>
          </w:tcPr>
          <w:p>
            <w:r>
              <w:rPr>
                <w:sz w:val="20"/>
              </w:rPr>
              <w:t>Harmonized dataset: Zenodo, https://doi.org/10.5281/zenodo.22053001 (CC-BY-4.0). Code: https://github.com/vineetjnair9/distributed-energy-resources-equity-CA (MIT License).</w:t>
            </w:r>
          </w:p>
        </w:tc>
      </w:tr>
      <w:tr>
        <w:tc>
          <w:tcPr>
            <w:tcW w:type="dxa" w:w="2268"/>
          </w:tcPr>
          <w:p>
            <w:r>
              <w:rPr>
                <w:b/>
                <w:sz w:val="20"/>
              </w:rPr>
              <w:t>Ethics</w:t>
            </w:r>
          </w:p>
        </w:tc>
        <w:tc>
          <w:tcPr>
            <w:tcW w:type="dxa" w:w="6803"/>
          </w:tcPr>
          <w:p>
            <w:r>
              <w:rPr>
                <w:sz w:val="20"/>
              </w:rPr>
              <w:t>Public, area-level aggregate data only; no human participants. [Authors: confirm whether MIT COUHES review was required or waived.]</w:t>
            </w:r>
          </w:p>
        </w:tc>
      </w:tr>
    </w:tbl>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