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709E8" w14:textId="77777777" w:rsidR="003D485F" w:rsidRDefault="003D485F" w:rsidP="00880690">
      <w:pPr>
        <w:pStyle w:val="Title"/>
        <w:rPr>
          <w:b/>
          <w:bCs/>
        </w:rPr>
      </w:pPr>
      <w:r w:rsidRPr="003D485F">
        <w:t>The Unequal Energy Transition: Racial and Socioeconomic Disparities in Distributed Energy Resource Adoption Across California</w:t>
      </w:r>
    </w:p>
    <w:p w14:paraId="79DC12AE" w14:textId="6A00E148" w:rsidR="00DA77A3" w:rsidRDefault="00DA77A3">
      <w:pPr>
        <w:pStyle w:val="Heading1"/>
      </w:pPr>
      <w:r>
        <w:t>Overall notes/feedback:</w:t>
      </w:r>
    </w:p>
    <w:p w14:paraId="061DDDD2" w14:textId="0339F863" w:rsidR="00DA77A3" w:rsidRP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sidRPr="00DA77A3">
        <w:rPr>
          <w:rFonts w:eastAsia="Times New Roman" w:cs="Times New Roman"/>
          <w:sz w:val="24"/>
          <w:szCs w:val="24"/>
        </w:rPr>
        <w:t xml:space="preserve">Expand </w:t>
      </w:r>
      <w:r>
        <w:rPr>
          <w:rFonts w:eastAsia="Times New Roman" w:cs="Times New Roman"/>
          <w:sz w:val="24"/>
          <w:szCs w:val="24"/>
        </w:rPr>
        <w:t>the prior work</w:t>
      </w:r>
      <w:r w:rsidRPr="00DA77A3">
        <w:rPr>
          <w:rFonts w:eastAsia="Times New Roman" w:cs="Times New Roman"/>
          <w:sz w:val="24"/>
          <w:szCs w:val="24"/>
        </w:rPr>
        <w:t xml:space="preserve"> section based on </w:t>
      </w:r>
      <w:r>
        <w:rPr>
          <w:rFonts w:eastAsia="Times New Roman" w:cs="Times New Roman"/>
          <w:sz w:val="24"/>
          <w:szCs w:val="24"/>
        </w:rPr>
        <w:t>the</w:t>
      </w:r>
      <w:r w:rsidRPr="00DA77A3">
        <w:rPr>
          <w:rFonts w:eastAsia="Times New Roman" w:cs="Times New Roman"/>
          <w:sz w:val="24"/>
          <w:szCs w:val="24"/>
        </w:rPr>
        <w:t xml:space="preserve"> previous </w:t>
      </w:r>
      <w:r>
        <w:rPr>
          <w:rFonts w:eastAsia="Times New Roman" w:cs="Times New Roman"/>
          <w:sz w:val="24"/>
          <w:szCs w:val="24"/>
        </w:rPr>
        <w:t xml:space="preserve">literature survey </w:t>
      </w:r>
      <w:r w:rsidRPr="00DA77A3">
        <w:rPr>
          <w:rFonts w:eastAsia="Times New Roman" w:cs="Times New Roman"/>
          <w:sz w:val="24"/>
          <w:szCs w:val="24"/>
        </w:rPr>
        <w:t xml:space="preserve">report + add citations using Mendeley add on </w:t>
      </w:r>
      <w:r>
        <w:rPr>
          <w:rFonts w:eastAsia="Times New Roman" w:cs="Times New Roman"/>
          <w:sz w:val="24"/>
          <w:szCs w:val="24"/>
        </w:rPr>
        <w:t>--</w:t>
      </w:r>
      <w:r w:rsidRPr="00DA77A3">
        <w:rPr>
          <w:rFonts w:eastAsia="Times New Roman" w:cs="Times New Roman"/>
          <w:sz w:val="24"/>
          <w:szCs w:val="24"/>
        </w:rPr>
        <w:t xml:space="preserve"> can then change the reference format as needed</w:t>
      </w:r>
    </w:p>
    <w:p w14:paraId="42D3864C" w14:textId="0D9B44FC" w:rsidR="00DA77A3" w:rsidRP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sidRPr="00DA77A3">
        <w:rPr>
          <w:rFonts w:eastAsia="Times New Roman" w:cs="Times New Roman"/>
          <w:sz w:val="24"/>
          <w:szCs w:val="24"/>
        </w:rPr>
        <w:t xml:space="preserve">Improve the contributions sections to clearly highlight literature gaps &amp; </w:t>
      </w:r>
      <w:r>
        <w:rPr>
          <w:rFonts w:eastAsia="Times New Roman" w:cs="Times New Roman"/>
          <w:sz w:val="24"/>
          <w:szCs w:val="24"/>
        </w:rPr>
        <w:t xml:space="preserve">strengthen </w:t>
      </w:r>
      <w:r w:rsidRPr="00DA77A3">
        <w:rPr>
          <w:rFonts w:eastAsia="Times New Roman" w:cs="Times New Roman"/>
          <w:sz w:val="24"/>
          <w:szCs w:val="24"/>
        </w:rPr>
        <w:t>novelty</w:t>
      </w:r>
      <w:r>
        <w:rPr>
          <w:rFonts w:eastAsia="Times New Roman" w:cs="Times New Roman"/>
          <w:sz w:val="24"/>
          <w:szCs w:val="24"/>
        </w:rPr>
        <w:t xml:space="preserve"> claims</w:t>
      </w:r>
    </w:p>
    <w:p w14:paraId="47D3F69D" w14:textId="738A8EAE" w:rsidR="00DA77A3" w:rsidRP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sidRPr="00DA77A3">
        <w:rPr>
          <w:rFonts w:eastAsia="Times New Roman" w:cs="Times New Roman"/>
          <w:sz w:val="24"/>
          <w:szCs w:val="24"/>
        </w:rPr>
        <w:t>Results</w:t>
      </w:r>
      <w:r>
        <w:rPr>
          <w:rFonts w:eastAsia="Times New Roman" w:cs="Times New Roman"/>
          <w:sz w:val="24"/>
          <w:szCs w:val="24"/>
        </w:rPr>
        <w:t>/discussion</w:t>
      </w:r>
      <w:r w:rsidRPr="00DA77A3">
        <w:rPr>
          <w:rFonts w:eastAsia="Times New Roman" w:cs="Times New Roman"/>
          <w:sz w:val="24"/>
          <w:szCs w:val="24"/>
        </w:rPr>
        <w:t xml:space="preserve"> section look good</w:t>
      </w:r>
      <w:r>
        <w:rPr>
          <w:rFonts w:eastAsia="Times New Roman" w:cs="Times New Roman"/>
          <w:sz w:val="24"/>
          <w:szCs w:val="24"/>
        </w:rPr>
        <w:t>!</w:t>
      </w:r>
    </w:p>
    <w:p w14:paraId="29A8B92E" w14:textId="6E4E175E" w:rsidR="00DA77A3" w:rsidRP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sidRPr="00DA77A3">
        <w:rPr>
          <w:rFonts w:eastAsia="Times New Roman" w:cs="Times New Roman"/>
          <w:sz w:val="24"/>
          <w:szCs w:val="24"/>
        </w:rPr>
        <w:t>Modify methods section writing to be more academic/formal (move</w:t>
      </w:r>
      <w:r>
        <w:rPr>
          <w:rFonts w:eastAsia="Times New Roman" w:cs="Times New Roman"/>
          <w:sz w:val="24"/>
          <w:szCs w:val="24"/>
        </w:rPr>
        <w:t>d be</w:t>
      </w:r>
      <w:r w:rsidRPr="00DA77A3">
        <w:rPr>
          <w:rFonts w:eastAsia="Times New Roman" w:cs="Times New Roman"/>
          <w:sz w:val="24"/>
          <w:szCs w:val="24"/>
        </w:rPr>
        <w:t xml:space="preserve"> to after results)</w:t>
      </w:r>
    </w:p>
    <w:p w14:paraId="48D4F2E0" w14:textId="0FF5827E" w:rsidR="00DA77A3" w:rsidRP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sidRPr="00DA77A3">
        <w:rPr>
          <w:rFonts w:eastAsia="Times New Roman" w:cs="Times New Roman"/>
          <w:sz w:val="24"/>
          <w:szCs w:val="24"/>
        </w:rPr>
        <w:t>Slightly expand discussions section with broader implications &amp; recommended policy/regulatory changes (by various stakeholders</w:t>
      </w:r>
      <w:r>
        <w:rPr>
          <w:rFonts w:eastAsia="Times New Roman" w:cs="Times New Roman"/>
          <w:sz w:val="24"/>
          <w:szCs w:val="24"/>
        </w:rPr>
        <w:t xml:space="preserve"> – grid operators, lawmakers/public sector, private sector utilities</w:t>
      </w:r>
      <w:r w:rsidRPr="00DA77A3">
        <w:rPr>
          <w:rFonts w:eastAsia="Times New Roman" w:cs="Times New Roman"/>
          <w:sz w:val="24"/>
          <w:szCs w:val="24"/>
        </w:rPr>
        <w:t>)</w:t>
      </w:r>
    </w:p>
    <w:p w14:paraId="375B2AB2" w14:textId="76BFCDC6" w:rsid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sidRPr="00DA77A3">
        <w:rPr>
          <w:rFonts w:eastAsia="Times New Roman" w:cs="Times New Roman"/>
          <w:sz w:val="24"/>
          <w:szCs w:val="24"/>
        </w:rPr>
        <w:t>Slightly improve intro &amp; conclusion</w:t>
      </w:r>
      <w:r w:rsidR="00F05440">
        <w:rPr>
          <w:rFonts w:eastAsia="Times New Roman" w:cs="Times New Roman"/>
          <w:sz w:val="24"/>
          <w:szCs w:val="24"/>
        </w:rPr>
        <w:t>s sections</w:t>
      </w:r>
    </w:p>
    <w:p w14:paraId="1CC58637" w14:textId="01519BAF" w:rsidR="0001700E" w:rsidRPr="00DA77A3" w:rsidRDefault="0001700E"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Add cross references to figures/tables/equations in the text</w:t>
      </w:r>
    </w:p>
    <w:p w14:paraId="1027EAA4" w14:textId="75A5EF59" w:rsidR="00B86A12" w:rsidRDefault="00000000">
      <w:pPr>
        <w:pStyle w:val="Heading1"/>
      </w:pPr>
      <w:r>
        <w:t>Abstract</w:t>
      </w:r>
    </w:p>
    <w:p w14:paraId="6661544B" w14:textId="77777777" w:rsidR="00B86A12" w:rsidRDefault="00000000">
      <w:r>
        <w:t>As distributed energy resources (DERs) such as rooftop solar, battery storage, and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whether demographic and infrastructure factors shape inequitable access to different DER types across California ZIP/ZCTA areas. I build a California ZIP/ZCTA-level dataset that integrates rooftop PV, storage, EV charging, and contextual controls from ACS, NASA POWER, utility territory, and electricity demand sources. Using a consistent model ladder, I show that race remains statistically associated with DER adoption across multiple technologies and that the resulting disparity patterns differ meaningfully across PV, storage, and charging. The results support a race-aware interpretation of DER equity and challenge the assumption that race-neutral planning frameworks are sufficient for equitable clean energy deployment.</w:t>
      </w:r>
    </w:p>
    <w:p w14:paraId="1E2F3169" w14:textId="73CD3C61" w:rsidR="00614286" w:rsidRDefault="00614286">
      <w:r w:rsidRPr="007E10A5">
        <w:rPr>
          <w:highlight w:val="yellow"/>
        </w:rPr>
        <w:t>Add overarching takeaways</w:t>
      </w:r>
      <w:r>
        <w:t>: Multi-technology study provides new insights vs prior studies that focused only on specific DERs like solar or storage alone. some non-intuitive results with deeper storage inequities &amp; factors affecting EV charging.</w:t>
      </w:r>
      <w:r w:rsidR="003900CC">
        <w:t xml:space="preserve"> EV charging more predominantly driven by the patterns in transportation infrastructure. </w:t>
      </w:r>
    </w:p>
    <w:p w14:paraId="3EEB9C5C" w14:textId="77777777" w:rsidR="00B86A12" w:rsidRDefault="00000000">
      <w:pPr>
        <w:pStyle w:val="Heading1"/>
      </w:pPr>
      <w:r>
        <w:t>1. Introduction</w:t>
      </w:r>
    </w:p>
    <w:p w14:paraId="6FDA4A77" w14:textId="77777777" w:rsidR="00B86A12" w:rsidRDefault="00000000">
      <w:pPr>
        <w:pStyle w:val="Heading2"/>
      </w:pPr>
      <w:r>
        <w:t>1.1 Motivation and problem</w:t>
      </w:r>
    </w:p>
    <w:p w14:paraId="2467974A" w14:textId="77777777" w:rsidR="00B86A12" w:rsidRDefault="00000000">
      <w:r>
        <w:t xml:space="preserve">As the electricity system decarbonizes, distributed energy resources (DERs) are becoming central to emissions reduction, local resilience, and electrification. In this paper, DERs are treated conceptually as behind-the-meter resources below 5 MW, even though some source-specific processing rules use tighter operational cutoffs to </w:t>
      </w:r>
      <w:r>
        <w:lastRenderedPageBreak/>
        <w:t xml:space="preserve">isolate DER-scale observations in the current pipeline. These technologies are often discussed together in policy debates, but the benefits they deliver are heterogeneous: rooftop PV can reduce bills, storage can provide </w:t>
      </w:r>
      <w:r w:rsidR="008F65ED">
        <w:t>resilienc</w:t>
      </w:r>
      <w:r>
        <w:t xml:space="preserve">e </w:t>
      </w:r>
      <w:r w:rsidR="008F65ED">
        <w:t>against outages</w:t>
      </w:r>
      <w:r>
        <w:t>, and charging infrastructure shapes who can participate in transportation electrification.</w:t>
      </w:r>
    </w:p>
    <w:p w14:paraId="3523C67A" w14:textId="77777777" w:rsidR="00B86A12" w:rsidRDefault="00000000">
      <w:r>
        <w:t>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p>
    <w:p w14:paraId="388212EF" w14:textId="77777777" w:rsidR="00B86A12" w:rsidRDefault="00000000">
      <w:r>
        <w:t>California is an especially useful case because it combines high DER penetration, ambitious climate policy, substantial socioeconomic diversity, and pronounced spatial inequality. A practical obstacle, however, is that DER data are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14:paraId="711D21C7" w14:textId="77777777" w:rsidR="00B86A12" w:rsidRDefault="00000000">
      <w:pPr>
        <w:pStyle w:val="Heading2"/>
      </w:pPr>
      <w:r>
        <w:t>1.2 Research question</w:t>
      </w:r>
    </w:p>
    <w:p w14:paraId="05A5D006" w14:textId="77777777" w:rsidR="00B86A12" w:rsidRDefault="00000000">
      <w:r>
        <w:t>The central research question is: how do demographic and infrastructure-related factors shape inequitable access to different types of DERs in California? A related question is whether race remains statistically significant once socioeconomic, climate, institutional, and infrastructure-related controls are added, and if so</w:t>
      </w:r>
      <w:r w:rsidR="008F65ED">
        <w:t>,</w:t>
      </w:r>
      <w:r>
        <w:t xml:space="preserve"> whether that result challenges current race-neutral planning frameworks for DER policy.</w:t>
      </w:r>
    </w:p>
    <w:p w14:paraId="452A2BE7" w14:textId="77777777" w:rsidR="00B86A12" w:rsidRDefault="00000000">
      <w:r>
        <w:t>Three more specific questions guide the empirical analysis. 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w:t>
      </w:r>
    </w:p>
    <w:p w14:paraId="7DE31FD2" w14:textId="77777777" w:rsidR="00B86A12" w:rsidRDefault="00000000">
      <w:pPr>
        <w:pStyle w:val="Heading2"/>
      </w:pPr>
      <w:r>
        <w:t>1.3 Contributions</w:t>
      </w:r>
    </w:p>
    <w:p w14:paraId="0D48B281" w14:textId="77777777" w:rsidR="00B86A12" w:rsidRDefault="00000000">
      <w:r>
        <w:t>This paper contributes in three ways. First, it builds a multi-DER California ZIP/ZCTA dataset designed for equity analysis and later public reuse. Second, it applies a consistent model ladder across DER types so disparities can be compared directly</w:t>
      </w:r>
      <w:r w:rsidR="008F65ED">
        <w:t>,</w:t>
      </w:r>
      <w:r>
        <w:t xml:space="preserve"> rather than technology by technology under unrelated specifications. Third, it provides evidence that race remains statistically associated with DER adoption across multiple technologies, which supports the argument that race should be explicitly considered in DER-related policymaking and equity planning frameworks rather than treated as outside the scope of race-neutral design.</w:t>
      </w:r>
    </w:p>
    <w:p w14:paraId="38F4B20A" w14:textId="77777777" w:rsidR="00B86A12" w:rsidRDefault="00000000">
      <w:pPr>
        <w:pStyle w:val="Heading1"/>
      </w:pPr>
      <w:r>
        <w:t>2. Background and Prior Work</w:t>
      </w:r>
    </w:p>
    <w:p w14:paraId="1E5F05CC" w14:textId="77777777" w:rsidR="00B86A12" w:rsidRDefault="00000000">
      <w:pPr>
        <w:pStyle w:val="Heading2"/>
      </w:pPr>
      <w:r>
        <w:t>2.1 Foundational DER and PV adoption work</w:t>
      </w:r>
    </w:p>
    <w:p w14:paraId="3E6E269F" w14:textId="77777777" w:rsidR="00B86A12" w:rsidRDefault="00000000">
      <w:r>
        <w:t xml:space="preserve">The closest foundational studies focus on distributed solar adoption. Lukanov and Krieger (2019) analyze California PV deployment using place-based socioeconomic factors and show that adoption is patterned by neighborhood conditions. Sunter, Castellanos, and Kammen (2019) extend the equity lens by showing that racial and ethnic disparities in rooftop PV deployment persist even after accounting for income and related socioeconomic variables. At a different spatial scale, Kurdgelashvili, Kwon, and Larsen (2019) demonstrate how </w:t>
      </w:r>
      <w:r>
        <w:lastRenderedPageBreak/>
        <w:t>adoption can be modeled empirically at the county level in California. Together, these studies provide the methodological starting point for the present paper.</w:t>
      </w:r>
    </w:p>
    <w:p w14:paraId="22CC6E7E" w14:textId="77777777" w:rsidR="00B86A12" w:rsidRDefault="00000000">
      <w:pPr>
        <w:pStyle w:val="Heading2"/>
      </w:pPr>
      <w:r>
        <w:t>2.2 Why the equity lens needs to extend beyond PV</w:t>
      </w:r>
    </w:p>
    <w:p w14:paraId="17B78B41" w14:textId="77777777" w:rsidR="00B86A12" w:rsidRDefault="00000000">
      <w: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stronger dependence on upfront capital, resilience value, and program design. EV charging depends much more on siting, commercial activity, public infrastructure, and host context. A multi-DER analysis therefore matters not just because it broadens the dataset, but because it tests whether inequity repeats across technologies or changes form with each technology.</w:t>
      </w:r>
    </w:p>
    <w:p w14:paraId="7765E7EB" w14:textId="77777777" w:rsidR="00B86A12" w:rsidRDefault="00000000">
      <w:pPr>
        <w:pStyle w:val="Heading2"/>
      </w:pPr>
      <w:r>
        <w:t>2.3 Race, energy burden, and race-neutral policy critiques</w:t>
      </w:r>
    </w:p>
    <w:p w14:paraId="1B7F2220" w14:textId="77777777" w:rsidR="00B86A12" w:rsidRDefault="00000000">
      <w:r>
        <w:t>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Greenlining’s</w:t>
      </w:r>
      <w:r>
        <w:rPr>
          <w:i/>
        </w:rPr>
        <w:t xml:space="preserve"> Demystifying Equity in California’s Energy Grid Transition</w:t>
      </w:r>
      <w:r>
        <w:t xml:space="preserve"> similarly argues that infrastructure and transition planning cannot be treated as race-neutral if the underlying burdens and access conditions are not race-neutral. This literature supports the central premise of the current paper: if race remains statistically significant after standard socioeconomic controls, that result has implications for how DER equity should be addressed in policy.</w:t>
      </w:r>
    </w:p>
    <w:p w14:paraId="774CF3EC" w14:textId="77777777" w:rsidR="00B86A12" w:rsidRDefault="00000000">
      <w:pPr>
        <w:pStyle w:val="Heading2"/>
      </w:pPr>
      <w:r>
        <w:t>2.4 Infrastructure constraints and technical limits</w:t>
      </w:r>
    </w:p>
    <w:p w14:paraId="5E369DD1" w14:textId="77777777" w:rsidR="00B86A12" w:rsidRDefault="00000000">
      <w:r>
        <w:t>Another branch of the literature emphasizes that adoption disparities are not explained by demographics alone. Brockway et al. (2021) show that hosting-capacity constraints in California are socially patterned and can limit DER deployment in disadvantaged communities. Related work by Caballero-Peña et al. (2022) and FERC Staff (2018) reinforces the point that technical and locational constraints can amplify preexisting inequities. The present paper does not model circuit-level hosting capacity directly, but it treats institutional context, demand, and installed-energy proxies as part of the broader environment within which adoption occurs.</w:t>
      </w:r>
    </w:p>
    <w:p w14:paraId="70514925" w14:textId="77777777" w:rsidR="00B86A12" w:rsidRDefault="00000000">
      <w:pPr>
        <w:pStyle w:val="Heading2"/>
      </w:pPr>
      <w:r>
        <w:t>2.5 Other DERs, storage, flexible loads, and planning frameworks</w:t>
      </w:r>
    </w:p>
    <w:p w14:paraId="796FF1B2" w14:textId="77777777" w:rsidR="00B86A12" w:rsidRDefault="00000000">
      <w:r>
        <w:t>Recent work also encourages expanding the equity conversation beyond solar PV alone. Clean Energy Group (2021) frames storage as an equity asset that can reduce energy burden and improve resilience if deployed inclusively. Flexible-DER coordination work at NREL and related DOE planning studies show how equity concerns can be embedded into operational and planning frameworks rather than treated as separate from system design. Stokes and Warshaw (2022), Borenstein and Bushnell (2016), Gridworks (2022), SEIA/Vote Solar community-solar critiques, CPUC roadmap documents, and broader socio-technical planning papers all reinforce the same point: equitable DER deployment depends on both social conditions and institutional design choices.</w:t>
      </w:r>
    </w:p>
    <w:p w14:paraId="56983106" w14:textId="77777777" w:rsidR="00B86A12" w:rsidRDefault="00000000">
      <w:pPr>
        <w:pStyle w:val="Heading2"/>
      </w:pPr>
      <w:r>
        <w:t>2.6 Gap and contribution</w:t>
      </w:r>
    </w:p>
    <w:p w14:paraId="279D9AA8" w14:textId="77777777" w:rsidR="00B86A12" w:rsidRDefault="00000000">
      <w:r>
        <w:t>This paper is not a causal identification study. It is an area-level, cross-sectional contribution that extends the equity literature in three ways: by broadening the technology set beyond PV, by applying the analysis at California ZIP/ZCTA granularity, and by explicitly retaining race in the empirical framework. To my knowledge, the combination of a multi-DER lens and a race-inclusive ZIP/ZCTA analysis has not previously been implemented in this form. The contribution is therefore both substantive and infrastructural: a replicable analytical framework and a dataset that can support future policy-relevant equity work.</w:t>
      </w:r>
    </w:p>
    <w:p w14:paraId="6442F2F3" w14:textId="77777777" w:rsidR="00B86A12" w:rsidRDefault="00000000">
      <w:pPr>
        <w:pStyle w:val="Heading1"/>
      </w:pPr>
      <w:r>
        <w:lastRenderedPageBreak/>
        <w:t>3. Data and Measures</w:t>
      </w:r>
    </w:p>
    <w:p w14:paraId="776F3EE6" w14:textId="77777777" w:rsidR="00B86A12" w:rsidRDefault="00000000">
      <w:pPr>
        <w:pStyle w:val="Heading2"/>
      </w:pPr>
      <w:r>
        <w:t>3.1 Unit of analysis</w:t>
      </w:r>
    </w:p>
    <w:p w14:paraId="01CCE99B" w14:textId="77777777" w:rsidR="00B86A12" w:rsidRDefault="00000000">
      <w:r>
        <w:t>The unit of analysis is the ZIP-code level, implemented using Census ZIP Code Tabulation Areas (ZCTAs).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w:t>
      </w:r>
    </w:p>
    <w:p w14:paraId="2D2A8FF0" w14:textId="77777777" w:rsidR="00B86A12" w:rsidRDefault="00000000">
      <w:pPr>
        <w:pStyle w:val="Heading2"/>
      </w:pPr>
      <w:r>
        <w:t>3.2 Outcomes</w:t>
      </w:r>
    </w:p>
    <w:p w14:paraId="54E0BF9B" w14:textId="77777777" w:rsidR="00B86A12" w:rsidRDefault="00000000">
      <w:r>
        <w:t>To make outcomes comparable across technologies, each DER measure is converted into a population-normalized intensity metric and then transformed using</w:t>
      </w:r>
      <w:r>
        <w:rPr>
          <w:rFonts w:ascii="Courier New" w:hAnsi="Courier New"/>
          <w:sz w:val="18"/>
        </w:rPr>
        <w:t xml:space="preserve"> log(1 + rate)</w:t>
      </w:r>
      <w:r>
        <w:t xml:space="preserve"> . The three primary outcomes are</w:t>
      </w:r>
      <w:r>
        <w:rPr>
          <w:rFonts w:ascii="Courier New" w:hAnsi="Courier New"/>
          <w:sz w:val="18"/>
        </w:rPr>
        <w:t xml:space="preserve"> y_chargers</w:t>
      </w:r>
      <w:r w:rsidR="00A51986">
        <w:t>,</w:t>
      </w:r>
      <w:r>
        <w:t xml:space="preserve"> based on total chargers per 1,000 residents;</w:t>
      </w:r>
      <w:r>
        <w:rPr>
          <w:rFonts w:ascii="Courier New" w:hAnsi="Courier New"/>
          <w:sz w:val="18"/>
        </w:rPr>
        <w:t xml:space="preserve"> y_pv</w:t>
      </w:r>
      <w:r w:rsidR="00A51986">
        <w:t>,</w:t>
      </w:r>
      <w:r>
        <w:t xml:space="preserve"> based on PV system size in kW DC per 1,000 residents; and</w:t>
      </w:r>
      <w:r>
        <w:rPr>
          <w:rFonts w:ascii="Courier New" w:hAnsi="Courier New"/>
          <w:sz w:val="18"/>
        </w:rPr>
        <w:t xml:space="preserve"> y_storage</w:t>
      </w:r>
      <w:r w:rsidR="00A51986">
        <w:t>,</w:t>
      </w:r>
      <w:r>
        <w:t xml:space="preserve"> based on storage capacity in MW per 100,000 residents. Supplementary analysis also examines charger subtypes and a wind-capacity outcome used as contextual evidence rather than as a headline policy result.</w:t>
      </w:r>
    </w:p>
    <w:p w14:paraId="4D2390D9" w14:textId="77777777" w:rsidR="00B86A12" w:rsidRDefault="00000000">
      <w:pPr>
        <w:pStyle w:val="Heading2"/>
      </w:pPr>
      <w:r>
        <w:t>3.3 Key predictors</w:t>
      </w:r>
    </w:p>
    <w:p w14:paraId="6878B21E" w14:textId="77777777"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pct_black</w:t>
      </w:r>
      <w:r w:rsidR="00A51986">
        <w:t>,</w:t>
      </w:r>
      <w:r>
        <w:rPr>
          <w:rFonts w:ascii="Courier New" w:hAnsi="Courier New"/>
          <w:sz w:val="18"/>
        </w:rPr>
        <w:t xml:space="preserve"> pct_hispanic</w:t>
      </w:r>
      <w:r w:rsidR="00A51986">
        <w:t>,</w:t>
      </w:r>
      <w:r>
        <w:t xml:space="preserve"> and</w:t>
      </w:r>
      <w:r>
        <w:rPr>
          <w:rFonts w:ascii="Courier New" w:hAnsi="Courier New"/>
          <w:sz w:val="18"/>
        </w:rPr>
        <w:t xml:space="preserve"> pct_asian</w:t>
      </w:r>
      <w:r>
        <w:t xml:space="preserve"> . The second is socioeconomic status, including</w:t>
      </w:r>
      <w:r>
        <w:rPr>
          <w:rFonts w:ascii="Courier New" w:hAnsi="Courier New"/>
          <w:sz w:val="18"/>
        </w:rPr>
        <w:t xml:space="preserve"> log_median_household_income</w:t>
      </w:r>
      <w:r w:rsidR="00A51986">
        <w:t>,</w:t>
      </w:r>
      <w:r>
        <w:rPr>
          <w:rFonts w:ascii="Courier New" w:hAnsi="Courier New"/>
          <w:sz w:val="18"/>
        </w:rPr>
        <w:t xml:space="preserve"> poverty_rate</w:t>
      </w:r>
      <w:r w:rsidR="00A51986">
        <w:t>,</w:t>
      </w:r>
      <w:r>
        <w:t xml:space="preserve"> and in expanded specifications variables such as educational attainment and housing value. For descriptive smoothing plots, I also use a combined non-white share equal to the sum of the Black, Hispanic, and Asian shares in the merged ACS export.</w:t>
      </w:r>
    </w:p>
    <w:p w14:paraId="79560834" w14:textId="77777777" w:rsidR="00B86A12" w:rsidRDefault="00000000">
      <w:pPr>
        <w:pStyle w:val="Heading2"/>
      </w:pPr>
      <w:r>
        <w:t>3.4 Controls</w:t>
      </w:r>
    </w:p>
    <w:p w14:paraId="7485B4E3" w14:textId="77777777"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w:t>
      </w:r>
      <w:r w:rsidR="009611E9">
        <w:t>,</w:t>
      </w:r>
      <w:r>
        <w:t xml:space="preserve"> these controls are intended to separate demographic disparities from observed variation in physical suitability, institutional context, and underlying load. They should not be read as a full measurement of circuit-level grid infrastructure or hosting capacity.</w:t>
      </w:r>
    </w:p>
    <w:p w14:paraId="48796E5D" w14:textId="77777777" w:rsidR="00B86A12" w:rsidRDefault="00000000">
      <w:r>
        <w:t>The repo’s conceptual framing treats DERs as behind-the-meter resources below 5 MW, but several source-specific cleaning steps use tighter thresholds in code. The empirical analysis</w:t>
      </w:r>
      <w:r w:rsidR="009611E9">
        <w:t>,</w:t>
      </w:r>
      <w:r>
        <w:t xml:space="preserve"> therefore</w:t>
      </w:r>
      <w:r w:rsidR="009611E9">
        <w:t>,</w:t>
      </w:r>
      <w:r>
        <w:t xml:space="preserve"> follows the processed dataset as built by the repo rather than imposing </w:t>
      </w:r>
      <w:r w:rsidR="009611E9">
        <w:t>a</w:t>
      </w:r>
      <w:r>
        <w:t xml:space="preserve"> different threshold on every raw source.</w:t>
      </w:r>
    </w:p>
    <w:p w14:paraId="758BB009" w14:textId="77777777" w:rsidR="00B86A12" w:rsidRDefault="009611E9">
      <w:pPr>
        <w:jc w:val="center"/>
      </w:pPr>
      <w:r>
        <w:rPr>
          <w:noProof/>
        </w:rPr>
        <w:lastRenderedPageBreak/>
        <w:drawing>
          <wp:inline distT="0" distB="0" distL="0" distR="0" wp14:anchorId="3BBC15B7" wp14:editId="0D12CB3A">
            <wp:extent cx="6400800" cy="4460240"/>
            <wp:effectExtent l="0" t="0" r="0" b="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extLst>
                        <a:ext uri="{96DAC541-7B7A-43D3-8B79-37D633B846F1}">
                          <asvg:svgBlip xmlns:asvg="http://schemas.microsoft.com/office/drawing/2016/SVG/main" r:embed="rId7"/>
                        </a:ext>
                      </a:extLst>
                    </a:blip>
                    <a:stretch>
                      <a:fillRect/>
                    </a:stretch>
                  </pic:blipFill>
                  <pic:spPr>
                    <a:xfrm>
                      <a:off x="0" y="0"/>
                      <a:ext cx="6400800" cy="4460240"/>
                    </a:xfrm>
                    <a:prstGeom prst="rect">
                      <a:avLst/>
                    </a:prstGeom>
                  </pic:spPr>
                </pic:pic>
              </a:graphicData>
            </a:graphic>
          </wp:inline>
        </w:drawing>
      </w:r>
    </w:p>
    <w:p w14:paraId="0AED49B3" w14:textId="77777777" w:rsidR="00B86A12" w:rsidRDefault="00000000">
      <w:pPr>
        <w:jc w:val="center"/>
      </w:pPr>
      <w:r>
        <w:rPr>
          <w:b/>
          <w:i/>
        </w:rPr>
        <w:t>Figure A.</w:t>
      </w:r>
      <w:r>
        <w:rPr>
          <w:i/>
        </w:rPr>
        <w:t xml:space="preserve"> Baseline California ZIP/ZCTA geography for rooftop PV, storage, and aggregate EV charging. As shown here, deployment is spatially uneven before any regression adjustments are introduced. Blank areas indicate missing or excluded observations, unmatched geography, or unavailable source data; they should not be interpreted automatically as zero deployment.</w:t>
      </w:r>
    </w:p>
    <w:p w14:paraId="4C31183E" w14:textId="77777777" w:rsidR="00B86A12" w:rsidRDefault="00000000">
      <w:pPr>
        <w:pStyle w:val="Heading2"/>
      </w:pPr>
      <w:r>
        <w:t>3.5 Descriptive distributions</w:t>
      </w:r>
    </w:p>
    <w:p w14:paraId="127BCF8E" w14:textId="77777777" w:rsidR="00B86A12" w:rsidRDefault="00000000">
      <w:r>
        <w:t>Before turning to regression coefficients, it is useful to see how uneven the raw distributions already are. Figure A1 shows that the three DER outcomes are right-skewed, while the socioeconomic context variables span materially different neighborhood conditions. Table 1 then summarizes the analysis sample numerically so the later model comparisons can be interpreted relative to the observed scale of the data.</w:t>
      </w:r>
    </w:p>
    <w:p w14:paraId="32D62393" w14:textId="77777777" w:rsidR="00B86A12" w:rsidRDefault="009611E9">
      <w:pPr>
        <w:jc w:val="center"/>
      </w:pPr>
      <w:r>
        <w:rPr>
          <w:noProof/>
        </w:rPr>
        <w:lastRenderedPageBreak/>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8">
                      <a:extLst>
                        <a:ext uri="{96DAC541-7B7A-43D3-8B79-37D633B846F1}">
                          <asvg:svgBlip xmlns:asvg="http://schemas.microsoft.com/office/drawing/2016/SVG/main" r:embed="rId9"/>
                        </a:ext>
                      </a:extLst>
                    </a:blip>
                    <a:stretch>
                      <a:fillRect/>
                    </a:stretch>
                  </pic:blipFill>
                  <pic:spPr>
                    <a:xfrm>
                      <a:off x="0" y="0"/>
                      <a:ext cx="6400800" cy="3474720"/>
                    </a:xfrm>
                    <a:prstGeom prst="rect">
                      <a:avLst/>
                    </a:prstGeom>
                  </pic:spPr>
                </pic:pic>
              </a:graphicData>
            </a:graphic>
          </wp:inline>
        </w:drawing>
      </w:r>
    </w:p>
    <w:p w14:paraId="5C1F7F97" w14:textId="77777777" w:rsidR="00B86A12" w:rsidRDefault="00000000">
      <w:pPr>
        <w:jc w:val="center"/>
      </w:pPr>
      <w:r>
        <w:rPr>
          <w:b/>
          <w:i/>
        </w:rPr>
        <w:t>Figure A1.</w:t>
      </w:r>
      <w:r>
        <w:rPr>
          <w:i/>
        </w:rPr>
        <w:t xml:space="preserve"> Descriptive distributions for raw DER deployment rates together with median household income and poverty rate. The figure is included as an EDA bridge so readers can see the underlying spread in deployment and neighborhood conditions before moving into conditional models.</w:t>
      </w:r>
    </w:p>
    <w:p w14:paraId="3F6E9EBE" w14:textId="77777777" w:rsidR="00B86A12" w:rsidRDefault="00000000">
      <w:r>
        <w:rPr>
          <w:b/>
        </w:rPr>
        <w:t>Table 1A. Variable definitions for the main outcomes, predictors, and controls.</w:t>
      </w:r>
    </w:p>
    <w:tbl>
      <w:tblPr>
        <w:tblStyle w:val="TableGrid"/>
        <w:tblW w:w="0" w:type="auto"/>
        <w:tblLook w:val="04A0" w:firstRow="1" w:lastRow="0" w:firstColumn="1" w:lastColumn="0" w:noHBand="0" w:noVBand="1"/>
      </w:tblPr>
      <w:tblGrid>
        <w:gridCol w:w="3360"/>
        <w:gridCol w:w="3360"/>
        <w:gridCol w:w="3360"/>
      </w:tblGrid>
      <w:tr w:rsidR="00B86A12" w14:paraId="07217230" w14:textId="77777777">
        <w:tc>
          <w:tcPr>
            <w:tcW w:w="3360" w:type="dxa"/>
          </w:tcPr>
          <w:p w14:paraId="11CCC587" w14:textId="77777777" w:rsidR="00B86A12" w:rsidRDefault="00000000">
            <w:r>
              <w:rPr>
                <w:b/>
              </w:rPr>
              <w:t>Variable</w:t>
            </w:r>
          </w:p>
        </w:tc>
        <w:tc>
          <w:tcPr>
            <w:tcW w:w="3360" w:type="dxa"/>
          </w:tcPr>
          <w:p w14:paraId="77C29219" w14:textId="77777777" w:rsidR="00B86A12" w:rsidRDefault="00000000">
            <w:r>
              <w:rPr>
                <w:b/>
              </w:rPr>
              <w:t>Meaning</w:t>
            </w:r>
          </w:p>
        </w:tc>
        <w:tc>
          <w:tcPr>
            <w:tcW w:w="3360" w:type="dxa"/>
          </w:tcPr>
          <w:p w14:paraId="7E6BC2E9" w14:textId="77777777" w:rsidR="00B86A12" w:rsidRDefault="00000000">
            <w:r>
              <w:rPr>
                <w:b/>
              </w:rPr>
              <w:t>Scale / notes</w:t>
            </w:r>
          </w:p>
        </w:tc>
      </w:tr>
      <w:tr w:rsidR="00B86A12" w14:paraId="60ED02BE" w14:textId="77777777">
        <w:tc>
          <w:tcPr>
            <w:tcW w:w="3360" w:type="dxa"/>
          </w:tcPr>
          <w:p w14:paraId="2926538F" w14:textId="77777777" w:rsidR="00B86A12" w:rsidRDefault="00000000">
            <w:r>
              <w:rPr>
                <w:rFonts w:ascii="Courier New" w:hAnsi="Courier New"/>
                <w:sz w:val="18"/>
              </w:rPr>
              <w:t>y_pv</w:t>
            </w:r>
          </w:p>
        </w:tc>
        <w:tc>
          <w:tcPr>
            <w:tcW w:w="3360" w:type="dxa"/>
          </w:tcPr>
          <w:p w14:paraId="3E6070A9" w14:textId="77777777" w:rsidR="00B86A12" w:rsidRDefault="00000000">
            <w:r>
              <w:t>Solar PV deployment intensity</w:t>
            </w:r>
          </w:p>
        </w:tc>
        <w:tc>
          <w:tcPr>
            <w:tcW w:w="3360" w:type="dxa"/>
          </w:tcPr>
          <w:p w14:paraId="14CEE9D3" w14:textId="77777777" w:rsidR="00B86A12" w:rsidRDefault="00000000">
            <w:r>
              <w:rPr>
                <w:rFonts w:ascii="Courier New" w:hAnsi="Courier New"/>
                <w:sz w:val="18"/>
              </w:rPr>
              <w:t>log(1 + PV kW DC per 1,000 residents)</w:t>
            </w:r>
          </w:p>
        </w:tc>
      </w:tr>
      <w:tr w:rsidR="00B86A12" w14:paraId="293ABDD6" w14:textId="77777777">
        <w:tc>
          <w:tcPr>
            <w:tcW w:w="3360" w:type="dxa"/>
          </w:tcPr>
          <w:p w14:paraId="7F8F0A9C" w14:textId="77777777" w:rsidR="00B86A12" w:rsidRDefault="00000000">
            <w:r>
              <w:rPr>
                <w:rFonts w:ascii="Courier New" w:hAnsi="Courier New"/>
                <w:sz w:val="18"/>
              </w:rPr>
              <w:t>y_storage</w:t>
            </w:r>
          </w:p>
        </w:tc>
        <w:tc>
          <w:tcPr>
            <w:tcW w:w="3360" w:type="dxa"/>
          </w:tcPr>
          <w:p w14:paraId="2D970FD7" w14:textId="77777777" w:rsidR="00B86A12" w:rsidRDefault="00000000">
            <w:r>
              <w:t>Battery storage deployment intensity</w:t>
            </w:r>
          </w:p>
        </w:tc>
        <w:tc>
          <w:tcPr>
            <w:tcW w:w="3360" w:type="dxa"/>
          </w:tcPr>
          <w:p w14:paraId="174766AD" w14:textId="77777777" w:rsidR="00B86A12" w:rsidRDefault="00000000">
            <w:r>
              <w:rPr>
                <w:rFonts w:ascii="Courier New" w:hAnsi="Courier New"/>
                <w:sz w:val="18"/>
              </w:rPr>
              <w:t>log(1 + storage MW per 100,000 residents)</w:t>
            </w:r>
          </w:p>
        </w:tc>
      </w:tr>
      <w:tr w:rsidR="00B86A12" w14:paraId="7D4E2AD7" w14:textId="77777777">
        <w:tc>
          <w:tcPr>
            <w:tcW w:w="3360" w:type="dxa"/>
          </w:tcPr>
          <w:p w14:paraId="4D917D0E" w14:textId="77777777" w:rsidR="00B86A12" w:rsidRDefault="00000000">
            <w:r>
              <w:rPr>
                <w:rFonts w:ascii="Courier New" w:hAnsi="Courier New"/>
                <w:sz w:val="18"/>
              </w:rPr>
              <w:t>y_chargers</w:t>
            </w:r>
          </w:p>
        </w:tc>
        <w:tc>
          <w:tcPr>
            <w:tcW w:w="3360" w:type="dxa"/>
          </w:tcPr>
          <w:p w14:paraId="61775268" w14:textId="77777777" w:rsidR="00B86A12" w:rsidRDefault="00000000">
            <w:r>
              <w:t>EV charging availability</w:t>
            </w:r>
          </w:p>
        </w:tc>
        <w:tc>
          <w:tcPr>
            <w:tcW w:w="3360" w:type="dxa"/>
          </w:tcPr>
          <w:p w14:paraId="39A15532" w14:textId="77777777" w:rsidR="00B86A12" w:rsidRDefault="00000000">
            <w:r>
              <w:rPr>
                <w:rFonts w:ascii="Courier New" w:hAnsi="Courier New"/>
                <w:sz w:val="18"/>
              </w:rPr>
              <w:t>log(1 + total chargers per 1,000 residents)</w:t>
            </w:r>
          </w:p>
        </w:tc>
      </w:tr>
      <w:tr w:rsidR="00B86A12" w14:paraId="2847A8AB" w14:textId="77777777">
        <w:tc>
          <w:tcPr>
            <w:tcW w:w="3360" w:type="dxa"/>
          </w:tcPr>
          <w:p w14:paraId="3ACE657A" w14:textId="77777777" w:rsidR="00B86A12" w:rsidRDefault="00000000">
            <w:r>
              <w:rPr>
                <w:rFonts w:ascii="Courier New" w:hAnsi="Courier New"/>
                <w:sz w:val="18"/>
              </w:rPr>
              <w:t>pct_black</w:t>
            </w:r>
          </w:p>
        </w:tc>
        <w:tc>
          <w:tcPr>
            <w:tcW w:w="3360" w:type="dxa"/>
          </w:tcPr>
          <w:p w14:paraId="1B17DE67" w14:textId="77777777" w:rsidR="00B86A12" w:rsidRDefault="00000000">
            <w:r>
              <w:t>Share of ZIP/ZCTA population identifying as Black</w:t>
            </w:r>
          </w:p>
        </w:tc>
        <w:tc>
          <w:tcPr>
            <w:tcW w:w="3360" w:type="dxa"/>
          </w:tcPr>
          <w:p w14:paraId="7DBBCA2A" w14:textId="77777777" w:rsidR="00B86A12" w:rsidRDefault="00000000">
            <w:r>
              <w:t>ACS 2023 5-year estimate</w:t>
            </w:r>
          </w:p>
        </w:tc>
      </w:tr>
      <w:tr w:rsidR="00B86A12" w14:paraId="2E79DE9F" w14:textId="77777777">
        <w:tc>
          <w:tcPr>
            <w:tcW w:w="3360" w:type="dxa"/>
          </w:tcPr>
          <w:p w14:paraId="601E61E4" w14:textId="77777777" w:rsidR="00B86A12" w:rsidRDefault="00000000">
            <w:r>
              <w:rPr>
                <w:rFonts w:ascii="Courier New" w:hAnsi="Courier New"/>
                <w:sz w:val="18"/>
              </w:rPr>
              <w:t>pct_hispanic</w:t>
            </w:r>
          </w:p>
        </w:tc>
        <w:tc>
          <w:tcPr>
            <w:tcW w:w="3360" w:type="dxa"/>
          </w:tcPr>
          <w:p w14:paraId="089E4365" w14:textId="77777777" w:rsidR="00B86A12" w:rsidRDefault="00000000">
            <w:r>
              <w:t>Share of ZIP/ZCTA population identifying as Hispanic or Latino</w:t>
            </w:r>
          </w:p>
        </w:tc>
        <w:tc>
          <w:tcPr>
            <w:tcW w:w="3360" w:type="dxa"/>
          </w:tcPr>
          <w:p w14:paraId="3A8C2BD2" w14:textId="77777777" w:rsidR="00B86A12" w:rsidRDefault="00000000">
            <w:r>
              <w:t>ACS 2023 5-year estimate</w:t>
            </w:r>
          </w:p>
        </w:tc>
      </w:tr>
      <w:tr w:rsidR="00B86A12" w14:paraId="0956A581" w14:textId="77777777">
        <w:tc>
          <w:tcPr>
            <w:tcW w:w="3360" w:type="dxa"/>
          </w:tcPr>
          <w:p w14:paraId="145E509B" w14:textId="77777777" w:rsidR="00B86A12" w:rsidRDefault="00000000">
            <w:r>
              <w:rPr>
                <w:rFonts w:ascii="Courier New" w:hAnsi="Courier New"/>
                <w:sz w:val="18"/>
              </w:rPr>
              <w:t>pct_asian</w:t>
            </w:r>
          </w:p>
        </w:tc>
        <w:tc>
          <w:tcPr>
            <w:tcW w:w="3360" w:type="dxa"/>
          </w:tcPr>
          <w:p w14:paraId="014711CB" w14:textId="77777777" w:rsidR="00B86A12" w:rsidRDefault="00000000">
            <w:r>
              <w:t>Share of ZIP/ZCTA population identifying as Asian</w:t>
            </w:r>
          </w:p>
        </w:tc>
        <w:tc>
          <w:tcPr>
            <w:tcW w:w="3360" w:type="dxa"/>
          </w:tcPr>
          <w:p w14:paraId="1E82572A" w14:textId="77777777" w:rsidR="00B86A12" w:rsidRDefault="00000000">
            <w:r>
              <w:t>ACS 2023 5-year estimate</w:t>
            </w:r>
          </w:p>
        </w:tc>
      </w:tr>
      <w:tr w:rsidR="00B86A12" w14:paraId="184A112D" w14:textId="77777777">
        <w:tc>
          <w:tcPr>
            <w:tcW w:w="3360" w:type="dxa"/>
          </w:tcPr>
          <w:p w14:paraId="5C17EA2A" w14:textId="77777777" w:rsidR="00B86A12" w:rsidRDefault="00000000">
            <w:r>
              <w:rPr>
                <w:rFonts w:ascii="Courier New" w:hAnsi="Courier New"/>
                <w:sz w:val="18"/>
              </w:rPr>
              <w:t>log_median_household_income</w:t>
            </w:r>
          </w:p>
        </w:tc>
        <w:tc>
          <w:tcPr>
            <w:tcW w:w="3360" w:type="dxa"/>
          </w:tcPr>
          <w:p w14:paraId="1C7F3A78" w14:textId="77777777" w:rsidR="00B86A12" w:rsidRDefault="00000000">
            <w:r>
              <w:t>Logged median household income</w:t>
            </w:r>
          </w:p>
        </w:tc>
        <w:tc>
          <w:tcPr>
            <w:tcW w:w="3360" w:type="dxa"/>
          </w:tcPr>
          <w:p w14:paraId="57F2CA5C" w14:textId="77777777" w:rsidR="00B86A12" w:rsidRDefault="00000000">
            <w:r>
              <w:t>Socioeconomic/adoption-capacity proxy</w:t>
            </w:r>
          </w:p>
        </w:tc>
      </w:tr>
      <w:tr w:rsidR="00B86A12" w14:paraId="6CA65311" w14:textId="77777777">
        <w:tc>
          <w:tcPr>
            <w:tcW w:w="3360" w:type="dxa"/>
          </w:tcPr>
          <w:p w14:paraId="6C81B872" w14:textId="77777777" w:rsidR="00B86A12" w:rsidRDefault="00000000">
            <w:r>
              <w:rPr>
                <w:rFonts w:ascii="Courier New" w:hAnsi="Courier New"/>
                <w:sz w:val="18"/>
              </w:rPr>
              <w:t>poverty_rate</w:t>
            </w:r>
          </w:p>
        </w:tc>
        <w:tc>
          <w:tcPr>
            <w:tcW w:w="3360" w:type="dxa"/>
          </w:tcPr>
          <w:p w14:paraId="478DEA18" w14:textId="77777777" w:rsidR="00B86A12" w:rsidRDefault="00000000">
            <w:r>
              <w:t>Share of residents below the poverty line</w:t>
            </w:r>
          </w:p>
        </w:tc>
        <w:tc>
          <w:tcPr>
            <w:tcW w:w="3360" w:type="dxa"/>
          </w:tcPr>
          <w:p w14:paraId="2A5A7E26" w14:textId="77777777" w:rsidR="00B86A12" w:rsidRDefault="00000000">
            <w:r>
              <w:t>Socioeconomic control</w:t>
            </w:r>
          </w:p>
        </w:tc>
      </w:tr>
      <w:tr w:rsidR="00B86A12" w14:paraId="2A4CBF4F" w14:textId="77777777">
        <w:tc>
          <w:tcPr>
            <w:tcW w:w="3360" w:type="dxa"/>
          </w:tcPr>
          <w:p w14:paraId="43CD9628" w14:textId="77777777" w:rsidR="00B86A12" w:rsidRDefault="00000000">
            <w:r>
              <w:rPr>
                <w:rFonts w:ascii="Courier New" w:hAnsi="Courier New"/>
                <w:sz w:val="18"/>
              </w:rPr>
              <w:t>pct_bachelors_plus</w:t>
            </w:r>
          </w:p>
        </w:tc>
        <w:tc>
          <w:tcPr>
            <w:tcW w:w="3360" w:type="dxa"/>
          </w:tcPr>
          <w:p w14:paraId="4106546C" w14:textId="77777777" w:rsidR="00B86A12" w:rsidRDefault="00000000">
            <w:r>
              <w:t>Share of adults with a bachelor’s degree or higher</w:t>
            </w:r>
          </w:p>
        </w:tc>
        <w:tc>
          <w:tcPr>
            <w:tcW w:w="3360" w:type="dxa"/>
          </w:tcPr>
          <w:p w14:paraId="2AE18F8C" w14:textId="77777777" w:rsidR="00B86A12" w:rsidRDefault="00000000">
            <w:r>
              <w:t>Education and adoption-capacity control</w:t>
            </w:r>
          </w:p>
        </w:tc>
      </w:tr>
      <w:tr w:rsidR="00B86A12" w14:paraId="3EDE2382" w14:textId="77777777">
        <w:tc>
          <w:tcPr>
            <w:tcW w:w="3360" w:type="dxa"/>
          </w:tcPr>
          <w:p w14:paraId="5D53FE2F" w14:textId="77777777" w:rsidR="00B86A12" w:rsidRDefault="00000000">
            <w:r>
              <w:rPr>
                <w:rFonts w:ascii="Courier New" w:hAnsi="Courier New"/>
                <w:sz w:val="18"/>
              </w:rPr>
              <w:t>ghi_mean_kwh_m2_day_2023</w:t>
            </w:r>
          </w:p>
        </w:tc>
        <w:tc>
          <w:tcPr>
            <w:tcW w:w="3360" w:type="dxa"/>
          </w:tcPr>
          <w:p w14:paraId="7A4B2BA9" w14:textId="77777777" w:rsidR="00B86A12" w:rsidRDefault="00000000">
            <w:r>
              <w:t>Mean daily global horizontal irradiance</w:t>
            </w:r>
          </w:p>
        </w:tc>
        <w:tc>
          <w:tcPr>
            <w:tcW w:w="3360" w:type="dxa"/>
          </w:tcPr>
          <w:p w14:paraId="30D6E363" w14:textId="77777777" w:rsidR="00B86A12" w:rsidRDefault="00000000">
            <w:r>
              <w:t>Solar resource / physical suitability control</w:t>
            </w:r>
          </w:p>
        </w:tc>
      </w:tr>
      <w:tr w:rsidR="00B86A12" w14:paraId="426CBA83" w14:textId="77777777">
        <w:tc>
          <w:tcPr>
            <w:tcW w:w="3360" w:type="dxa"/>
          </w:tcPr>
          <w:p w14:paraId="6B050432" w14:textId="77777777" w:rsidR="00B86A12" w:rsidRDefault="00000000">
            <w:r>
              <w:rPr>
                <w:rFonts w:ascii="Courier New" w:hAnsi="Courier New"/>
                <w:sz w:val="18"/>
              </w:rPr>
              <w:t>cdd65_2023</w:t>
            </w:r>
          </w:p>
        </w:tc>
        <w:tc>
          <w:tcPr>
            <w:tcW w:w="3360" w:type="dxa"/>
          </w:tcPr>
          <w:p w14:paraId="3A7EE76D" w14:textId="77777777" w:rsidR="00B86A12" w:rsidRDefault="00000000">
            <w:r>
              <w:t>Cooling degree days relative to 65°F</w:t>
            </w:r>
          </w:p>
        </w:tc>
        <w:tc>
          <w:tcPr>
            <w:tcW w:w="3360" w:type="dxa"/>
          </w:tcPr>
          <w:p w14:paraId="318124C7" w14:textId="77777777" w:rsidR="00B86A12" w:rsidRDefault="00000000">
            <w:r>
              <w:t>Climate control</w:t>
            </w:r>
          </w:p>
        </w:tc>
      </w:tr>
      <w:tr w:rsidR="00B86A12" w14:paraId="708BBFDA" w14:textId="77777777">
        <w:tc>
          <w:tcPr>
            <w:tcW w:w="3360" w:type="dxa"/>
          </w:tcPr>
          <w:p w14:paraId="603C13B9" w14:textId="77777777" w:rsidR="00B86A12" w:rsidRDefault="00000000">
            <w:r>
              <w:rPr>
                <w:rFonts w:ascii="Courier New" w:hAnsi="Courier New"/>
                <w:sz w:val="18"/>
              </w:rPr>
              <w:t>hdd65_2023</w:t>
            </w:r>
          </w:p>
        </w:tc>
        <w:tc>
          <w:tcPr>
            <w:tcW w:w="3360" w:type="dxa"/>
          </w:tcPr>
          <w:p w14:paraId="7BCD7BC4" w14:textId="77777777" w:rsidR="00B86A12" w:rsidRDefault="00000000">
            <w:r>
              <w:t>Heating degree days relative to 65°F</w:t>
            </w:r>
          </w:p>
        </w:tc>
        <w:tc>
          <w:tcPr>
            <w:tcW w:w="3360" w:type="dxa"/>
          </w:tcPr>
          <w:p w14:paraId="15120D0F" w14:textId="77777777" w:rsidR="00B86A12" w:rsidRDefault="00000000">
            <w:r>
              <w:t>Climate control</w:t>
            </w:r>
          </w:p>
        </w:tc>
      </w:tr>
      <w:tr w:rsidR="00B86A12" w14:paraId="43C7CE57" w14:textId="77777777">
        <w:tc>
          <w:tcPr>
            <w:tcW w:w="3360" w:type="dxa"/>
          </w:tcPr>
          <w:p w14:paraId="3C4C125F" w14:textId="77777777" w:rsidR="00B86A12" w:rsidRDefault="00000000">
            <w:r>
              <w:rPr>
                <w:rFonts w:ascii="Courier New" w:hAnsi="Courier New"/>
                <w:sz w:val="18"/>
              </w:rPr>
              <w:lastRenderedPageBreak/>
              <w:t>log_kwh</w:t>
            </w:r>
          </w:p>
        </w:tc>
        <w:tc>
          <w:tcPr>
            <w:tcW w:w="3360" w:type="dxa"/>
          </w:tcPr>
          <w:p w14:paraId="4D6989DF" w14:textId="77777777" w:rsidR="00B86A12" w:rsidRDefault="00000000">
            <w:r>
              <w:t>Logged annual electricity consumption</w:t>
            </w:r>
          </w:p>
        </w:tc>
        <w:tc>
          <w:tcPr>
            <w:tcW w:w="3360" w:type="dxa"/>
          </w:tcPr>
          <w:p w14:paraId="64DB152A" w14:textId="77777777" w:rsidR="00B86A12" w:rsidRDefault="00000000">
            <w:r>
              <w:t>Demand/load proxy</w:t>
            </w:r>
          </w:p>
        </w:tc>
      </w:tr>
      <w:tr w:rsidR="00E74C8C" w14:paraId="57DDA2B2" w14:textId="77777777">
        <w:tc>
          <w:tcPr>
            <w:tcW w:w="3360" w:type="dxa"/>
          </w:tcPr>
          <w:p w14:paraId="6343B087" w14:textId="77777777" w:rsidR="00E74C8C" w:rsidRDefault="00000000">
            <w:r>
              <w:t>energy_burden_pct</w:t>
            </w:r>
          </w:p>
        </w:tc>
        <w:tc>
          <w:tcPr>
            <w:tcW w:w="3360" w:type="dxa"/>
          </w:tcPr>
          <w:p w14:paraId="36D80B7A" w14:textId="77777777" w:rsidR="00E74C8C" w:rsidRDefault="00000000">
            <w:r>
              <w:t>Household energy burden</w:t>
            </w:r>
          </w:p>
        </w:tc>
        <w:tc>
          <w:tcPr>
            <w:tcW w:w="3360" w:type="dxa"/>
          </w:tcPr>
          <w:p w14:paraId="193D1865" w14:textId="77777777" w:rsidR="00E74C8C" w:rsidRDefault="00000000">
            <w:r>
              <w:t>ZIP-level energy costs as a share of income; used in the energy-burden outcome model</w:t>
            </w:r>
          </w:p>
        </w:tc>
      </w:tr>
      <w:tr w:rsidR="00E74C8C" w14:paraId="7B720FC7" w14:textId="77777777">
        <w:tc>
          <w:tcPr>
            <w:tcW w:w="3360" w:type="dxa"/>
          </w:tcPr>
          <w:p w14:paraId="6CB775DB" w14:textId="77777777" w:rsidR="00E74C8C" w:rsidRDefault="00000000">
            <w:r>
              <w:t>log_energy_gap_per_capita</w:t>
            </w:r>
          </w:p>
        </w:tc>
        <w:tc>
          <w:tcPr>
            <w:tcW w:w="3360" w:type="dxa"/>
          </w:tcPr>
          <w:p w14:paraId="553141AD" w14:textId="77777777" w:rsidR="00E74C8C" w:rsidRDefault="00000000">
            <w:r>
              <w:t>Logged per-capita energy affordability gap</w:t>
            </w:r>
          </w:p>
        </w:tc>
        <w:tc>
          <w:tcPr>
            <w:tcW w:w="3360" w:type="dxa"/>
          </w:tcPr>
          <w:p w14:paraId="5DB17212" w14:textId="77777777" w:rsidR="00E74C8C" w:rsidRDefault="00000000">
            <w:r>
              <w:t>Scale-adjusted burden-gap measure used alongside energy_burden_pct</w:t>
            </w:r>
          </w:p>
        </w:tc>
      </w:tr>
    </w:tbl>
    <w:p w14:paraId="61D42D11" w14:textId="77777777" w:rsidR="00B86A12" w:rsidRDefault="00B86A12"/>
    <w:p w14:paraId="23D1D50C" w14:textId="77777777" w:rsidR="00B86A12" w:rsidRDefault="00000000">
      <w:r>
        <w:rPr>
          <w:b/>
        </w:rPr>
        <w:t>Table 1. Summary statistics for the main outcomes and key predictors in the analysis sample.</w:t>
      </w:r>
    </w:p>
    <w:tbl>
      <w:tblPr>
        <w:tblStyle w:val="TableGrid"/>
        <w:tblW w:w="0" w:type="auto"/>
        <w:tblLook w:val="04A0" w:firstRow="1" w:lastRow="0" w:firstColumn="1" w:lastColumn="0" w:noHBand="0" w:noVBand="1"/>
      </w:tblPr>
      <w:tblGrid>
        <w:gridCol w:w="3134"/>
        <w:gridCol w:w="1400"/>
        <w:gridCol w:w="1432"/>
        <w:gridCol w:w="1466"/>
        <w:gridCol w:w="1432"/>
        <w:gridCol w:w="1432"/>
      </w:tblGrid>
      <w:tr w:rsidR="00B86A12" w14:paraId="5E17AC20" w14:textId="77777777">
        <w:tc>
          <w:tcPr>
            <w:tcW w:w="1680" w:type="dxa"/>
          </w:tcPr>
          <w:p w14:paraId="43E6E81A" w14:textId="77777777" w:rsidR="00B86A12" w:rsidRDefault="00000000">
            <w:r>
              <w:rPr>
                <w:b/>
              </w:rPr>
              <w:t>Variable</w:t>
            </w:r>
          </w:p>
        </w:tc>
        <w:tc>
          <w:tcPr>
            <w:tcW w:w="1680" w:type="dxa"/>
          </w:tcPr>
          <w:p w14:paraId="0C6316DF" w14:textId="77777777" w:rsidR="00B86A12" w:rsidRDefault="00000000">
            <w:r>
              <w:rPr>
                <w:b/>
              </w:rPr>
              <w:t>N</w:t>
            </w:r>
          </w:p>
        </w:tc>
        <w:tc>
          <w:tcPr>
            <w:tcW w:w="1680" w:type="dxa"/>
          </w:tcPr>
          <w:p w14:paraId="5071324A" w14:textId="77777777" w:rsidR="00B86A12" w:rsidRDefault="00000000">
            <w:r>
              <w:rPr>
                <w:b/>
              </w:rPr>
              <w:t>Mean</w:t>
            </w:r>
          </w:p>
        </w:tc>
        <w:tc>
          <w:tcPr>
            <w:tcW w:w="1680" w:type="dxa"/>
          </w:tcPr>
          <w:p w14:paraId="21A33373" w14:textId="77777777" w:rsidR="00B86A12" w:rsidRDefault="00000000">
            <w:r>
              <w:rPr>
                <w:b/>
              </w:rPr>
              <w:t>Median</w:t>
            </w:r>
          </w:p>
        </w:tc>
        <w:tc>
          <w:tcPr>
            <w:tcW w:w="1680" w:type="dxa"/>
          </w:tcPr>
          <w:p w14:paraId="0CF99234" w14:textId="77777777" w:rsidR="00B86A12" w:rsidRDefault="00000000">
            <w:r>
              <w:rPr>
                <w:b/>
              </w:rPr>
              <w:t>P25</w:t>
            </w:r>
          </w:p>
        </w:tc>
        <w:tc>
          <w:tcPr>
            <w:tcW w:w="1680" w:type="dxa"/>
          </w:tcPr>
          <w:p w14:paraId="5D6A9D0C" w14:textId="77777777" w:rsidR="00B86A12" w:rsidRDefault="00000000">
            <w:r>
              <w:rPr>
                <w:b/>
              </w:rPr>
              <w:t>P75</w:t>
            </w:r>
          </w:p>
        </w:tc>
      </w:tr>
      <w:tr w:rsidR="00B86A12" w14:paraId="1FEF97BF" w14:textId="77777777">
        <w:tc>
          <w:tcPr>
            <w:tcW w:w="1680" w:type="dxa"/>
          </w:tcPr>
          <w:p w14:paraId="4D332E80" w14:textId="77777777" w:rsidR="00E74C8C" w:rsidRDefault="00000000">
            <w:r>
              <w:t>y_pv</w:t>
            </w:r>
          </w:p>
        </w:tc>
        <w:tc>
          <w:tcPr>
            <w:tcW w:w="1680" w:type="dxa"/>
          </w:tcPr>
          <w:p w14:paraId="3F8BCD66" w14:textId="77777777" w:rsidR="00E74C8C" w:rsidRDefault="00000000">
            <w:r>
              <w:t>1,386</w:t>
            </w:r>
          </w:p>
        </w:tc>
        <w:tc>
          <w:tcPr>
            <w:tcW w:w="1680" w:type="dxa"/>
          </w:tcPr>
          <w:p w14:paraId="7153A748" w14:textId="77777777" w:rsidR="00E74C8C" w:rsidRDefault="00000000">
            <w:r>
              <w:t>0.392</w:t>
            </w:r>
          </w:p>
        </w:tc>
        <w:tc>
          <w:tcPr>
            <w:tcW w:w="1680" w:type="dxa"/>
          </w:tcPr>
          <w:p w14:paraId="31455E35" w14:textId="77777777" w:rsidR="00E74C8C" w:rsidRDefault="00000000">
            <w:r>
              <w:t>0.326</w:t>
            </w:r>
          </w:p>
        </w:tc>
        <w:tc>
          <w:tcPr>
            <w:tcW w:w="1680" w:type="dxa"/>
          </w:tcPr>
          <w:p w14:paraId="4D3BE40E" w14:textId="77777777" w:rsidR="00E74C8C" w:rsidRDefault="00000000">
            <w:r>
              <w:t>0.131</w:t>
            </w:r>
          </w:p>
        </w:tc>
        <w:tc>
          <w:tcPr>
            <w:tcW w:w="1680" w:type="dxa"/>
          </w:tcPr>
          <w:p w14:paraId="0DA8CDE6" w14:textId="77777777" w:rsidR="00E74C8C" w:rsidRDefault="00000000">
            <w:r>
              <w:t>0.568</w:t>
            </w:r>
          </w:p>
        </w:tc>
      </w:tr>
      <w:tr w:rsidR="00B86A12" w14:paraId="222C52AD" w14:textId="77777777">
        <w:tc>
          <w:tcPr>
            <w:tcW w:w="1680" w:type="dxa"/>
          </w:tcPr>
          <w:p w14:paraId="459D2DCA" w14:textId="77777777" w:rsidR="00E74C8C" w:rsidRDefault="00000000">
            <w:r>
              <w:t>y_storage</w:t>
            </w:r>
          </w:p>
        </w:tc>
        <w:tc>
          <w:tcPr>
            <w:tcW w:w="1680" w:type="dxa"/>
          </w:tcPr>
          <w:p w14:paraId="39F26916" w14:textId="77777777" w:rsidR="00E74C8C" w:rsidRDefault="00000000">
            <w:r>
              <w:t>1,386</w:t>
            </w:r>
          </w:p>
        </w:tc>
        <w:tc>
          <w:tcPr>
            <w:tcW w:w="1680" w:type="dxa"/>
          </w:tcPr>
          <w:p w14:paraId="23B64E81" w14:textId="77777777" w:rsidR="00E74C8C" w:rsidRDefault="00000000">
            <w:r>
              <w:t>1.706</w:t>
            </w:r>
          </w:p>
        </w:tc>
        <w:tc>
          <w:tcPr>
            <w:tcW w:w="1680" w:type="dxa"/>
          </w:tcPr>
          <w:p w14:paraId="23EE78B7" w14:textId="77777777" w:rsidR="00E74C8C" w:rsidRDefault="00000000">
            <w:r>
              <w:t>1.752</w:t>
            </w:r>
          </w:p>
        </w:tc>
        <w:tc>
          <w:tcPr>
            <w:tcW w:w="1680" w:type="dxa"/>
          </w:tcPr>
          <w:p w14:paraId="0E99D3C2" w14:textId="77777777" w:rsidR="00E74C8C" w:rsidRDefault="00000000">
            <w:r>
              <w:t>1.012</w:t>
            </w:r>
          </w:p>
        </w:tc>
        <w:tc>
          <w:tcPr>
            <w:tcW w:w="1680" w:type="dxa"/>
          </w:tcPr>
          <w:p w14:paraId="3E5D73B2" w14:textId="77777777" w:rsidR="00E74C8C" w:rsidRDefault="00000000">
            <w:r>
              <w:t>2.350</w:t>
            </w:r>
          </w:p>
        </w:tc>
      </w:tr>
      <w:tr w:rsidR="00B86A12" w14:paraId="69C9ADC6" w14:textId="77777777">
        <w:tc>
          <w:tcPr>
            <w:tcW w:w="1680" w:type="dxa"/>
          </w:tcPr>
          <w:p w14:paraId="196C769D" w14:textId="77777777" w:rsidR="00E74C8C" w:rsidRDefault="00000000">
            <w:r>
              <w:t>y_chargers</w:t>
            </w:r>
          </w:p>
        </w:tc>
        <w:tc>
          <w:tcPr>
            <w:tcW w:w="1680" w:type="dxa"/>
          </w:tcPr>
          <w:p w14:paraId="710F2E9D" w14:textId="77777777" w:rsidR="00E74C8C" w:rsidRDefault="00000000">
            <w:r>
              <w:t>1,386</w:t>
            </w:r>
          </w:p>
        </w:tc>
        <w:tc>
          <w:tcPr>
            <w:tcW w:w="1680" w:type="dxa"/>
          </w:tcPr>
          <w:p w14:paraId="6E7C251C" w14:textId="77777777" w:rsidR="00E74C8C" w:rsidRDefault="00000000">
            <w:r>
              <w:t>0.693</w:t>
            </w:r>
          </w:p>
        </w:tc>
        <w:tc>
          <w:tcPr>
            <w:tcW w:w="1680" w:type="dxa"/>
          </w:tcPr>
          <w:p w14:paraId="2BA8888D" w14:textId="77777777" w:rsidR="00E74C8C" w:rsidRDefault="00000000">
            <w:r>
              <w:t>0.514</w:t>
            </w:r>
          </w:p>
        </w:tc>
        <w:tc>
          <w:tcPr>
            <w:tcW w:w="1680" w:type="dxa"/>
          </w:tcPr>
          <w:p w14:paraId="7B8B59EB" w14:textId="77777777" w:rsidR="00E74C8C" w:rsidRDefault="00000000">
            <w:r>
              <w:t>0.142</w:t>
            </w:r>
          </w:p>
        </w:tc>
        <w:tc>
          <w:tcPr>
            <w:tcW w:w="1680" w:type="dxa"/>
          </w:tcPr>
          <w:p w14:paraId="2C057E43" w14:textId="77777777" w:rsidR="00E74C8C" w:rsidRDefault="00000000">
            <w:r>
              <w:t>1.025</w:t>
            </w:r>
          </w:p>
        </w:tc>
      </w:tr>
      <w:tr w:rsidR="00B86A12" w14:paraId="519098DB" w14:textId="77777777">
        <w:tc>
          <w:tcPr>
            <w:tcW w:w="1680" w:type="dxa"/>
          </w:tcPr>
          <w:p w14:paraId="791C722C" w14:textId="77777777" w:rsidR="00E74C8C" w:rsidRDefault="00000000">
            <w:r>
              <w:t>pct_black</w:t>
            </w:r>
          </w:p>
        </w:tc>
        <w:tc>
          <w:tcPr>
            <w:tcW w:w="1680" w:type="dxa"/>
          </w:tcPr>
          <w:p w14:paraId="5354FBBE" w14:textId="77777777" w:rsidR="00E74C8C" w:rsidRDefault="00000000">
            <w:r>
              <w:t>1,386</w:t>
            </w:r>
          </w:p>
        </w:tc>
        <w:tc>
          <w:tcPr>
            <w:tcW w:w="1680" w:type="dxa"/>
          </w:tcPr>
          <w:p w14:paraId="7E4A884E" w14:textId="77777777" w:rsidR="00E74C8C" w:rsidRDefault="00000000">
            <w:r>
              <w:t>0.042</w:t>
            </w:r>
          </w:p>
        </w:tc>
        <w:tc>
          <w:tcPr>
            <w:tcW w:w="1680" w:type="dxa"/>
          </w:tcPr>
          <w:p w14:paraId="0C5C01D7" w14:textId="77777777" w:rsidR="00E74C8C" w:rsidRDefault="00000000">
            <w:r>
              <w:t>0.020</w:t>
            </w:r>
          </w:p>
        </w:tc>
        <w:tc>
          <w:tcPr>
            <w:tcW w:w="1680" w:type="dxa"/>
          </w:tcPr>
          <w:p w14:paraId="40BF3EFE" w14:textId="77777777" w:rsidR="00E74C8C" w:rsidRDefault="00000000">
            <w:r>
              <w:t>0.007</w:t>
            </w:r>
          </w:p>
        </w:tc>
        <w:tc>
          <w:tcPr>
            <w:tcW w:w="1680" w:type="dxa"/>
          </w:tcPr>
          <w:p w14:paraId="03E05E5C" w14:textId="77777777" w:rsidR="00E74C8C" w:rsidRDefault="00000000">
            <w:r>
              <w:t>0.050</w:t>
            </w:r>
          </w:p>
        </w:tc>
      </w:tr>
      <w:tr w:rsidR="00B86A12" w14:paraId="2BDE0094" w14:textId="77777777">
        <w:tc>
          <w:tcPr>
            <w:tcW w:w="1680" w:type="dxa"/>
          </w:tcPr>
          <w:p w14:paraId="3344F48F" w14:textId="77777777" w:rsidR="00E74C8C" w:rsidRDefault="00000000">
            <w:r>
              <w:t>pct_hispanic</w:t>
            </w:r>
          </w:p>
        </w:tc>
        <w:tc>
          <w:tcPr>
            <w:tcW w:w="1680" w:type="dxa"/>
          </w:tcPr>
          <w:p w14:paraId="7766D41C" w14:textId="77777777" w:rsidR="00E74C8C" w:rsidRDefault="00000000">
            <w:r>
              <w:t>1,386</w:t>
            </w:r>
          </w:p>
        </w:tc>
        <w:tc>
          <w:tcPr>
            <w:tcW w:w="1680" w:type="dxa"/>
          </w:tcPr>
          <w:p w14:paraId="3EE41EEC" w14:textId="77777777" w:rsidR="00E74C8C" w:rsidRDefault="00000000">
            <w:r>
              <w:t>0.347</w:t>
            </w:r>
          </w:p>
        </w:tc>
        <w:tc>
          <w:tcPr>
            <w:tcW w:w="1680" w:type="dxa"/>
          </w:tcPr>
          <w:p w14:paraId="50831B06" w14:textId="77777777" w:rsidR="00E74C8C" w:rsidRDefault="00000000">
            <w:r>
              <w:t>0.277</w:t>
            </w:r>
          </w:p>
        </w:tc>
        <w:tc>
          <w:tcPr>
            <w:tcW w:w="1680" w:type="dxa"/>
          </w:tcPr>
          <w:p w14:paraId="50B0A678" w14:textId="77777777" w:rsidR="00E74C8C" w:rsidRDefault="00000000">
            <w:r>
              <w:t>0.152</w:t>
            </w:r>
          </w:p>
        </w:tc>
        <w:tc>
          <w:tcPr>
            <w:tcW w:w="1680" w:type="dxa"/>
          </w:tcPr>
          <w:p w14:paraId="23EF3C03" w14:textId="77777777" w:rsidR="00E74C8C" w:rsidRDefault="00000000">
            <w:r>
              <w:t>0.498</w:t>
            </w:r>
          </w:p>
        </w:tc>
      </w:tr>
      <w:tr w:rsidR="00B86A12" w14:paraId="4A3F7320" w14:textId="77777777">
        <w:tc>
          <w:tcPr>
            <w:tcW w:w="1680" w:type="dxa"/>
          </w:tcPr>
          <w:p w14:paraId="7EC8FE29" w14:textId="77777777" w:rsidR="00E74C8C" w:rsidRDefault="00000000">
            <w:r>
              <w:t>pct_asian</w:t>
            </w:r>
          </w:p>
        </w:tc>
        <w:tc>
          <w:tcPr>
            <w:tcW w:w="1680" w:type="dxa"/>
          </w:tcPr>
          <w:p w14:paraId="7FCB6746" w14:textId="77777777" w:rsidR="00E74C8C" w:rsidRDefault="00000000">
            <w:r>
              <w:t>1,386</w:t>
            </w:r>
          </w:p>
        </w:tc>
        <w:tc>
          <w:tcPr>
            <w:tcW w:w="1680" w:type="dxa"/>
          </w:tcPr>
          <w:p w14:paraId="3945D65A" w14:textId="77777777" w:rsidR="00E74C8C" w:rsidRDefault="00000000">
            <w:r>
              <w:t>0.119</w:t>
            </w:r>
          </w:p>
        </w:tc>
        <w:tc>
          <w:tcPr>
            <w:tcW w:w="1680" w:type="dxa"/>
          </w:tcPr>
          <w:p w14:paraId="473D0027" w14:textId="77777777" w:rsidR="00E74C8C" w:rsidRDefault="00000000">
            <w:r>
              <w:t>0.066</w:t>
            </w:r>
          </w:p>
        </w:tc>
        <w:tc>
          <w:tcPr>
            <w:tcW w:w="1680" w:type="dxa"/>
          </w:tcPr>
          <w:p w14:paraId="0A3BC09F" w14:textId="77777777" w:rsidR="00E74C8C" w:rsidRDefault="00000000">
            <w:r>
              <w:t>0.023</w:t>
            </w:r>
          </w:p>
        </w:tc>
        <w:tc>
          <w:tcPr>
            <w:tcW w:w="1680" w:type="dxa"/>
          </w:tcPr>
          <w:p w14:paraId="31594F2E" w14:textId="77777777" w:rsidR="00E74C8C" w:rsidRDefault="00000000">
            <w:r>
              <w:t>0.156</w:t>
            </w:r>
          </w:p>
        </w:tc>
      </w:tr>
      <w:tr w:rsidR="00B86A12" w14:paraId="0C448EF3" w14:textId="77777777">
        <w:tc>
          <w:tcPr>
            <w:tcW w:w="1680" w:type="dxa"/>
          </w:tcPr>
          <w:p w14:paraId="7F305D2D" w14:textId="77777777" w:rsidR="00B86A12" w:rsidRDefault="00000000">
            <w:r>
              <w:rPr>
                <w:rFonts w:ascii="Courier New" w:hAnsi="Courier New"/>
                <w:sz w:val="18"/>
              </w:rPr>
              <w:t>log_median_household_income</w:t>
            </w:r>
          </w:p>
        </w:tc>
        <w:tc>
          <w:tcPr>
            <w:tcW w:w="1680" w:type="dxa"/>
          </w:tcPr>
          <w:p w14:paraId="7D737D48" w14:textId="77777777" w:rsidR="00B86A12" w:rsidRDefault="00000000">
            <w:r>
              <w:t>1,386</w:t>
            </w:r>
          </w:p>
        </w:tc>
        <w:tc>
          <w:tcPr>
            <w:tcW w:w="1680" w:type="dxa"/>
          </w:tcPr>
          <w:p w14:paraId="529A2F9D" w14:textId="77777777" w:rsidR="00B86A12" w:rsidRDefault="00000000">
            <w:r>
              <w:t>11.440</w:t>
            </w:r>
          </w:p>
        </w:tc>
        <w:tc>
          <w:tcPr>
            <w:tcW w:w="1680" w:type="dxa"/>
          </w:tcPr>
          <w:p w14:paraId="002168A4" w14:textId="77777777" w:rsidR="00B86A12" w:rsidRDefault="00000000">
            <w:r>
              <w:t>11.434</w:t>
            </w:r>
          </w:p>
        </w:tc>
        <w:tc>
          <w:tcPr>
            <w:tcW w:w="1680" w:type="dxa"/>
          </w:tcPr>
          <w:p w14:paraId="1CB7FD73" w14:textId="77777777" w:rsidR="00B86A12" w:rsidRDefault="00000000">
            <w:r>
              <w:t>11.169</w:t>
            </w:r>
          </w:p>
        </w:tc>
        <w:tc>
          <w:tcPr>
            <w:tcW w:w="1680" w:type="dxa"/>
          </w:tcPr>
          <w:p w14:paraId="5982DC26" w14:textId="77777777" w:rsidR="00B86A12" w:rsidRDefault="00000000">
            <w:r>
              <w:t>11.705</w:t>
            </w:r>
          </w:p>
        </w:tc>
      </w:tr>
      <w:tr w:rsidR="00B86A12" w14:paraId="5D9A95FD" w14:textId="77777777">
        <w:tc>
          <w:tcPr>
            <w:tcW w:w="1680" w:type="dxa"/>
          </w:tcPr>
          <w:p w14:paraId="3D2CBE65" w14:textId="77777777" w:rsidR="00E74C8C" w:rsidRDefault="00000000">
            <w:r>
              <w:t>poverty_rate</w:t>
            </w:r>
          </w:p>
        </w:tc>
        <w:tc>
          <w:tcPr>
            <w:tcW w:w="1680" w:type="dxa"/>
          </w:tcPr>
          <w:p w14:paraId="7890F26B" w14:textId="77777777" w:rsidR="00E74C8C" w:rsidRDefault="00000000">
            <w:r>
              <w:t>1,386</w:t>
            </w:r>
          </w:p>
        </w:tc>
        <w:tc>
          <w:tcPr>
            <w:tcW w:w="1680" w:type="dxa"/>
          </w:tcPr>
          <w:p w14:paraId="6BB0E8E1" w14:textId="77777777" w:rsidR="00E74C8C" w:rsidRDefault="00000000">
            <w:r>
              <w:t>0.123</w:t>
            </w:r>
          </w:p>
        </w:tc>
        <w:tc>
          <w:tcPr>
            <w:tcW w:w="1680" w:type="dxa"/>
          </w:tcPr>
          <w:p w14:paraId="7CE3033C" w14:textId="77777777" w:rsidR="00E74C8C" w:rsidRDefault="00000000">
            <w:r>
              <w:t>0.104</w:t>
            </w:r>
          </w:p>
        </w:tc>
        <w:tc>
          <w:tcPr>
            <w:tcW w:w="1680" w:type="dxa"/>
          </w:tcPr>
          <w:p w14:paraId="2C000C9C" w14:textId="77777777" w:rsidR="00E74C8C" w:rsidRDefault="00000000">
            <w:r>
              <w:t>0.070</w:t>
            </w:r>
          </w:p>
        </w:tc>
        <w:tc>
          <w:tcPr>
            <w:tcW w:w="1680" w:type="dxa"/>
          </w:tcPr>
          <w:p w14:paraId="18F0813C" w14:textId="77777777" w:rsidR="00E74C8C" w:rsidRDefault="00000000">
            <w:r>
              <w:t>0.161</w:t>
            </w:r>
          </w:p>
        </w:tc>
      </w:tr>
      <w:tr w:rsidR="00B86A12" w14:paraId="45D4063A" w14:textId="77777777">
        <w:tc>
          <w:tcPr>
            <w:tcW w:w="1680" w:type="dxa"/>
          </w:tcPr>
          <w:p w14:paraId="0E78F7C9" w14:textId="77777777" w:rsidR="00E74C8C" w:rsidRDefault="00000000">
            <w:r>
              <w:t>pct_bachelors_plus</w:t>
            </w:r>
          </w:p>
        </w:tc>
        <w:tc>
          <w:tcPr>
            <w:tcW w:w="1680" w:type="dxa"/>
          </w:tcPr>
          <w:p w14:paraId="51C68A93" w14:textId="77777777" w:rsidR="00E74C8C" w:rsidRDefault="00000000">
            <w:r>
              <w:t>1,386</w:t>
            </w:r>
          </w:p>
        </w:tc>
        <w:tc>
          <w:tcPr>
            <w:tcW w:w="1680" w:type="dxa"/>
          </w:tcPr>
          <w:p w14:paraId="48BEF7DA" w14:textId="77777777" w:rsidR="00E74C8C" w:rsidRDefault="00000000">
            <w:r>
              <w:t>0.359</w:t>
            </w:r>
          </w:p>
        </w:tc>
        <w:tc>
          <w:tcPr>
            <w:tcW w:w="1680" w:type="dxa"/>
          </w:tcPr>
          <w:p w14:paraId="613746DA" w14:textId="77777777" w:rsidR="00E74C8C" w:rsidRDefault="00000000">
            <w:r>
              <w:t>0.324</w:t>
            </w:r>
          </w:p>
        </w:tc>
        <w:tc>
          <w:tcPr>
            <w:tcW w:w="1680" w:type="dxa"/>
          </w:tcPr>
          <w:p w14:paraId="20A5FF2D" w14:textId="77777777" w:rsidR="00E74C8C" w:rsidRDefault="00000000">
            <w:r>
              <w:t>0.190</w:t>
            </w:r>
          </w:p>
        </w:tc>
        <w:tc>
          <w:tcPr>
            <w:tcW w:w="1680" w:type="dxa"/>
          </w:tcPr>
          <w:p w14:paraId="1B3B1CFE" w14:textId="77777777" w:rsidR="00E74C8C" w:rsidRDefault="00000000">
            <w:r>
              <w:t>0.505</w:t>
            </w:r>
          </w:p>
        </w:tc>
      </w:tr>
      <w:tr w:rsidR="00B86A12" w14:paraId="1B9AE4A9" w14:textId="77777777">
        <w:tc>
          <w:tcPr>
            <w:tcW w:w="1680" w:type="dxa"/>
          </w:tcPr>
          <w:p w14:paraId="71FFC39F" w14:textId="77777777" w:rsidR="00E74C8C" w:rsidRDefault="00000000">
            <w:r>
              <w:t>ghi_mean_kwh_m2_day_2023</w:t>
            </w:r>
          </w:p>
        </w:tc>
        <w:tc>
          <w:tcPr>
            <w:tcW w:w="1680" w:type="dxa"/>
          </w:tcPr>
          <w:p w14:paraId="7C00A1D2" w14:textId="77777777" w:rsidR="00E74C8C" w:rsidRDefault="00000000">
            <w:r>
              <w:t>1,386</w:t>
            </w:r>
          </w:p>
        </w:tc>
        <w:tc>
          <w:tcPr>
            <w:tcW w:w="1680" w:type="dxa"/>
          </w:tcPr>
          <w:p w14:paraId="3F4CE741" w14:textId="77777777" w:rsidR="00E74C8C" w:rsidRDefault="00000000">
            <w:r>
              <w:t>5.119</w:t>
            </w:r>
          </w:p>
        </w:tc>
        <w:tc>
          <w:tcPr>
            <w:tcW w:w="1680" w:type="dxa"/>
          </w:tcPr>
          <w:p w14:paraId="04508D19" w14:textId="77777777" w:rsidR="00E74C8C" w:rsidRDefault="00000000">
            <w:r>
              <w:t>5.158</w:t>
            </w:r>
          </w:p>
        </w:tc>
        <w:tc>
          <w:tcPr>
            <w:tcW w:w="1680" w:type="dxa"/>
          </w:tcPr>
          <w:p w14:paraId="21419B73" w14:textId="77777777" w:rsidR="00E74C8C" w:rsidRDefault="00000000">
            <w:r>
              <w:t>4.855</w:t>
            </w:r>
          </w:p>
        </w:tc>
        <w:tc>
          <w:tcPr>
            <w:tcW w:w="1680" w:type="dxa"/>
          </w:tcPr>
          <w:p w14:paraId="6CF55A6C" w14:textId="77777777" w:rsidR="00E74C8C" w:rsidRDefault="00000000">
            <w:r>
              <w:t>5.339</w:t>
            </w:r>
          </w:p>
        </w:tc>
      </w:tr>
      <w:tr w:rsidR="00B86A12" w14:paraId="2CDB273C" w14:textId="77777777">
        <w:tc>
          <w:tcPr>
            <w:tcW w:w="1680" w:type="dxa"/>
          </w:tcPr>
          <w:p w14:paraId="2042F1CD" w14:textId="77777777" w:rsidR="00E74C8C" w:rsidRDefault="00000000">
            <w:r>
              <w:t>log_kwh</w:t>
            </w:r>
          </w:p>
        </w:tc>
        <w:tc>
          <w:tcPr>
            <w:tcW w:w="1680" w:type="dxa"/>
          </w:tcPr>
          <w:p w14:paraId="4343071C" w14:textId="77777777" w:rsidR="00E74C8C" w:rsidRDefault="00000000">
            <w:r>
              <w:t>1,218</w:t>
            </w:r>
          </w:p>
        </w:tc>
        <w:tc>
          <w:tcPr>
            <w:tcW w:w="1680" w:type="dxa"/>
          </w:tcPr>
          <w:p w14:paraId="7D749B81" w14:textId="77777777" w:rsidR="00E74C8C" w:rsidRDefault="00000000">
            <w:r>
              <w:t>8.480</w:t>
            </w:r>
          </w:p>
        </w:tc>
        <w:tc>
          <w:tcPr>
            <w:tcW w:w="1680" w:type="dxa"/>
          </w:tcPr>
          <w:p w14:paraId="7D7E9800" w14:textId="77777777" w:rsidR="00E74C8C" w:rsidRDefault="00000000">
            <w:r>
              <w:t>0.000</w:t>
            </w:r>
          </w:p>
        </w:tc>
        <w:tc>
          <w:tcPr>
            <w:tcW w:w="1680" w:type="dxa"/>
          </w:tcPr>
          <w:p w14:paraId="7C9A26AA" w14:textId="77777777" w:rsidR="00E74C8C" w:rsidRDefault="00000000">
            <w:r>
              <w:t>0.000</w:t>
            </w:r>
          </w:p>
        </w:tc>
        <w:tc>
          <w:tcPr>
            <w:tcW w:w="1680" w:type="dxa"/>
          </w:tcPr>
          <w:p w14:paraId="40CA52E6" w14:textId="77777777" w:rsidR="00E74C8C" w:rsidRDefault="00000000">
            <w:r>
              <w:t>18.275</w:t>
            </w:r>
          </w:p>
        </w:tc>
      </w:tr>
      <w:tr w:rsidR="00E74C8C" w14:paraId="5F2B28E9" w14:textId="77777777">
        <w:tc>
          <w:tcPr>
            <w:tcW w:w="3134" w:type="dxa"/>
          </w:tcPr>
          <w:p w14:paraId="6E7CEEED" w14:textId="77777777" w:rsidR="00E74C8C" w:rsidRDefault="00000000">
            <w:r>
              <w:t>energy_burden_pct</w:t>
            </w:r>
          </w:p>
        </w:tc>
        <w:tc>
          <w:tcPr>
            <w:tcW w:w="1400" w:type="dxa"/>
          </w:tcPr>
          <w:p w14:paraId="49E6FAE6" w14:textId="77777777" w:rsidR="00E74C8C" w:rsidRDefault="00000000">
            <w:r>
              <w:t>1,370</w:t>
            </w:r>
          </w:p>
        </w:tc>
        <w:tc>
          <w:tcPr>
            <w:tcW w:w="1432" w:type="dxa"/>
          </w:tcPr>
          <w:p w14:paraId="3D342CAF" w14:textId="77777777" w:rsidR="00E74C8C" w:rsidRDefault="00000000">
            <w:r>
              <w:t>0.022</w:t>
            </w:r>
          </w:p>
        </w:tc>
        <w:tc>
          <w:tcPr>
            <w:tcW w:w="1466" w:type="dxa"/>
          </w:tcPr>
          <w:p w14:paraId="15A31B54" w14:textId="77777777" w:rsidR="00E74C8C" w:rsidRDefault="00000000">
            <w:r>
              <w:t>0.020</w:t>
            </w:r>
          </w:p>
        </w:tc>
        <w:tc>
          <w:tcPr>
            <w:tcW w:w="1432" w:type="dxa"/>
          </w:tcPr>
          <w:p w14:paraId="2D5C329E" w14:textId="77777777" w:rsidR="00E74C8C" w:rsidRDefault="00000000">
            <w:r>
              <w:t>0.015</w:t>
            </w:r>
          </w:p>
        </w:tc>
        <w:tc>
          <w:tcPr>
            <w:tcW w:w="1432" w:type="dxa"/>
          </w:tcPr>
          <w:p w14:paraId="450EADB7" w14:textId="77777777" w:rsidR="00E74C8C" w:rsidRDefault="00000000">
            <w:r>
              <w:t>0.028</w:t>
            </w:r>
          </w:p>
        </w:tc>
      </w:tr>
      <w:tr w:rsidR="00E74C8C" w14:paraId="7EC9EE5E" w14:textId="77777777">
        <w:tc>
          <w:tcPr>
            <w:tcW w:w="3134" w:type="dxa"/>
          </w:tcPr>
          <w:p w14:paraId="15CD4DE9" w14:textId="77777777" w:rsidR="00E74C8C" w:rsidRDefault="00000000">
            <w:r>
              <w:t>log_energy_gap_per_capita</w:t>
            </w:r>
          </w:p>
        </w:tc>
        <w:tc>
          <w:tcPr>
            <w:tcW w:w="1400" w:type="dxa"/>
          </w:tcPr>
          <w:p w14:paraId="0032A044" w14:textId="77777777" w:rsidR="00E74C8C" w:rsidRDefault="00000000">
            <w:r>
              <w:t>1,370</w:t>
            </w:r>
          </w:p>
        </w:tc>
        <w:tc>
          <w:tcPr>
            <w:tcW w:w="1432" w:type="dxa"/>
          </w:tcPr>
          <w:p w14:paraId="313B0228" w14:textId="77777777" w:rsidR="00E74C8C" w:rsidRDefault="00000000">
            <w:r>
              <w:t>3.791</w:t>
            </w:r>
          </w:p>
        </w:tc>
        <w:tc>
          <w:tcPr>
            <w:tcW w:w="1466" w:type="dxa"/>
          </w:tcPr>
          <w:p w14:paraId="3FCE8DE0" w14:textId="77777777" w:rsidR="00E74C8C" w:rsidRDefault="00000000">
            <w:r>
              <w:t>4.351</w:t>
            </w:r>
          </w:p>
        </w:tc>
        <w:tc>
          <w:tcPr>
            <w:tcW w:w="1432" w:type="dxa"/>
          </w:tcPr>
          <w:p w14:paraId="7225AE54" w14:textId="77777777" w:rsidR="00E74C8C" w:rsidRDefault="00000000">
            <w:r>
              <w:t>1.072</w:t>
            </w:r>
          </w:p>
        </w:tc>
        <w:tc>
          <w:tcPr>
            <w:tcW w:w="1432" w:type="dxa"/>
          </w:tcPr>
          <w:p w14:paraId="2A9DB232" w14:textId="77777777" w:rsidR="00E74C8C" w:rsidRDefault="00000000">
            <w:r>
              <w:t>5.650</w:t>
            </w:r>
          </w:p>
        </w:tc>
      </w:tr>
    </w:tbl>
    <w:p w14:paraId="46E83100" w14:textId="35233EFC" w:rsidR="00B86A12" w:rsidRDefault="00091F08">
      <w:pPr>
        <w:pStyle w:val="Heading1"/>
      </w:pPr>
      <w:r>
        <w:t>4</w:t>
      </w:r>
      <w:r w:rsidR="00000000">
        <w:t>. Results</w:t>
      </w:r>
    </w:p>
    <w:p w14:paraId="54ACB72C" w14:textId="77777777" w:rsidR="00B86A12" w:rsidRDefault="00000000">
      <w:r>
        <w:t>The results section begins with the descriptive evidence that most closely parallels the comparison papers: smooth adoption-versus-covariate views and compact baseline regression tables. As shown in Figure B and Table 2, the baseline patterns already suggest that race and income are associated with DER outcomes differently across technologies. The later figures then ask whether those patterns persist as the model ladder becomes more demanding.</w:t>
      </w:r>
    </w:p>
    <w:p w14:paraId="00FBFB97" w14:textId="77777777" w:rsidR="00B86A12" w:rsidRDefault="009611E9">
      <w:pPr>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10">
                      <a:extLst>
                        <a:ext uri="{96DAC541-7B7A-43D3-8B79-37D633B846F1}">
                          <asvg:svgBlip xmlns:asvg="http://schemas.microsoft.com/office/drawing/2016/SVG/main" r:embed="rId11"/>
                        </a:ext>
                      </a:extLst>
                    </a:blip>
                    <a:stretch>
                      <a:fillRect/>
                    </a:stretch>
                  </pic:blipFill>
                  <pic:spPr>
                    <a:xfrm>
                      <a:off x="0" y="0"/>
                      <a:ext cx="6400800" cy="1998980"/>
                    </a:xfrm>
                    <a:prstGeom prst="rect">
                      <a:avLst/>
                    </a:prstGeom>
                  </pic:spPr>
                </pic:pic>
              </a:graphicData>
            </a:graphic>
          </wp:inline>
        </w:drawing>
      </w:r>
    </w:p>
    <w:p w14:paraId="5DEF72D8" w14:textId="77777777" w:rsidR="00B86A12" w:rsidRDefault="00000000">
      <w:pPr>
        <w:jc w:val="center"/>
      </w:pPr>
      <w:r>
        <w:rPr>
          <w:b/>
          <w:i/>
        </w:rPr>
        <w:t>Figure B.</w:t>
      </w:r>
      <w:r>
        <w:rPr>
          <w:i/>
        </w:rPr>
        <w:t xml:space="preserve"> Outcome-by-income descriptive gradients for rooftop PV, storage, and EV charging. Outcomes are shown on the transformed</w:t>
      </w:r>
      <w:r>
        <w:rPr>
          <w:rFonts w:ascii="Courier New" w:hAnsi="Courier New"/>
          <w:i/>
          <w:sz w:val="18"/>
        </w:rPr>
        <w:t xml:space="preserve"> log(1 + rate)</w:t>
      </w:r>
      <w:r>
        <w:rPr>
          <w:i/>
        </w:rPr>
        <w:t xml:space="preserve"> scale. Where shaded bands are shown in the LOWESS figures below, they indicate 95% bootstrap confidence intervals around the fitted smooth.</w:t>
      </w:r>
    </w:p>
    <w:p w14:paraId="4615C201" w14:textId="77777777" w:rsidR="00B86A12" w:rsidRDefault="00000000">
      <w:r>
        <w:rPr>
          <w:b/>
        </w:rPr>
        <w:lastRenderedPageBreak/>
        <w:t>Table 2. Baseline regression summary across the three headline DER outcomes.</w:t>
      </w:r>
    </w:p>
    <w:tbl>
      <w:tblPr>
        <w:tblStyle w:val="TableGrid"/>
        <w:tblW w:w="0" w:type="auto"/>
        <w:tblLook w:val="04A0" w:firstRow="1" w:lastRow="0" w:firstColumn="1" w:lastColumn="0" w:noHBand="0" w:noVBand="1"/>
      </w:tblPr>
      <w:tblGrid>
        <w:gridCol w:w="3027"/>
        <w:gridCol w:w="2414"/>
        <w:gridCol w:w="2431"/>
        <w:gridCol w:w="2424"/>
      </w:tblGrid>
      <w:tr w:rsidR="00B86A12" w14:paraId="1A60811A" w14:textId="77777777">
        <w:tc>
          <w:tcPr>
            <w:tcW w:w="2520" w:type="dxa"/>
          </w:tcPr>
          <w:p w14:paraId="4BC07721" w14:textId="77777777" w:rsidR="00E74C8C" w:rsidRDefault="00000000">
            <w:r>
              <w:t>Predictor</w:t>
            </w:r>
          </w:p>
        </w:tc>
        <w:tc>
          <w:tcPr>
            <w:tcW w:w="2520" w:type="dxa"/>
          </w:tcPr>
          <w:p w14:paraId="31A713DE" w14:textId="77777777" w:rsidR="00E74C8C" w:rsidRDefault="00000000">
            <w:r>
              <w:t>y_pv</w:t>
            </w:r>
          </w:p>
        </w:tc>
        <w:tc>
          <w:tcPr>
            <w:tcW w:w="2520" w:type="dxa"/>
          </w:tcPr>
          <w:p w14:paraId="71B1EE2F" w14:textId="77777777" w:rsidR="00E74C8C" w:rsidRDefault="00000000">
            <w:r>
              <w:t>y_storage</w:t>
            </w:r>
          </w:p>
        </w:tc>
        <w:tc>
          <w:tcPr>
            <w:tcW w:w="2520" w:type="dxa"/>
          </w:tcPr>
          <w:p w14:paraId="520B664D" w14:textId="77777777" w:rsidR="00E74C8C" w:rsidRDefault="00000000">
            <w:r>
              <w:t>y_chargers</w:t>
            </w:r>
          </w:p>
        </w:tc>
      </w:tr>
      <w:tr w:rsidR="00B86A12" w14:paraId="7C89DBC6" w14:textId="77777777">
        <w:tc>
          <w:tcPr>
            <w:tcW w:w="2520" w:type="dxa"/>
          </w:tcPr>
          <w:p w14:paraId="03456FDB" w14:textId="77777777" w:rsidR="00E74C8C" w:rsidRDefault="00000000">
            <w:r>
              <w:t>log_median_household_income</w:t>
            </w:r>
          </w:p>
        </w:tc>
        <w:tc>
          <w:tcPr>
            <w:tcW w:w="2520" w:type="dxa"/>
          </w:tcPr>
          <w:p w14:paraId="19E0DAE2" w14:textId="77777777" w:rsidR="00E74C8C" w:rsidRDefault="00000000">
            <w:r>
              <w:t>0.125*** (0.038)</w:t>
            </w:r>
          </w:p>
        </w:tc>
        <w:tc>
          <w:tcPr>
            <w:tcW w:w="2520" w:type="dxa"/>
          </w:tcPr>
          <w:p w14:paraId="6239DE07" w14:textId="77777777" w:rsidR="00E74C8C" w:rsidRDefault="00000000">
            <w:r>
              <w:t>0.779*** (0.122)</w:t>
            </w:r>
          </w:p>
        </w:tc>
        <w:tc>
          <w:tcPr>
            <w:tcW w:w="2520" w:type="dxa"/>
          </w:tcPr>
          <w:p w14:paraId="61079FC9" w14:textId="77777777" w:rsidR="00E74C8C" w:rsidRDefault="00000000">
            <w:r>
              <w:t>0.160 (0.098)</w:t>
            </w:r>
          </w:p>
        </w:tc>
      </w:tr>
      <w:tr w:rsidR="00B86A12" w14:paraId="5487C5D2" w14:textId="77777777">
        <w:tc>
          <w:tcPr>
            <w:tcW w:w="2520" w:type="dxa"/>
          </w:tcPr>
          <w:p w14:paraId="4FC14180" w14:textId="77777777" w:rsidR="00E74C8C" w:rsidRDefault="00000000">
            <w:r>
              <w:t>pct_black</w:t>
            </w:r>
          </w:p>
        </w:tc>
        <w:tc>
          <w:tcPr>
            <w:tcW w:w="2520" w:type="dxa"/>
          </w:tcPr>
          <w:p w14:paraId="43FAAE08" w14:textId="77777777" w:rsidR="00E74C8C" w:rsidRDefault="00000000">
            <w:r>
              <w:t>-0.764*** (0.109)</w:t>
            </w:r>
          </w:p>
        </w:tc>
        <w:tc>
          <w:tcPr>
            <w:tcW w:w="2520" w:type="dxa"/>
          </w:tcPr>
          <w:p w14:paraId="02F33D48" w14:textId="77777777" w:rsidR="00E74C8C" w:rsidRDefault="00000000">
            <w:r>
              <w:t>-1.651*** (0.329)</w:t>
            </w:r>
          </w:p>
        </w:tc>
        <w:tc>
          <w:tcPr>
            <w:tcW w:w="2520" w:type="dxa"/>
          </w:tcPr>
          <w:p w14:paraId="48829480" w14:textId="77777777" w:rsidR="00E74C8C" w:rsidRDefault="00000000">
            <w:r>
              <w:t>-0.009 (0.343)</w:t>
            </w:r>
          </w:p>
        </w:tc>
      </w:tr>
      <w:tr w:rsidR="00B86A12" w14:paraId="19ADF8DD" w14:textId="77777777">
        <w:tc>
          <w:tcPr>
            <w:tcW w:w="2520" w:type="dxa"/>
          </w:tcPr>
          <w:p w14:paraId="77BCF987" w14:textId="77777777" w:rsidR="00E74C8C" w:rsidRDefault="00000000">
            <w:r>
              <w:t>pct_hispanic</w:t>
            </w:r>
          </w:p>
        </w:tc>
        <w:tc>
          <w:tcPr>
            <w:tcW w:w="2520" w:type="dxa"/>
          </w:tcPr>
          <w:p w14:paraId="27BDB3FE" w14:textId="77777777" w:rsidR="00E74C8C" w:rsidRDefault="00000000">
            <w:r>
              <w:t>0.014 (0.049)</w:t>
            </w:r>
          </w:p>
        </w:tc>
        <w:tc>
          <w:tcPr>
            <w:tcW w:w="2520" w:type="dxa"/>
          </w:tcPr>
          <w:p w14:paraId="33AEEC2B" w14:textId="77777777" w:rsidR="00E74C8C" w:rsidRDefault="00000000">
            <w:r>
              <w:t>-0.608*** (0.126)</w:t>
            </w:r>
          </w:p>
        </w:tc>
        <w:tc>
          <w:tcPr>
            <w:tcW w:w="2520" w:type="dxa"/>
          </w:tcPr>
          <w:p w14:paraId="58A6FFBE" w14:textId="77777777" w:rsidR="00E74C8C" w:rsidRDefault="00000000">
            <w:r>
              <w:t>-0.403*** (0.105)</w:t>
            </w:r>
          </w:p>
        </w:tc>
      </w:tr>
      <w:tr w:rsidR="00B86A12" w14:paraId="6D2752DC" w14:textId="77777777">
        <w:tc>
          <w:tcPr>
            <w:tcW w:w="2520" w:type="dxa"/>
          </w:tcPr>
          <w:p w14:paraId="4230EBC9" w14:textId="77777777" w:rsidR="00E74C8C" w:rsidRDefault="00000000">
            <w:r>
              <w:t>pct_asian</w:t>
            </w:r>
          </w:p>
        </w:tc>
        <w:tc>
          <w:tcPr>
            <w:tcW w:w="2520" w:type="dxa"/>
          </w:tcPr>
          <w:p w14:paraId="69D24C05" w14:textId="77777777" w:rsidR="00E74C8C" w:rsidRDefault="00000000">
            <w:r>
              <w:t>-0.583*** (0.048)</w:t>
            </w:r>
          </w:p>
        </w:tc>
        <w:tc>
          <w:tcPr>
            <w:tcW w:w="2520" w:type="dxa"/>
          </w:tcPr>
          <w:p w14:paraId="43BB3907" w14:textId="77777777" w:rsidR="00E74C8C" w:rsidRDefault="00000000">
            <w:r>
              <w:t>-1.784*** (0.162)</w:t>
            </w:r>
          </w:p>
        </w:tc>
        <w:tc>
          <w:tcPr>
            <w:tcW w:w="2520" w:type="dxa"/>
          </w:tcPr>
          <w:p w14:paraId="008799E3" w14:textId="77777777" w:rsidR="00E74C8C" w:rsidRDefault="00000000">
            <w:r>
              <w:t>0.413*** (0.147)</w:t>
            </w:r>
          </w:p>
        </w:tc>
      </w:tr>
      <w:tr w:rsidR="00B86A12" w14:paraId="1437C0C1" w14:textId="77777777">
        <w:tc>
          <w:tcPr>
            <w:tcW w:w="2520" w:type="dxa"/>
          </w:tcPr>
          <w:p w14:paraId="18A2A103" w14:textId="77777777" w:rsidR="00E74C8C" w:rsidRDefault="00000000">
            <w:r>
              <w:t>poverty_rate</w:t>
            </w:r>
          </w:p>
        </w:tc>
        <w:tc>
          <w:tcPr>
            <w:tcW w:w="2520" w:type="dxa"/>
          </w:tcPr>
          <w:p w14:paraId="32079BED" w14:textId="77777777" w:rsidR="00E74C8C" w:rsidRDefault="00000000">
            <w:r>
              <w:t>-0.048 (0.219)</w:t>
            </w:r>
          </w:p>
        </w:tc>
        <w:tc>
          <w:tcPr>
            <w:tcW w:w="2520" w:type="dxa"/>
          </w:tcPr>
          <w:p w14:paraId="68F59089" w14:textId="77777777" w:rsidR="00E74C8C" w:rsidRDefault="00000000">
            <w:r>
              <w:t>-0.197 (0.562)</w:t>
            </w:r>
          </w:p>
        </w:tc>
        <w:tc>
          <w:tcPr>
            <w:tcW w:w="2520" w:type="dxa"/>
          </w:tcPr>
          <w:p w14:paraId="2FB6D5E0" w14:textId="77777777" w:rsidR="00E74C8C" w:rsidRDefault="00000000">
            <w:r>
              <w:t>2.004*** (0.497)</w:t>
            </w:r>
          </w:p>
        </w:tc>
      </w:tr>
      <w:tr w:rsidR="00B86A12" w14:paraId="0E434B1C" w14:textId="77777777">
        <w:tc>
          <w:tcPr>
            <w:tcW w:w="2520" w:type="dxa"/>
          </w:tcPr>
          <w:p w14:paraId="39EA5F71" w14:textId="77777777" w:rsidR="00E74C8C" w:rsidRDefault="00000000">
            <w:r>
              <w:t>Key climate/resource control</w:t>
            </w:r>
          </w:p>
        </w:tc>
        <w:tc>
          <w:tcPr>
            <w:tcW w:w="2520" w:type="dxa"/>
          </w:tcPr>
          <w:p w14:paraId="6F5C35C9" w14:textId="77777777" w:rsidR="00E74C8C" w:rsidRDefault="00000000">
            <w:r>
              <w:t>GHI: 0.160*** (0.028)</w:t>
            </w:r>
          </w:p>
        </w:tc>
        <w:tc>
          <w:tcPr>
            <w:tcW w:w="2520" w:type="dxa"/>
          </w:tcPr>
          <w:p w14:paraId="3F8841A7" w14:textId="77777777" w:rsidR="00E74C8C" w:rsidRDefault="00000000">
            <w:r>
              <w:t>CDD/HDD: n.s.</w:t>
            </w:r>
          </w:p>
        </w:tc>
        <w:tc>
          <w:tcPr>
            <w:tcW w:w="2520" w:type="dxa"/>
          </w:tcPr>
          <w:p w14:paraId="694B7137" w14:textId="77777777" w:rsidR="00E74C8C" w:rsidRDefault="00000000">
            <w:r>
              <w:t>CDD65: -0.0002*** (0.0000)</w:t>
            </w:r>
          </w:p>
        </w:tc>
      </w:tr>
      <w:tr w:rsidR="00B86A12" w14:paraId="3D6AD09C" w14:textId="77777777">
        <w:tc>
          <w:tcPr>
            <w:tcW w:w="2520" w:type="dxa"/>
          </w:tcPr>
          <w:p w14:paraId="46A53BE0" w14:textId="77777777" w:rsidR="00E74C8C" w:rsidRDefault="00000000">
            <w:r>
              <w:t>N</w:t>
            </w:r>
          </w:p>
        </w:tc>
        <w:tc>
          <w:tcPr>
            <w:tcW w:w="2520" w:type="dxa"/>
          </w:tcPr>
          <w:p w14:paraId="4BF6DDE3" w14:textId="77777777" w:rsidR="00E74C8C" w:rsidRDefault="00000000">
            <w:r>
              <w:t>1,386</w:t>
            </w:r>
          </w:p>
        </w:tc>
        <w:tc>
          <w:tcPr>
            <w:tcW w:w="2520" w:type="dxa"/>
          </w:tcPr>
          <w:p w14:paraId="58AB1B50" w14:textId="77777777" w:rsidR="00E74C8C" w:rsidRDefault="00000000">
            <w:r>
              <w:t>1,386</w:t>
            </w:r>
          </w:p>
        </w:tc>
        <w:tc>
          <w:tcPr>
            <w:tcW w:w="2520" w:type="dxa"/>
          </w:tcPr>
          <w:p w14:paraId="3743C1B3" w14:textId="77777777" w:rsidR="00E74C8C" w:rsidRDefault="00000000">
            <w:r>
              <w:t>1,386</w:t>
            </w:r>
          </w:p>
        </w:tc>
      </w:tr>
      <w:tr w:rsidR="00B86A12" w14:paraId="2C4F651C" w14:textId="77777777">
        <w:tc>
          <w:tcPr>
            <w:tcW w:w="2520" w:type="dxa"/>
          </w:tcPr>
          <w:p w14:paraId="45D1CFAE" w14:textId="77777777" w:rsidR="00E74C8C" w:rsidRDefault="00000000">
            <w:r>
              <w:t>R²</w:t>
            </w:r>
          </w:p>
        </w:tc>
        <w:tc>
          <w:tcPr>
            <w:tcW w:w="2520" w:type="dxa"/>
          </w:tcPr>
          <w:p w14:paraId="1D192C57" w14:textId="77777777" w:rsidR="00E74C8C" w:rsidRDefault="00000000">
            <w:r>
              <w:t>0.107</w:t>
            </w:r>
          </w:p>
        </w:tc>
        <w:tc>
          <w:tcPr>
            <w:tcW w:w="2520" w:type="dxa"/>
          </w:tcPr>
          <w:p w14:paraId="69C6CF2F" w14:textId="77777777" w:rsidR="00E74C8C" w:rsidRDefault="00000000">
            <w:r>
              <w:t>0.189</w:t>
            </w:r>
          </w:p>
        </w:tc>
        <w:tc>
          <w:tcPr>
            <w:tcW w:w="2520" w:type="dxa"/>
          </w:tcPr>
          <w:p w14:paraId="0B072627" w14:textId="77777777" w:rsidR="00E74C8C" w:rsidRDefault="00000000">
            <w:r>
              <w:t>0.079</w:t>
            </w:r>
          </w:p>
        </w:tc>
      </w:tr>
    </w:tbl>
    <w:p w14:paraId="7CE6ACD3" w14:textId="77777777" w:rsidR="00B86A12" w:rsidRDefault="00B86A12"/>
    <w:p w14:paraId="388109B2" w14:textId="77777777" w:rsidR="00B86A12" w:rsidRDefault="009611E9">
      <w:pPr>
        <w:jc w:val="center"/>
      </w:pPr>
      <w:r>
        <w:rPr>
          <w:noProof/>
        </w:rPr>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12">
                      <a:extLst>
                        <a:ext uri="{96DAC541-7B7A-43D3-8B79-37D633B846F1}">
                          <asvg:svgBlip xmlns:asvg="http://schemas.microsoft.com/office/drawing/2016/SVG/main" r:embed="rId13"/>
                        </a:ext>
                      </a:extLst>
                    </a:blip>
                    <a:stretch>
                      <a:fillRect/>
                    </a:stretch>
                  </pic:blipFill>
                  <pic:spPr>
                    <a:xfrm>
                      <a:off x="0" y="0"/>
                      <a:ext cx="6400800" cy="5232400"/>
                    </a:xfrm>
                    <a:prstGeom prst="rect">
                      <a:avLst/>
                    </a:prstGeom>
                  </pic:spPr>
                </pic:pic>
              </a:graphicData>
            </a:graphic>
          </wp:inline>
        </w:drawing>
      </w:r>
    </w:p>
    <w:p w14:paraId="495DD2D9" w14:textId="77777777" w:rsidR="00B86A12" w:rsidRDefault="00000000">
      <w:pPr>
        <w:jc w:val="center"/>
      </w:pPr>
      <w:r>
        <w:rPr>
          <w:b/>
          <w:i/>
        </w:rPr>
        <w:t>Figure C.</w:t>
      </w:r>
      <w:r>
        <w:rPr>
          <w:i/>
        </w:rPr>
        <w:t xml:space="preserve"> Coefficient paths for the five main disparity predictors across the eight-model ladder. This condenses the paper’s central identification claim into one visual: some coefficients attenuate as controls are added, but the overall cross-technology disparity pattern remains.</w:t>
      </w:r>
    </w:p>
    <w:p w14:paraId="2F6E98DD" w14:textId="77777777" w:rsidR="00B86A12" w:rsidRDefault="00000000">
      <w:pPr>
        <w:pStyle w:val="Heading2"/>
      </w:pPr>
      <w:r>
        <w:lastRenderedPageBreak/>
        <w:t>5.1 Baseline patterns across DER types</w:t>
      </w:r>
    </w:p>
    <w:p w14:paraId="40EB1B72" w14:textId="77777777" w:rsidR="00B86A12" w:rsidRDefault="00000000">
      <w:r>
        <w:t>A consistent pattern across the main specifications is that racial and socioeconomic disparities are not uniform across technologies. Table 2 and Figure C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 suggests that “charger availability” may be capturing a different mix of infrastructure types and siting logics than household-centered DER adoption.</w:t>
      </w:r>
    </w:p>
    <w:p w14:paraId="1688B0FE" w14:textId="77777777" w:rsidR="00B86A12" w:rsidRDefault="009611E9">
      <w:pPr>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extLst>
                        <a:ext uri="{96DAC541-7B7A-43D3-8B79-37D633B846F1}">
                          <asvg:svgBlip xmlns:asvg="http://schemas.microsoft.com/office/drawing/2016/SVG/main" r:embed="rId15"/>
                        </a:ext>
                      </a:extLst>
                    </a:blip>
                    <a:stretch>
                      <a:fillRect/>
                    </a:stretch>
                  </pic:blipFill>
                  <pic:spPr>
                    <a:xfrm>
                      <a:off x="0" y="0"/>
                      <a:ext cx="3643645" cy="4895424"/>
                    </a:xfrm>
                    <a:prstGeom prst="rect">
                      <a:avLst/>
                    </a:prstGeom>
                  </pic:spPr>
                </pic:pic>
              </a:graphicData>
            </a:graphic>
          </wp:inline>
        </w:drawing>
      </w:r>
    </w:p>
    <w:p w14:paraId="14FACC2E" w14:textId="77777777" w:rsidR="00B86A12" w:rsidRDefault="00000000">
      <w:pPr>
        <w:jc w:val="center"/>
      </w:pPr>
      <w:r>
        <w:rPr>
          <w:b/>
          <w:i/>
        </w:rPr>
        <w:t>Figure 1.</w:t>
      </w:r>
      <w:r>
        <w:rPr>
          <w:i/>
        </w:rPr>
        <w:t xml:space="preserve"> Cross-outcome dot-whisker comparison from the standardized model outputs for Solar PV, Storage, EV Chargers, and Wind MW. This figure summarizes how core predictors such as</w:t>
      </w:r>
      <w:r>
        <w:rPr>
          <w:rFonts w:ascii="Courier New" w:hAnsi="Courier New"/>
          <w:i/>
          <w:sz w:val="18"/>
        </w:rPr>
        <w:t xml:space="preserve"> log_median_household_income</w:t>
      </w:r>
      <w:r>
        <w:rPr>
          <w:i/>
        </w:rPr>
        <w:t>,</w:t>
      </w:r>
      <w:r>
        <w:rPr>
          <w:rFonts w:ascii="Courier New" w:hAnsi="Courier New"/>
          <w:i/>
          <w:sz w:val="18"/>
        </w:rPr>
        <w:t xml:space="preserve"> pct_black</w:t>
      </w:r>
      <w:r>
        <w:rPr>
          <w:i/>
        </w:rPr>
        <w:t>,</w:t>
      </w:r>
      <w:r>
        <w:rPr>
          <w:rFonts w:ascii="Courier New" w:hAnsi="Courier New"/>
          <w:i/>
          <w:sz w:val="18"/>
        </w:rPr>
        <w:t xml:space="preserve"> pct_hispanic</w:t>
      </w:r>
      <w:r>
        <w:rPr>
          <w:i/>
        </w:rPr>
        <w:t>,</w:t>
      </w:r>
      <w:r>
        <w:rPr>
          <w:rFonts w:ascii="Courier New" w:hAnsi="Courier New"/>
          <w:i/>
          <w:sz w:val="18"/>
        </w:rPr>
        <w:t xml:space="preserve"> pct_asian</w:t>
      </w:r>
      <w:r>
        <w:rPr>
          <w:i/>
        </w:rPr>
        <w:t>, and</w:t>
      </w:r>
      <w:r>
        <w:rPr>
          <w:rFonts w:ascii="Courier New" w:hAnsi="Courier New"/>
          <w:i/>
          <w:sz w:val="18"/>
        </w:rPr>
        <w:t xml:space="preserve"> poverty_rate</w:t>
      </w:r>
      <w:r>
        <w:rPr>
          <w:i/>
        </w:rPr>
        <w:t xml:space="preserve"> vary across the continuous DER outcomes, excluding the binary turbine-presence outcome. Source file:</w:t>
      </w:r>
      <w:r>
        <w:rPr>
          <w:rFonts w:ascii="Courier New" w:hAnsi="Courier New"/>
          <w:i/>
          <w:sz w:val="18"/>
        </w:rPr>
        <w:t xml:space="preserve"> outputs/standardized_figures/baseline_der_outcomes_dot_whisker.svg</w:t>
      </w:r>
      <w:r>
        <w:rPr>
          <w:i/>
        </w:rPr>
        <w:t xml:space="preserve"> .</w:t>
      </w:r>
    </w:p>
    <w:p w14:paraId="7477B442" w14:textId="77777777" w:rsidR="00B86A12" w:rsidRDefault="00000000">
      <w:pPr>
        <w:pStyle w:val="Heading2"/>
      </w:pPr>
      <w:r>
        <w:t>5.2 Solar PV: persistent disparities after resource controls</w:t>
      </w:r>
    </w:p>
    <w:p w14:paraId="2F4B46FB" w14:textId="77777777" w:rsidR="00B86A12" w:rsidRDefault="00000000">
      <w:r>
        <w:t>For solar PV, the baseline specification indicates that ZIP/ZCTAs with higher median household income have higher PV adoption intensity, while ZIP/ZCTAs with larger Black and Asian population shares have substantially lower PV adoption intensity. As summarized in Figure 2, the coefficient on</w:t>
      </w:r>
      <w:r>
        <w:rPr>
          <w:rFonts w:ascii="Courier New" w:hAnsi="Courier New"/>
          <w:sz w:val="18"/>
        </w:rPr>
        <w:t xml:space="preserve"> log_median_household_income</w:t>
      </w:r>
      <w:r>
        <w:t xml:space="preserve"> is </w:t>
      </w:r>
      <w:r>
        <w:lastRenderedPageBreak/>
        <w:t>positive and statistically significant in the baseline model, while</w:t>
      </w:r>
      <w:r>
        <w:rPr>
          <w:rFonts w:ascii="Courier New" w:hAnsi="Courier New"/>
          <w:sz w:val="18"/>
        </w:rPr>
        <w:t xml:space="preserve"> pct_black</w:t>
      </w:r>
      <w:r>
        <w:t xml:space="preserve"> and</w:t>
      </w:r>
      <w:r>
        <w:rPr>
          <w:rFonts w:ascii="Courier New" w:hAnsi="Courier New"/>
          <w:sz w:val="18"/>
        </w:rPr>
        <w:t xml:space="preserve"> pct_asian</w:t>
      </w:r>
      <w:r>
        <w:t xml:space="preserve"> are strongly negative. Solar resource potential behaves as expected:</w:t>
      </w:r>
      <w:r>
        <w:rPr>
          <w:rFonts w:ascii="Courier New" w:hAnsi="Courier New"/>
          <w:sz w:val="18"/>
        </w:rPr>
        <w:t xml:space="preserve"> ghi_mean_kwh_m2_day_2023</w:t>
      </w:r>
      <w:r>
        <w:t xml:space="preserve"> is positive and highly significant, suggesting that physical suitability is an important predictor of deployment.</w:t>
      </w:r>
    </w:p>
    <w:p w14:paraId="75EEE086" w14:textId="77777777" w:rsidR="00B86A12" w:rsidRDefault="00000000">
      <w:r>
        <w:t>These disparities remain substantively present as the model becomes more demanding. Adding educational attainment (</w:t>
      </w:r>
      <w:r>
        <w:rPr>
          <w:rFonts w:ascii="Courier New" w:hAnsi="Courier New"/>
          <w:sz w:val="18"/>
        </w:rPr>
        <w:t xml:space="preserve"> Model 2</w:t>
      </w:r>
      <w:r>
        <w:t xml:space="preserve"> ) strengthens the estimated income effect and makes the coefficient on</w:t>
      </w:r>
      <w:r>
        <w:rPr>
          <w:rFonts w:ascii="Courier New" w:hAnsi="Courier New"/>
          <w:sz w:val="18"/>
        </w:rPr>
        <w:t xml:space="preserve"> pct_hispanic</w:t>
      </w:r>
      <w:r>
        <w:t xml:space="preserve"> 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w:t>
      </w:r>
      <w:r>
        <w:rPr>
          <w:rFonts w:ascii="Courier New" w:hAnsi="Courier New"/>
          <w:sz w:val="18"/>
        </w:rPr>
        <w:t xml:space="preserve"> Model 5C</w:t>
      </w:r>
      <w:r>
        <w:t xml:space="preserve"> ), the income effect attenuates and becomes marginal, but the negative coefficient on</w:t>
      </w:r>
      <w:r>
        <w:rPr>
          <w:rFonts w:ascii="Courier New" w:hAnsi="Courier New"/>
          <w:sz w:val="18"/>
        </w:rPr>
        <w:t xml:space="preserve"> pct_asian</w:t>
      </w:r>
      <w:r>
        <w:t xml:space="preserve"> remains strongly significant and the negative coefficient on</w:t>
      </w:r>
      <w:r>
        <w:rPr>
          <w:rFonts w:ascii="Courier New" w:hAnsi="Courier New"/>
          <w:sz w:val="18"/>
        </w:rPr>
        <w:t xml:space="preserve"> pct_black</w:t>
      </w:r>
      <w:r>
        <w:t xml:space="preserve"> remains statistically distinguishable from zero. In the infrastructure-control and demand-proxy models (</w:t>
      </w:r>
      <w:r>
        <w:rPr>
          <w:rFonts w:ascii="Courier New" w:hAnsi="Courier New"/>
          <w:sz w:val="18"/>
        </w:rPr>
        <w:t xml:space="preserve"> Models 7</w:t>
      </w:r>
      <w:r>
        <w:t xml:space="preserve"> and</w:t>
      </w:r>
      <w:r>
        <w:rPr>
          <w:rFonts w:ascii="Courier New" w:hAnsi="Courier New"/>
          <w:sz w:val="18"/>
        </w:rPr>
        <w:t xml:space="preserve"> 8</w:t>
      </w:r>
      <w:r>
        <w:t xml:space="preserve"> ), the PV results continue to show large negative associations for</w:t>
      </w:r>
      <w:r>
        <w:rPr>
          <w:rFonts w:ascii="Courier New" w:hAnsi="Courier New"/>
          <w:sz w:val="18"/>
        </w:rPr>
        <w:t xml:space="preserve"> pct_black</w:t>
      </w:r>
      <w:r>
        <w:t xml:space="preserve"> and</w:t>
      </w:r>
      <w:r>
        <w:rPr>
          <w:rFonts w:ascii="Courier New" w:hAnsi="Courier New"/>
          <w:sz w:val="18"/>
        </w:rPr>
        <w:t xml:space="preserve"> pct_asian</w:t>
      </w:r>
      <w:r w:rsidR="00A51986">
        <w:t>,</w:t>
      </w:r>
      <w:r>
        <w:t xml:space="preserve"> indicating that these patterns are not explained away by existing energy infrastructure or underlying electricity demand.</w:t>
      </w:r>
    </w:p>
    <w:p w14:paraId="6828709C" w14:textId="77777777" w:rsidR="00B86A12" w:rsidRDefault="00000000">
      <w:r>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14:paraId="7274FB24" w14:textId="77777777" w:rsidR="00B86A12" w:rsidRDefault="00A51986">
      <w:pPr>
        <w:jc w:val="center"/>
      </w:pPr>
      <w:r>
        <w:rPr>
          <w:noProof/>
        </w:rPr>
        <w:drawing>
          <wp:inline distT="0" distB="0" distL="0" distR="0" wp14:anchorId="42D8B59F" wp14:editId="1EE584A9">
            <wp:extent cx="4438435" cy="4219595"/>
            <wp:effectExtent l="0" t="0" r="0" b="0"/>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a:blip r:embed="rId16">
                      <a:extLst>
                        <a:ext uri="{96DAC541-7B7A-43D3-8B79-37D633B846F1}">
                          <asvg:svgBlip xmlns:asvg="http://schemas.microsoft.com/office/drawing/2016/SVG/main" r:embed="rId17"/>
                        </a:ext>
                      </a:extLst>
                    </a:blip>
                    <a:stretch>
                      <a:fillRect/>
                    </a:stretch>
                  </pic:blipFill>
                  <pic:spPr>
                    <a:xfrm>
                      <a:off x="0" y="0"/>
                      <a:ext cx="4452728" cy="4233184"/>
                    </a:xfrm>
                    <a:prstGeom prst="rect">
                      <a:avLst/>
                    </a:prstGeom>
                  </pic:spPr>
                </pic:pic>
              </a:graphicData>
            </a:graphic>
          </wp:inline>
        </w:drawing>
      </w:r>
    </w:p>
    <w:p w14:paraId="0CD3988E" w14:textId="77777777" w:rsidR="00B86A12" w:rsidRDefault="00000000">
      <w:pPr>
        <w:jc w:val="center"/>
      </w:pPr>
      <w:r>
        <w:rPr>
          <w:b/>
          <w:i/>
        </w:rPr>
        <w:t>Figure 2.</w:t>
      </w:r>
      <w:r>
        <w:rPr>
          <w:i/>
        </w:rPr>
        <w:t xml:space="preserve"> Standardized robustness summary for</w:t>
      </w:r>
      <w:r>
        <w:rPr>
          <w:rFonts w:ascii="Courier New" w:hAnsi="Courier New"/>
          <w:i/>
          <w:sz w:val="18"/>
        </w:rPr>
        <w:t xml:space="preserve"> y_pv</w:t>
      </w:r>
      <w:r>
        <w:rPr>
          <w:i/>
        </w:rPr>
        <w:t xml:space="preserve"> . This is the closest existing exported figure to a coefficient-stability view of the rooftop PV results across the model ladder. Source file:</w:t>
      </w:r>
      <w:r>
        <w:rPr>
          <w:rFonts w:ascii="Courier New" w:hAnsi="Courier New"/>
          <w:i/>
          <w:sz w:val="18"/>
        </w:rPr>
        <w:t xml:space="preserve"> outputs/standardized_figures/y_pv_robustness.svg</w:t>
      </w:r>
      <w:r>
        <w:rPr>
          <w:i/>
        </w:rPr>
        <w:t xml:space="preserve"> .</w:t>
      </w:r>
    </w:p>
    <w:p w14:paraId="2C903875" w14:textId="77777777" w:rsidR="00B86A12" w:rsidRDefault="00000000">
      <w:pPr>
        <w:pStyle w:val="Heading2"/>
      </w:pPr>
      <w:r>
        <w:lastRenderedPageBreak/>
        <w:t>5.3 Storage: the strongest and most consistent inequities</w:t>
      </w:r>
    </w:p>
    <w:p w14:paraId="33D2B52D" w14:textId="77777777" w:rsidR="00B86A12" w:rsidRDefault="00000000">
      <w:r>
        <w:t>Battery storage exhibits the strongest and most stable disparity pattern of the main DER outcomes. Figure 3 shows that in the baseline storage model</w:t>
      </w:r>
      <w:r>
        <w:rPr>
          <w:rFonts w:ascii="Courier New" w:hAnsi="Courier New"/>
          <w:sz w:val="18"/>
        </w:rPr>
        <w:t xml:space="preserve"> log_median_household_income</w:t>
      </w:r>
      <w:r>
        <w:t xml:space="preserve"> is strongly positive, while</w:t>
      </w:r>
      <w:r>
        <w:rPr>
          <w:rFonts w:ascii="Courier New" w:hAnsi="Courier New"/>
          <w:sz w:val="18"/>
        </w:rPr>
        <w:t xml:space="preserve"> pct_black</w:t>
      </w:r>
      <w:r w:rsidR="00A51986">
        <w:t>,</w:t>
      </w:r>
      <w:r>
        <w:rPr>
          <w:rFonts w:ascii="Courier New" w:hAnsi="Courier New"/>
          <w:sz w:val="18"/>
        </w:rPr>
        <w:t xml:space="preserve"> pct_hispanic</w:t>
      </w:r>
      <w:r w:rsidR="00A51986">
        <w:t>,</w:t>
      </w:r>
      <w:r>
        <w:t xml:space="preserve"> and</w:t>
      </w:r>
      <w:r>
        <w:rPr>
          <w:rFonts w:ascii="Courier New" w:hAnsi="Courier New"/>
          <w:sz w:val="18"/>
        </w:rPr>
        <w:t xml:space="preserve"> pct_asian</w:t>
      </w:r>
      <w:r>
        <w:t xml:space="preserve"> are all negative. Compared with the PV results, the storage coefficients are larger in magnitude and remain negative across nearly every robustness check examined.</w:t>
      </w:r>
    </w:p>
    <w:p w14:paraId="357D3C91" w14:textId="77777777" w:rsidR="00B86A12" w:rsidRDefault="00000000">
      <w:r>
        <w:t>This pattern survives the addition of extra socioeconomic controls, clustered standard errors, infrastructure variables, and electricity demand. In</w:t>
      </w:r>
      <w:r>
        <w:rPr>
          <w:rFonts w:ascii="Courier New" w:hAnsi="Courier New"/>
          <w:sz w:val="18"/>
        </w:rPr>
        <w:t xml:space="preserve"> Model 2</w:t>
      </w:r>
      <w:r w:rsidR="00A51986">
        <w:t>,</w:t>
      </w:r>
      <w:r>
        <w:t xml:space="preserve"> the income effect becomes even larger, and the negative coefficients on</w:t>
      </w:r>
      <w:r>
        <w:rPr>
          <w:rFonts w:ascii="Courier New" w:hAnsi="Courier New"/>
          <w:sz w:val="18"/>
        </w:rPr>
        <w:t xml:space="preserve"> pct_black</w:t>
      </w:r>
      <w:r w:rsidR="00A51986">
        <w:t>,</w:t>
      </w:r>
      <w:r>
        <w:rPr>
          <w:rFonts w:ascii="Courier New" w:hAnsi="Courier New"/>
          <w:sz w:val="18"/>
        </w:rPr>
        <w:t xml:space="preserve"> pct_hispanic</w:t>
      </w:r>
      <w:r w:rsidR="00A51986">
        <w:t>,</w:t>
      </w:r>
      <w:r>
        <w:t xml:space="preserve"> and</w:t>
      </w:r>
      <w:r>
        <w:rPr>
          <w:rFonts w:ascii="Courier New" w:hAnsi="Courier New"/>
          <w:sz w:val="18"/>
        </w:rPr>
        <w:t xml:space="preserve"> pct_asian</w:t>
      </w:r>
      <w:r>
        <w:t xml:space="preserve"> remain large and precisely estimated. In the county-clustered specification (</w:t>
      </w:r>
      <w:r>
        <w:rPr>
          <w:rFonts w:ascii="Courier New" w:hAnsi="Courier New"/>
          <w:sz w:val="18"/>
        </w:rPr>
        <w:t xml:space="preserve"> Model 5C</w:t>
      </w:r>
      <w:r>
        <w:t xml:space="preserve"> ),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20894984" w14:textId="77777777" w:rsidR="00B86A12" w:rsidRDefault="00000000">
      <w:r>
        <w:t>I also estimate an additional robustness model, Model 9, that adds y_pv to the most controlled storage specification to ask whether storage inequities persist after conditioning on local PV deployment intensity. The PV term is large and positive (1.143, p &lt; 0.001), as expected for a solar-plus-storage pathway, but the race coefficients remain negative and statistically significant: pct_black = -1.297 (p &lt; 0.001), pct_hispanic = -1.003 (p &lt; 0.001), and pct_asian = -1.136 (p &lt; 0.001). This is an important result for the paper’s policy argument because it suggests that the storage gap is not explained solely by unequal PV deployment upstream.</w:t>
      </w:r>
    </w:p>
    <w:p w14:paraId="4DD60154" w14:textId="77777777" w:rsidR="00B86A12" w:rsidRDefault="00000000">
      <w:r>
        <w:rPr>
          <w:b/>
        </w:rPr>
        <w:t>Table 3. Storage Model 9 PV-control robustness.</w:t>
      </w:r>
    </w:p>
    <w:tbl>
      <w:tblPr>
        <w:tblStyle w:val="TableGrid"/>
        <w:tblW w:w="0" w:type="auto"/>
        <w:tblLook w:val="04A0" w:firstRow="1" w:lastRow="0" w:firstColumn="1" w:lastColumn="0" w:noHBand="0" w:noVBand="1"/>
      </w:tblPr>
      <w:tblGrid>
        <w:gridCol w:w="3028"/>
        <w:gridCol w:w="2440"/>
        <w:gridCol w:w="2418"/>
        <w:gridCol w:w="2410"/>
      </w:tblGrid>
      <w:tr w:rsidR="00B86A12" w14:paraId="325A45B8" w14:textId="77777777">
        <w:tc>
          <w:tcPr>
            <w:tcW w:w="2520" w:type="dxa"/>
          </w:tcPr>
          <w:p w14:paraId="25FDCC15" w14:textId="77777777" w:rsidR="00E74C8C" w:rsidRDefault="00000000">
            <w:r>
              <w:t>Predictor</w:t>
            </w:r>
          </w:p>
        </w:tc>
        <w:tc>
          <w:tcPr>
            <w:tcW w:w="2520" w:type="dxa"/>
          </w:tcPr>
          <w:p w14:paraId="148B0FEF" w14:textId="77777777" w:rsidR="00E74C8C" w:rsidRDefault="00000000">
            <w:r>
              <w:t>Coefficient</w:t>
            </w:r>
          </w:p>
        </w:tc>
        <w:tc>
          <w:tcPr>
            <w:tcW w:w="2520" w:type="dxa"/>
          </w:tcPr>
          <w:p w14:paraId="35EEF02F" w14:textId="77777777" w:rsidR="00E74C8C" w:rsidRDefault="00000000">
            <w:r>
              <w:t>Robust SE</w:t>
            </w:r>
          </w:p>
        </w:tc>
        <w:tc>
          <w:tcPr>
            <w:tcW w:w="2520" w:type="dxa"/>
          </w:tcPr>
          <w:p w14:paraId="2A8102EF" w14:textId="77777777" w:rsidR="00E74C8C" w:rsidRDefault="00000000">
            <w:r>
              <w:t>p-value</w:t>
            </w:r>
          </w:p>
        </w:tc>
      </w:tr>
      <w:tr w:rsidR="00B86A12" w14:paraId="258A0E08" w14:textId="77777777">
        <w:tc>
          <w:tcPr>
            <w:tcW w:w="2520" w:type="dxa"/>
          </w:tcPr>
          <w:p w14:paraId="4C3174D7" w14:textId="77777777" w:rsidR="00E74C8C" w:rsidRDefault="00000000">
            <w:r>
              <w:t>log_median_household_income</w:t>
            </w:r>
          </w:p>
        </w:tc>
        <w:tc>
          <w:tcPr>
            <w:tcW w:w="2520" w:type="dxa"/>
          </w:tcPr>
          <w:p w14:paraId="205C4382" w14:textId="77777777" w:rsidR="00E74C8C" w:rsidRDefault="00000000">
            <w:r>
              <w:t>0.533***</w:t>
            </w:r>
          </w:p>
        </w:tc>
        <w:tc>
          <w:tcPr>
            <w:tcW w:w="2520" w:type="dxa"/>
          </w:tcPr>
          <w:p w14:paraId="0E969F2E" w14:textId="77777777" w:rsidR="00E74C8C" w:rsidRDefault="00000000">
            <w:r>
              <w:t>0.145</w:t>
            </w:r>
          </w:p>
        </w:tc>
        <w:tc>
          <w:tcPr>
            <w:tcW w:w="2520" w:type="dxa"/>
          </w:tcPr>
          <w:p w14:paraId="43657017" w14:textId="77777777" w:rsidR="00E74C8C" w:rsidRDefault="00000000">
            <w:r>
              <w:t>&lt; 0.001</w:t>
            </w:r>
          </w:p>
        </w:tc>
      </w:tr>
      <w:tr w:rsidR="00B86A12" w14:paraId="5E5D5B06" w14:textId="77777777">
        <w:tc>
          <w:tcPr>
            <w:tcW w:w="2520" w:type="dxa"/>
          </w:tcPr>
          <w:p w14:paraId="3C48FD0F" w14:textId="77777777" w:rsidR="00E74C8C" w:rsidRDefault="00000000">
            <w:r>
              <w:t>pct_black</w:t>
            </w:r>
          </w:p>
        </w:tc>
        <w:tc>
          <w:tcPr>
            <w:tcW w:w="2520" w:type="dxa"/>
          </w:tcPr>
          <w:p w14:paraId="5720EC1C" w14:textId="77777777" w:rsidR="00E74C8C" w:rsidRDefault="00000000">
            <w:r>
              <w:t>-1.297***</w:t>
            </w:r>
          </w:p>
        </w:tc>
        <w:tc>
          <w:tcPr>
            <w:tcW w:w="2520" w:type="dxa"/>
          </w:tcPr>
          <w:p w14:paraId="250EC8D6" w14:textId="77777777" w:rsidR="00E74C8C" w:rsidRDefault="00000000">
            <w:r>
              <w:t>0.286</w:t>
            </w:r>
          </w:p>
        </w:tc>
        <w:tc>
          <w:tcPr>
            <w:tcW w:w="2520" w:type="dxa"/>
          </w:tcPr>
          <w:p w14:paraId="433B8B57" w14:textId="77777777" w:rsidR="00E74C8C" w:rsidRDefault="00000000">
            <w:r>
              <w:t>&lt; 0.001</w:t>
            </w:r>
          </w:p>
        </w:tc>
      </w:tr>
      <w:tr w:rsidR="00B86A12" w14:paraId="2A0BF0CF" w14:textId="77777777">
        <w:tc>
          <w:tcPr>
            <w:tcW w:w="2520" w:type="dxa"/>
          </w:tcPr>
          <w:p w14:paraId="3E79EDE4" w14:textId="77777777" w:rsidR="00E74C8C" w:rsidRDefault="00000000">
            <w:r>
              <w:t>pct_hispanic</w:t>
            </w:r>
          </w:p>
        </w:tc>
        <w:tc>
          <w:tcPr>
            <w:tcW w:w="2520" w:type="dxa"/>
          </w:tcPr>
          <w:p w14:paraId="66A80F34" w14:textId="77777777" w:rsidR="00E74C8C" w:rsidRDefault="00000000">
            <w:r>
              <w:t>-1.003***</w:t>
            </w:r>
          </w:p>
        </w:tc>
        <w:tc>
          <w:tcPr>
            <w:tcW w:w="2520" w:type="dxa"/>
          </w:tcPr>
          <w:p w14:paraId="585C33C0" w14:textId="77777777" w:rsidR="00E74C8C" w:rsidRDefault="00000000">
            <w:r>
              <w:t>0.145</w:t>
            </w:r>
          </w:p>
        </w:tc>
        <w:tc>
          <w:tcPr>
            <w:tcW w:w="2520" w:type="dxa"/>
          </w:tcPr>
          <w:p w14:paraId="643A423C" w14:textId="77777777" w:rsidR="00E74C8C" w:rsidRDefault="00000000">
            <w:r>
              <w:t>&lt; 0.001</w:t>
            </w:r>
          </w:p>
        </w:tc>
      </w:tr>
      <w:tr w:rsidR="00B86A12" w14:paraId="7E3775FC" w14:textId="77777777">
        <w:tc>
          <w:tcPr>
            <w:tcW w:w="2520" w:type="dxa"/>
          </w:tcPr>
          <w:p w14:paraId="2721F617" w14:textId="77777777" w:rsidR="00E74C8C" w:rsidRDefault="00000000">
            <w:r>
              <w:t>pct_asian</w:t>
            </w:r>
          </w:p>
        </w:tc>
        <w:tc>
          <w:tcPr>
            <w:tcW w:w="2520" w:type="dxa"/>
          </w:tcPr>
          <w:p w14:paraId="5CEA8F5E" w14:textId="77777777" w:rsidR="00E74C8C" w:rsidRDefault="00000000">
            <w:r>
              <w:t>-1.136***</w:t>
            </w:r>
          </w:p>
        </w:tc>
        <w:tc>
          <w:tcPr>
            <w:tcW w:w="2520" w:type="dxa"/>
          </w:tcPr>
          <w:p w14:paraId="2D8B0023" w14:textId="77777777" w:rsidR="00E74C8C" w:rsidRDefault="00000000">
            <w:r>
              <w:t>0.162</w:t>
            </w:r>
          </w:p>
        </w:tc>
        <w:tc>
          <w:tcPr>
            <w:tcW w:w="2520" w:type="dxa"/>
          </w:tcPr>
          <w:p w14:paraId="48910346" w14:textId="77777777" w:rsidR="00E74C8C" w:rsidRDefault="00000000">
            <w:r>
              <w:t>&lt; 0.001</w:t>
            </w:r>
          </w:p>
        </w:tc>
      </w:tr>
      <w:tr w:rsidR="00B86A12" w14:paraId="07FEF274" w14:textId="77777777">
        <w:tc>
          <w:tcPr>
            <w:tcW w:w="2520" w:type="dxa"/>
          </w:tcPr>
          <w:p w14:paraId="30B6316B" w14:textId="77777777" w:rsidR="00E74C8C" w:rsidRDefault="00000000">
            <w:r>
              <w:t>pct_bachelors_plus</w:t>
            </w:r>
          </w:p>
        </w:tc>
        <w:tc>
          <w:tcPr>
            <w:tcW w:w="2520" w:type="dxa"/>
          </w:tcPr>
          <w:p w14:paraId="5892ACDD" w14:textId="77777777" w:rsidR="00E74C8C" w:rsidRDefault="00000000">
            <w:r>
              <w:t>-0.611***</w:t>
            </w:r>
          </w:p>
        </w:tc>
        <w:tc>
          <w:tcPr>
            <w:tcW w:w="2520" w:type="dxa"/>
          </w:tcPr>
          <w:p w14:paraId="0DFE6FB5" w14:textId="77777777" w:rsidR="00E74C8C" w:rsidRDefault="00000000">
            <w:r>
              <w:t>0.235</w:t>
            </w:r>
          </w:p>
        </w:tc>
        <w:tc>
          <w:tcPr>
            <w:tcW w:w="2520" w:type="dxa"/>
          </w:tcPr>
          <w:p w14:paraId="751028ED" w14:textId="77777777" w:rsidR="00E74C8C" w:rsidRDefault="00000000">
            <w:r>
              <w:t>0.009</w:t>
            </w:r>
          </w:p>
        </w:tc>
      </w:tr>
      <w:tr w:rsidR="00B86A12" w14:paraId="690B9970" w14:textId="77777777">
        <w:tc>
          <w:tcPr>
            <w:tcW w:w="2520" w:type="dxa"/>
          </w:tcPr>
          <w:p w14:paraId="5AA80443" w14:textId="77777777" w:rsidR="00E74C8C" w:rsidRDefault="00000000">
            <w:r>
              <w:t>y_pv</w:t>
            </w:r>
          </w:p>
        </w:tc>
        <w:tc>
          <w:tcPr>
            <w:tcW w:w="2520" w:type="dxa"/>
          </w:tcPr>
          <w:p w14:paraId="7AB85A0C" w14:textId="77777777" w:rsidR="00E74C8C" w:rsidRDefault="00000000">
            <w:r>
              <w:t>1.143***</w:t>
            </w:r>
          </w:p>
        </w:tc>
        <w:tc>
          <w:tcPr>
            <w:tcW w:w="2520" w:type="dxa"/>
          </w:tcPr>
          <w:p w14:paraId="0D638B27" w14:textId="77777777" w:rsidR="00E74C8C" w:rsidRDefault="00000000">
            <w:r>
              <w:t>0.175</w:t>
            </w:r>
          </w:p>
        </w:tc>
        <w:tc>
          <w:tcPr>
            <w:tcW w:w="2520" w:type="dxa"/>
          </w:tcPr>
          <w:p w14:paraId="3EDE1655" w14:textId="77777777" w:rsidR="00E74C8C" w:rsidRDefault="00000000">
            <w:r>
              <w:t>&lt; 0.001</w:t>
            </w:r>
          </w:p>
        </w:tc>
      </w:tr>
    </w:tbl>
    <w:p w14:paraId="7D0A405D" w14:textId="77777777" w:rsidR="00B86A12" w:rsidRDefault="00B86A12"/>
    <w:p w14:paraId="0D543875"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14:paraId="73069FF7" w14:textId="77777777" w:rsidR="00B86A12" w:rsidRDefault="00A51986">
      <w:pPr>
        <w:jc w:val="center"/>
      </w:pPr>
      <w:r>
        <w:rPr>
          <w:noProof/>
        </w:rPr>
        <w:lastRenderedPageBreak/>
        <w:drawing>
          <wp:inline distT="0" distB="0" distL="0" distR="0" wp14:anchorId="7792669E" wp14:editId="6655A6A5">
            <wp:extent cx="4154311" cy="4620021"/>
            <wp:effectExtent l="0" t="0" r="0" b="3175"/>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a:blip r:embed="rId18">
                      <a:extLst>
                        <a:ext uri="{96DAC541-7B7A-43D3-8B79-37D633B846F1}">
                          <asvg:svgBlip xmlns:asvg="http://schemas.microsoft.com/office/drawing/2016/SVG/main" r:embed="rId19"/>
                        </a:ext>
                      </a:extLst>
                    </a:blip>
                    <a:stretch>
                      <a:fillRect/>
                    </a:stretch>
                  </pic:blipFill>
                  <pic:spPr>
                    <a:xfrm>
                      <a:off x="0" y="0"/>
                      <a:ext cx="4192669" cy="4662679"/>
                    </a:xfrm>
                    <a:prstGeom prst="rect">
                      <a:avLst/>
                    </a:prstGeom>
                  </pic:spPr>
                </pic:pic>
              </a:graphicData>
            </a:graphic>
          </wp:inline>
        </w:drawing>
      </w:r>
    </w:p>
    <w:p w14:paraId="6033C129" w14:textId="77777777" w:rsidR="00B86A12" w:rsidRDefault="00000000">
      <w:pPr>
        <w:jc w:val="center"/>
      </w:pPr>
      <w:r>
        <w:rPr>
          <w:b/>
          <w:i/>
        </w:rPr>
        <w:t>Figure 3.</w:t>
      </w:r>
      <w:r>
        <w:rPr>
          <w:i/>
        </w:rPr>
        <w:t xml:space="preserve"> Standardized robustness summary for</w:t>
      </w:r>
      <w:r>
        <w:rPr>
          <w:rFonts w:ascii="Courier New" w:hAnsi="Courier New"/>
          <w:i/>
          <w:sz w:val="18"/>
        </w:rPr>
        <w:t xml:space="preserve"> y_storage</w:t>
      </w:r>
      <w:r>
        <w:rPr>
          <w:i/>
        </w:rPr>
        <w:t>. Read together with Figure 2 and the Model 9 table, this figure highlights that the storage coefficients are generally larger and more persistent than the PV coefficients. Source file:</w:t>
      </w:r>
      <w:r>
        <w:rPr>
          <w:rFonts w:ascii="Courier New" w:hAnsi="Courier New"/>
          <w:i/>
          <w:sz w:val="18"/>
        </w:rPr>
        <w:t xml:space="preserve"> outputs/standardized_figures/y_storage_robustness.svg</w:t>
      </w:r>
      <w:r>
        <w:rPr>
          <w:i/>
        </w:rPr>
        <w:t>.</w:t>
      </w:r>
    </w:p>
    <w:p w14:paraId="3C863A74" w14:textId="77777777" w:rsidR="00B86A12" w:rsidRDefault="00000000">
      <w:pPr>
        <w:pStyle w:val="Heading2"/>
      </w:pPr>
      <w:r>
        <w:t>5.4 EV charging: aggregate disparities mask charger-type composition</w:t>
      </w:r>
    </w:p>
    <w:p w14:paraId="047D57F3" w14:textId="77777777" w:rsidR="00B86A12" w:rsidRDefault="00000000">
      <w:r>
        <w:t>The EV charging results are more complex than the PV and storage findings. As shown in Figure 4, the refreshed aggregate charger baseline has a positive but not conventionally significant income coefficient, a near-zero Black-share coefficient, a negative Hispanic-share coefficient, and a positive Asian-share coefficient. At the same time, poverty_rate is strongly positive. That positive poverty coefficient persists across several robustness checks, including county-clustered, infrastructure-control, and demand-proxy models.</w:t>
      </w:r>
    </w:p>
    <w:p w14:paraId="57A3B6A7" w14:textId="77777777" w:rsidR="00B86A12" w:rsidRDefault="00000000">
      <w:r>
        <w:t>The charger-type decomposition helps clarify what is going on. In the standardized baseline models, the positive aggregate association with poverty_rate is not present for y_level1_chargers, where the coefficient is small and statistically insignificant (0.002, p = 0.584). Instead, the aggregate pattern appears to be driven primarily by y_level2_chargers, where poverty_rate is positive and highly significant (0.166, p &lt; 0.001). For y_dc_fast_chargers, the coefficient on poverty_rate is also positive, but it is imprecisely estimated in the standardized baseline model (0.028, p = 0.187).</w:t>
      </w:r>
    </w:p>
    <w:p w14:paraId="3EA31968" w14:textId="77777777" w:rsidR="00B86A12" w:rsidRDefault="00000000">
      <w:r>
        <w:t>Taken together, Figure 5 and Table 4 suggest that the positive poverty-rate relationship in the aggregate charger outcome is composition-driven rather than reflecting uniformly greater charging access across all charger types.</w:t>
      </w:r>
    </w:p>
    <w:p w14:paraId="12128479" w14:textId="77777777" w:rsidR="00B86A12" w:rsidRDefault="00000000">
      <w:r>
        <w:lastRenderedPageBreak/>
        <w:t>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w:t>
      </w:r>
    </w:p>
    <w:p w14:paraId="6B70D9B1" w14:textId="77777777" w:rsidR="00B86A12" w:rsidRDefault="00000000">
      <w:r>
        <w:t>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14:paraId="635C3CEE" w14:textId="77777777" w:rsidR="00B86A12" w:rsidRDefault="00A51986">
      <w:pPr>
        <w:jc w:val="center"/>
      </w:pPr>
      <w:r>
        <w:rPr>
          <w:noProof/>
        </w:rPr>
        <w:drawing>
          <wp:inline distT="0" distB="0" distL="0" distR="0" wp14:anchorId="59CDCA80" wp14:editId="42D2E89A">
            <wp:extent cx="4161033" cy="4661760"/>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a:blip r:embed="rId20">
                      <a:extLst>
                        <a:ext uri="{96DAC541-7B7A-43D3-8B79-37D633B846F1}">
                          <asvg:svgBlip xmlns:asvg="http://schemas.microsoft.com/office/drawing/2016/SVG/main" r:embed="rId21"/>
                        </a:ext>
                      </a:extLst>
                    </a:blip>
                    <a:stretch>
                      <a:fillRect/>
                    </a:stretch>
                  </pic:blipFill>
                  <pic:spPr>
                    <a:xfrm>
                      <a:off x="0" y="0"/>
                      <a:ext cx="4171511" cy="4673499"/>
                    </a:xfrm>
                    <a:prstGeom prst="rect">
                      <a:avLst/>
                    </a:prstGeom>
                  </pic:spPr>
                </pic:pic>
              </a:graphicData>
            </a:graphic>
          </wp:inline>
        </w:drawing>
      </w:r>
    </w:p>
    <w:p w14:paraId="649A6A60" w14:textId="77777777" w:rsidR="00B86A12" w:rsidRDefault="00000000">
      <w:pPr>
        <w:jc w:val="center"/>
      </w:pPr>
      <w:r>
        <w:rPr>
          <w:b/>
          <w:i/>
        </w:rPr>
        <w:t>Figure 4.</w:t>
      </w:r>
      <w:r>
        <w:rPr>
          <w:i/>
        </w:rPr>
        <w:t xml:space="preserve"> Standardized robustness summary for aggregate</w:t>
      </w:r>
      <w:r>
        <w:rPr>
          <w:rFonts w:ascii="Courier New" w:hAnsi="Courier New"/>
          <w:i/>
          <w:sz w:val="18"/>
        </w:rPr>
        <w:t xml:space="preserve"> y_chargers</w:t>
      </w:r>
      <w:r>
        <w:rPr>
          <w:i/>
        </w:rPr>
        <w:t xml:space="preserve"> . This figure shows how the aggregate EV charging result behaves across specifications, but it does not by itself separate Level 1, Level 2, and DC fast charging. Source file:</w:t>
      </w:r>
      <w:r>
        <w:rPr>
          <w:rFonts w:ascii="Courier New" w:hAnsi="Courier New"/>
          <w:i/>
          <w:sz w:val="18"/>
        </w:rPr>
        <w:t xml:space="preserve"> outputs/standardized_figures/y_chargers_robustness.svg</w:t>
      </w:r>
      <w:r>
        <w:rPr>
          <w:i/>
        </w:rPr>
        <w:t xml:space="preserve"> .</w:t>
      </w:r>
    </w:p>
    <w:p w14:paraId="12EFBEA4" w14:textId="77777777" w:rsidR="00B86A12" w:rsidRDefault="00A51986">
      <w:pPr>
        <w:jc w:val="center"/>
      </w:pPr>
      <w:r>
        <w:rPr>
          <w:noProof/>
        </w:rPr>
        <w:lastRenderedPageBreak/>
        <w:drawing>
          <wp:inline distT="0" distB="0" distL="0" distR="0" wp14:anchorId="4573747E" wp14:editId="20BA6DDC">
            <wp:extent cx="4900773" cy="3427138"/>
            <wp:effectExtent l="0" t="0" r="1905" b="1905"/>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a:blip r:embed="rId22">
                      <a:extLst>
                        <a:ext uri="{96DAC541-7B7A-43D3-8B79-37D633B846F1}">
                          <asvg:svgBlip xmlns:asvg="http://schemas.microsoft.com/office/drawing/2016/SVG/main" r:embed="rId23"/>
                        </a:ext>
                      </a:extLst>
                    </a:blip>
                    <a:stretch>
                      <a:fillRect/>
                    </a:stretch>
                  </pic:blipFill>
                  <pic:spPr>
                    <a:xfrm>
                      <a:off x="0" y="0"/>
                      <a:ext cx="4909751" cy="3433416"/>
                    </a:xfrm>
                    <a:prstGeom prst="rect">
                      <a:avLst/>
                    </a:prstGeom>
                  </pic:spPr>
                </pic:pic>
              </a:graphicData>
            </a:graphic>
          </wp:inline>
        </w:drawing>
      </w:r>
    </w:p>
    <w:p w14:paraId="12716449" w14:textId="77777777" w:rsidR="00B86A12" w:rsidRDefault="00000000">
      <w:pPr>
        <w:jc w:val="center"/>
      </w:pPr>
      <w:r>
        <w:rPr>
          <w:b/>
          <w:i/>
        </w:rPr>
        <w:t>Figure 5.</w:t>
      </w:r>
      <w:r>
        <w:rPr>
          <w:i/>
        </w:rPr>
        <w:t xml:space="preserve"> Baseline standardized coefficient comparison across aggregate charging,</w:t>
      </w:r>
      <w:r>
        <w:rPr>
          <w:rFonts w:ascii="Courier New" w:hAnsi="Courier New"/>
          <w:i/>
          <w:sz w:val="18"/>
        </w:rPr>
        <w:t xml:space="preserve"> y_level1_chargers</w:t>
      </w:r>
      <w:r w:rsidR="00A51986">
        <w:rPr>
          <w:i/>
        </w:rPr>
        <w:t>,</w:t>
      </w:r>
      <w:r>
        <w:rPr>
          <w:rFonts w:ascii="Courier New" w:hAnsi="Courier New"/>
          <w:i/>
          <w:sz w:val="18"/>
        </w:rPr>
        <w:t xml:space="preserve"> y_level2_chargers</w:t>
      </w:r>
      <w:r w:rsidR="00A51986">
        <w:rPr>
          <w:i/>
        </w:rPr>
        <w:t>,</w:t>
      </w:r>
      <w:r>
        <w:rPr>
          <w:i/>
        </w:rPr>
        <w:t xml:space="preserve"> and</w:t>
      </w:r>
      <w:r>
        <w:rPr>
          <w:rFonts w:ascii="Courier New" w:hAnsi="Courier New"/>
          <w:i/>
          <w:sz w:val="18"/>
        </w:rPr>
        <w:t xml:space="preserve"> y_dc_fast_chargers</w:t>
      </w:r>
      <w:r>
        <w:rPr>
          <w:i/>
        </w:rPr>
        <w:t xml:space="preserve"> . This figure makes the subtype result explicit: the positive aggregate association with</w:t>
      </w:r>
      <w:r>
        <w:rPr>
          <w:rFonts w:ascii="Courier New" w:hAnsi="Courier New"/>
          <w:i/>
          <w:sz w:val="18"/>
        </w:rPr>
        <w:t xml:space="preserve"> poverty_rate</w:t>
      </w:r>
      <w:r>
        <w:rPr>
          <w:i/>
        </w:rPr>
        <w:t xml:space="preserve"> is not present for Level 1 charging and is driven primarily by Level 2 charging. Source file:</w:t>
      </w:r>
      <w:r>
        <w:rPr>
          <w:rFonts w:ascii="Courier New" w:hAnsi="Courier New"/>
          <w:i/>
          <w:sz w:val="18"/>
        </w:rPr>
        <w:t xml:space="preserve"> outputs/standardized_figures/charger_subtype_comparison.svg</w:t>
      </w:r>
      <w:r>
        <w:rPr>
          <w:i/>
        </w:rPr>
        <w:t xml:space="preserve"> .</w:t>
      </w:r>
    </w:p>
    <w:p w14:paraId="2320FBAB" w14:textId="77777777" w:rsidR="00B86A12" w:rsidRDefault="00000000">
      <w:r>
        <w:rPr>
          <w:b/>
        </w:rPr>
        <w:t>Table 4. EV charger subtype comparison in baseline models.</w:t>
      </w:r>
    </w:p>
    <w:tbl>
      <w:tblPr>
        <w:tblStyle w:val="TableGrid"/>
        <w:tblW w:w="0" w:type="auto"/>
        <w:tblLook w:val="04A0" w:firstRow="1" w:lastRow="0" w:firstColumn="1" w:lastColumn="0" w:noHBand="0" w:noVBand="1"/>
      </w:tblPr>
      <w:tblGrid>
        <w:gridCol w:w="3027"/>
        <w:gridCol w:w="1844"/>
        <w:gridCol w:w="1792"/>
        <w:gridCol w:w="1827"/>
        <w:gridCol w:w="1806"/>
      </w:tblGrid>
      <w:tr w:rsidR="00B86A12" w14:paraId="7DFE37B6" w14:textId="77777777">
        <w:tc>
          <w:tcPr>
            <w:tcW w:w="2016" w:type="dxa"/>
          </w:tcPr>
          <w:p w14:paraId="43639CF9" w14:textId="77777777" w:rsidR="00E74C8C" w:rsidRDefault="00000000">
            <w:r>
              <w:t>Predictor</w:t>
            </w:r>
          </w:p>
        </w:tc>
        <w:tc>
          <w:tcPr>
            <w:tcW w:w="2016" w:type="dxa"/>
          </w:tcPr>
          <w:p w14:paraId="5F89CBBB" w14:textId="77777777" w:rsidR="00E74C8C" w:rsidRDefault="00000000">
            <w:r>
              <w:t>Aggregate</w:t>
            </w:r>
          </w:p>
        </w:tc>
        <w:tc>
          <w:tcPr>
            <w:tcW w:w="2016" w:type="dxa"/>
          </w:tcPr>
          <w:p w14:paraId="4459A584" w14:textId="77777777" w:rsidR="00E74C8C" w:rsidRDefault="00000000">
            <w:r>
              <w:t>Level 1</w:t>
            </w:r>
          </w:p>
        </w:tc>
        <w:tc>
          <w:tcPr>
            <w:tcW w:w="2016" w:type="dxa"/>
          </w:tcPr>
          <w:p w14:paraId="3E2F97F6" w14:textId="77777777" w:rsidR="00E74C8C" w:rsidRDefault="00000000">
            <w:r>
              <w:t>Level 2</w:t>
            </w:r>
          </w:p>
        </w:tc>
        <w:tc>
          <w:tcPr>
            <w:tcW w:w="2016" w:type="dxa"/>
          </w:tcPr>
          <w:p w14:paraId="42E59E7F" w14:textId="77777777" w:rsidR="00E74C8C" w:rsidRDefault="00000000">
            <w:r>
              <w:t>DC Fast</w:t>
            </w:r>
          </w:p>
        </w:tc>
      </w:tr>
      <w:tr w:rsidR="00B86A12" w14:paraId="630F2582" w14:textId="77777777">
        <w:tc>
          <w:tcPr>
            <w:tcW w:w="2016" w:type="dxa"/>
          </w:tcPr>
          <w:p w14:paraId="1CAC4F8F" w14:textId="77777777" w:rsidR="00E74C8C" w:rsidRDefault="00000000">
            <w:r>
              <w:t>log_median_household_income</w:t>
            </w:r>
          </w:p>
        </w:tc>
        <w:tc>
          <w:tcPr>
            <w:tcW w:w="2016" w:type="dxa"/>
          </w:tcPr>
          <w:p w14:paraId="1974DFF7" w14:textId="77777777" w:rsidR="00E74C8C" w:rsidRDefault="00000000">
            <w:r>
              <w:t>0.160 (0.098)</w:t>
            </w:r>
          </w:p>
        </w:tc>
        <w:tc>
          <w:tcPr>
            <w:tcW w:w="2016" w:type="dxa"/>
          </w:tcPr>
          <w:p w14:paraId="33C0D75B" w14:textId="77777777" w:rsidR="00E74C8C" w:rsidRDefault="00000000">
            <w:r>
              <w:t>-0.010 (0.011)</w:t>
            </w:r>
          </w:p>
        </w:tc>
        <w:tc>
          <w:tcPr>
            <w:tcW w:w="2016" w:type="dxa"/>
          </w:tcPr>
          <w:p w14:paraId="0812829F" w14:textId="77777777" w:rsidR="00E74C8C" w:rsidRDefault="00000000">
            <w:r>
              <w:t>0.199** (0.088)</w:t>
            </w:r>
          </w:p>
        </w:tc>
        <w:tc>
          <w:tcPr>
            <w:tcW w:w="2016" w:type="dxa"/>
          </w:tcPr>
          <w:p w14:paraId="4929C8F4" w14:textId="77777777" w:rsidR="00E74C8C" w:rsidRDefault="00000000">
            <w:r>
              <w:t>0.045 (0.056)</w:t>
            </w:r>
          </w:p>
        </w:tc>
      </w:tr>
      <w:tr w:rsidR="00B86A12" w14:paraId="53CD6D7D" w14:textId="77777777">
        <w:tc>
          <w:tcPr>
            <w:tcW w:w="2016" w:type="dxa"/>
          </w:tcPr>
          <w:p w14:paraId="571EE981" w14:textId="77777777" w:rsidR="00E74C8C" w:rsidRDefault="00000000">
            <w:r>
              <w:t>pct_black</w:t>
            </w:r>
          </w:p>
        </w:tc>
        <w:tc>
          <w:tcPr>
            <w:tcW w:w="2016" w:type="dxa"/>
          </w:tcPr>
          <w:p w14:paraId="57F0EEAD" w14:textId="77777777" w:rsidR="00E74C8C" w:rsidRDefault="00000000">
            <w:r>
              <w:t>-0.009 (0.343)</w:t>
            </w:r>
          </w:p>
        </w:tc>
        <w:tc>
          <w:tcPr>
            <w:tcW w:w="2016" w:type="dxa"/>
          </w:tcPr>
          <w:p w14:paraId="51014381" w14:textId="77777777" w:rsidR="00E74C8C" w:rsidRDefault="00000000">
            <w:r>
              <w:t>-0.004 (0.018)</w:t>
            </w:r>
          </w:p>
        </w:tc>
        <w:tc>
          <w:tcPr>
            <w:tcW w:w="2016" w:type="dxa"/>
          </w:tcPr>
          <w:p w14:paraId="388791D7" w14:textId="77777777" w:rsidR="00E74C8C" w:rsidRDefault="00000000">
            <w:r>
              <w:t>0.087 (0.323)</w:t>
            </w:r>
          </w:p>
        </w:tc>
        <w:tc>
          <w:tcPr>
            <w:tcW w:w="2016" w:type="dxa"/>
          </w:tcPr>
          <w:p w14:paraId="43F2C71D" w14:textId="77777777" w:rsidR="00E74C8C" w:rsidRDefault="00000000">
            <w:r>
              <w:t>-0.149 (0.155)</w:t>
            </w:r>
          </w:p>
        </w:tc>
      </w:tr>
      <w:tr w:rsidR="00B86A12" w14:paraId="067325E1" w14:textId="77777777">
        <w:tc>
          <w:tcPr>
            <w:tcW w:w="2016" w:type="dxa"/>
          </w:tcPr>
          <w:p w14:paraId="0AEE38F8" w14:textId="77777777" w:rsidR="00E74C8C" w:rsidRDefault="00000000">
            <w:r>
              <w:t>pct_hispanic</w:t>
            </w:r>
          </w:p>
        </w:tc>
        <w:tc>
          <w:tcPr>
            <w:tcW w:w="2016" w:type="dxa"/>
          </w:tcPr>
          <w:p w14:paraId="700C2C6D" w14:textId="77777777" w:rsidR="00E74C8C" w:rsidRDefault="00000000">
            <w:r>
              <w:t>-0.403*** (0.105)</w:t>
            </w:r>
          </w:p>
        </w:tc>
        <w:tc>
          <w:tcPr>
            <w:tcW w:w="2016" w:type="dxa"/>
          </w:tcPr>
          <w:p w14:paraId="1E11437E" w14:textId="77777777" w:rsidR="00E74C8C" w:rsidRDefault="00000000">
            <w:r>
              <w:t>-0.018 (0.012)</w:t>
            </w:r>
          </w:p>
        </w:tc>
        <w:tc>
          <w:tcPr>
            <w:tcW w:w="2016" w:type="dxa"/>
          </w:tcPr>
          <w:p w14:paraId="1756EFD9" w14:textId="77777777" w:rsidR="00E74C8C" w:rsidRDefault="00000000">
            <w:r>
              <w:t>-0.480*** (0.089)</w:t>
            </w:r>
          </w:p>
        </w:tc>
        <w:tc>
          <w:tcPr>
            <w:tcW w:w="2016" w:type="dxa"/>
          </w:tcPr>
          <w:p w14:paraId="7D3C1EB6" w14:textId="77777777" w:rsidR="00E74C8C" w:rsidRDefault="00000000">
            <w:r>
              <w:t>0.011 (0.071)</w:t>
            </w:r>
          </w:p>
        </w:tc>
      </w:tr>
      <w:tr w:rsidR="00B86A12" w14:paraId="2F1CB1E1" w14:textId="77777777">
        <w:tc>
          <w:tcPr>
            <w:tcW w:w="2016" w:type="dxa"/>
          </w:tcPr>
          <w:p w14:paraId="0A80E2A9" w14:textId="77777777" w:rsidR="00E74C8C" w:rsidRDefault="00000000">
            <w:r>
              <w:t>pct_asian</w:t>
            </w:r>
          </w:p>
        </w:tc>
        <w:tc>
          <w:tcPr>
            <w:tcW w:w="2016" w:type="dxa"/>
          </w:tcPr>
          <w:p w14:paraId="0D843089" w14:textId="77777777" w:rsidR="00E74C8C" w:rsidRDefault="00000000">
            <w:r>
              <w:t>0.413*** (0.147)</w:t>
            </w:r>
          </w:p>
        </w:tc>
        <w:tc>
          <w:tcPr>
            <w:tcW w:w="2016" w:type="dxa"/>
          </w:tcPr>
          <w:p w14:paraId="2346A1A8" w14:textId="77777777" w:rsidR="00E74C8C" w:rsidRDefault="00000000">
            <w:r>
              <w:t>0.006 (0.006)</w:t>
            </w:r>
          </w:p>
        </w:tc>
        <w:tc>
          <w:tcPr>
            <w:tcW w:w="2016" w:type="dxa"/>
          </w:tcPr>
          <w:p w14:paraId="67B4721C" w14:textId="77777777" w:rsidR="00E74C8C" w:rsidRDefault="00000000">
            <w:r>
              <w:t>0.344** (0.142)</w:t>
            </w:r>
          </w:p>
        </w:tc>
        <w:tc>
          <w:tcPr>
            <w:tcW w:w="2016" w:type="dxa"/>
          </w:tcPr>
          <w:p w14:paraId="108A9256" w14:textId="77777777" w:rsidR="00E74C8C" w:rsidRDefault="00000000">
            <w:r>
              <w:t>0.135** (0.068)</w:t>
            </w:r>
          </w:p>
        </w:tc>
      </w:tr>
      <w:tr w:rsidR="00B86A12" w14:paraId="415C1D96" w14:textId="77777777">
        <w:tc>
          <w:tcPr>
            <w:tcW w:w="2016" w:type="dxa"/>
          </w:tcPr>
          <w:p w14:paraId="7AE0C6E6" w14:textId="77777777" w:rsidR="00E74C8C" w:rsidRDefault="00000000">
            <w:r>
              <w:t>poverty_rate</w:t>
            </w:r>
          </w:p>
        </w:tc>
        <w:tc>
          <w:tcPr>
            <w:tcW w:w="2016" w:type="dxa"/>
          </w:tcPr>
          <w:p w14:paraId="1C3B4E4F" w14:textId="77777777" w:rsidR="00E74C8C" w:rsidRDefault="00000000">
            <w:r>
              <w:t>2.004*** (0.497)</w:t>
            </w:r>
          </w:p>
        </w:tc>
        <w:tc>
          <w:tcPr>
            <w:tcW w:w="2016" w:type="dxa"/>
          </w:tcPr>
          <w:p w14:paraId="2A37DDA1" w14:textId="77777777" w:rsidR="00E74C8C" w:rsidRDefault="00000000">
            <w:r>
              <w:t>0.031 (0.056)</w:t>
            </w:r>
          </w:p>
        </w:tc>
        <w:tc>
          <w:tcPr>
            <w:tcW w:w="2016" w:type="dxa"/>
          </w:tcPr>
          <w:p w14:paraId="3C3E346B" w14:textId="77777777" w:rsidR="00E74C8C" w:rsidRDefault="00000000">
            <w:r>
              <w:t>2.234*** (0.444)</w:t>
            </w:r>
          </w:p>
        </w:tc>
        <w:tc>
          <w:tcPr>
            <w:tcW w:w="2016" w:type="dxa"/>
          </w:tcPr>
          <w:p w14:paraId="396DB8ED" w14:textId="77777777" w:rsidR="00E74C8C" w:rsidRDefault="00000000">
            <w:r>
              <w:t>0.377 (0.285)</w:t>
            </w:r>
          </w:p>
        </w:tc>
      </w:tr>
      <w:tr w:rsidR="00B86A12" w14:paraId="7DFF5A7B" w14:textId="77777777">
        <w:tc>
          <w:tcPr>
            <w:tcW w:w="2016" w:type="dxa"/>
          </w:tcPr>
          <w:p w14:paraId="05E7D3E5" w14:textId="77777777" w:rsidR="00E74C8C" w:rsidRDefault="00000000">
            <w:r>
              <w:t>N</w:t>
            </w:r>
          </w:p>
        </w:tc>
        <w:tc>
          <w:tcPr>
            <w:tcW w:w="2016" w:type="dxa"/>
          </w:tcPr>
          <w:p w14:paraId="29B8A7D9" w14:textId="77777777" w:rsidR="00E74C8C" w:rsidRDefault="00000000">
            <w:r>
              <w:t>1,386</w:t>
            </w:r>
          </w:p>
        </w:tc>
        <w:tc>
          <w:tcPr>
            <w:tcW w:w="2016" w:type="dxa"/>
          </w:tcPr>
          <w:p w14:paraId="2C0BF764" w14:textId="77777777" w:rsidR="00E74C8C" w:rsidRDefault="00000000">
            <w:r>
              <w:t>1,386</w:t>
            </w:r>
          </w:p>
        </w:tc>
        <w:tc>
          <w:tcPr>
            <w:tcW w:w="2016" w:type="dxa"/>
          </w:tcPr>
          <w:p w14:paraId="621E7CB6" w14:textId="77777777" w:rsidR="00E74C8C" w:rsidRDefault="00000000">
            <w:r>
              <w:t>1,386</w:t>
            </w:r>
          </w:p>
        </w:tc>
        <w:tc>
          <w:tcPr>
            <w:tcW w:w="2016" w:type="dxa"/>
          </w:tcPr>
          <w:p w14:paraId="46A33399" w14:textId="77777777" w:rsidR="00E74C8C" w:rsidRDefault="00000000">
            <w:r>
              <w:t>1,386</w:t>
            </w:r>
          </w:p>
        </w:tc>
      </w:tr>
      <w:tr w:rsidR="00B86A12" w14:paraId="26432108" w14:textId="77777777">
        <w:tc>
          <w:tcPr>
            <w:tcW w:w="2016" w:type="dxa"/>
          </w:tcPr>
          <w:p w14:paraId="483F2216" w14:textId="77777777" w:rsidR="00E74C8C" w:rsidRDefault="00000000">
            <w:r>
              <w:t>R²</w:t>
            </w:r>
          </w:p>
        </w:tc>
        <w:tc>
          <w:tcPr>
            <w:tcW w:w="2016" w:type="dxa"/>
          </w:tcPr>
          <w:p w14:paraId="390B7425" w14:textId="77777777" w:rsidR="00E74C8C" w:rsidRDefault="00000000">
            <w:r>
              <w:t>0.079</w:t>
            </w:r>
          </w:p>
        </w:tc>
        <w:tc>
          <w:tcPr>
            <w:tcW w:w="2016" w:type="dxa"/>
          </w:tcPr>
          <w:p w14:paraId="0773743B" w14:textId="77777777" w:rsidR="00E74C8C" w:rsidRDefault="00000000">
            <w:r>
              <w:t>0.006</w:t>
            </w:r>
          </w:p>
        </w:tc>
        <w:tc>
          <w:tcPr>
            <w:tcW w:w="2016" w:type="dxa"/>
          </w:tcPr>
          <w:p w14:paraId="733EA52A" w14:textId="77777777" w:rsidR="00E74C8C" w:rsidRDefault="00000000">
            <w:r>
              <w:t>0.117</w:t>
            </w:r>
          </w:p>
        </w:tc>
        <w:tc>
          <w:tcPr>
            <w:tcW w:w="2016" w:type="dxa"/>
          </w:tcPr>
          <w:p w14:paraId="45534321" w14:textId="77777777" w:rsidR="00E74C8C" w:rsidRDefault="00000000">
            <w:r>
              <w:t>0.012</w:t>
            </w:r>
          </w:p>
        </w:tc>
      </w:tr>
    </w:tbl>
    <w:p w14:paraId="7856F3CA" w14:textId="77777777" w:rsidR="00B86A12" w:rsidRDefault="00B86A12"/>
    <w:p w14:paraId="3AD37BF4" w14:textId="77777777" w:rsidR="00B86A12" w:rsidRDefault="00000000">
      <w:pPr>
        <w:pStyle w:val="Heading2"/>
      </w:pPr>
      <w:r>
        <w:t>5.5 Energy burden outcome results</w:t>
      </w:r>
    </w:p>
    <w:p w14:paraId="5E4704F3" w14:textId="77777777" w:rsidR="0014040F" w:rsidRDefault="00000000">
      <w:r>
        <w:t>The energy-burden outcomes provide affordability context for the DER results. In the matched burden sample, mean energy_burden_pct is about 2.2% and the interquartile range runs from roughly 1.5% to 2.8%, while energy_burden_pct is strongly negatively correlated with log_median_household_income (-0.746) and positively correlated with poverty_rate (0.545). The burden variables are therefore best read as a related affordability-stress layer rather than as cleanly orthogonal controls.</w:t>
      </w:r>
    </w:p>
    <w:p w14:paraId="6595B8CA" w14:textId="77777777" w:rsidR="0014040F" w:rsidRDefault="00000000">
      <w:r>
        <w:t>In the refreshed baseline model with energy_burden_pct as the outcome, log_median_household_income 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w:t>
      </w:r>
    </w:p>
    <w:p w14:paraId="3BDF0768" w14:textId="77777777" w:rsidR="0014040F" w:rsidRDefault="00000000">
      <w:r>
        <w:lastRenderedPageBreak/>
        <w:t>These results reinforce the paper’s broader interpretation: affordability stress is itself spatially and demographically structured, but it does not make the DER outcomes interchangeable. PV and storage remain tied to different race and income patterns than aggregate charging, and the charging result still appears to reflect a mixture of infrastructure siting and household-serving access rather than one uniform affordability channel.</w:t>
      </w:r>
    </w:p>
    <w:p w14:paraId="762BFB71" w14:textId="77777777" w:rsidR="00157F04" w:rsidRDefault="00157F04">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24">
                      <a:extLst>
                        <a:ext uri="{96DAC541-7B7A-43D3-8B79-37D633B846F1}">
                          <asvg:svgBlip xmlns:asvg="http://schemas.microsoft.com/office/drawing/2016/SVG/main" r:embed="rId25"/>
                        </a:ext>
                      </a:extLst>
                    </a:blip>
                    <a:stretch>
                      <a:fillRect/>
                    </a:stretch>
                  </pic:blipFill>
                  <pic:spPr>
                    <a:xfrm>
                      <a:off x="0" y="0"/>
                      <a:ext cx="3127881" cy="2022881"/>
                    </a:xfrm>
                    <a:prstGeom prst="rect">
                      <a:avLst/>
                    </a:prstGeom>
                  </pic:spPr>
                </pic:pic>
              </a:graphicData>
            </a:graphic>
          </wp:inline>
        </w:drawing>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6">
                      <a:extLst>
                        <a:ext uri="{96DAC541-7B7A-43D3-8B79-37D633B846F1}">
                          <asvg:svgBlip xmlns:asvg="http://schemas.microsoft.com/office/drawing/2016/SVG/main" r:embed="rId27"/>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8">
                      <a:extLst>
                        <a:ext uri="{96DAC541-7B7A-43D3-8B79-37D633B846F1}">
                          <asvg:svgBlip xmlns:asvg="http://schemas.microsoft.com/office/drawing/2016/SVG/main" r:embed="rId29"/>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091ED515">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30">
                      <a:extLst>
                        <a:ext uri="{96DAC541-7B7A-43D3-8B79-37D633B846F1}">
                          <asvg:svgBlip xmlns:asvg="http://schemas.microsoft.com/office/drawing/2016/SVG/main" r:embed="rId31"/>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32">
                      <a:extLst>
                        <a:ext uri="{96DAC541-7B7A-43D3-8B79-37D633B846F1}">
                          <asvg:svgBlip xmlns:asvg="http://schemas.microsoft.com/office/drawing/2016/SVG/main" r:embed="rId33"/>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34">
                      <a:extLst>
                        <a:ext uri="{96DAC541-7B7A-43D3-8B79-37D633B846F1}">
                          <asvg:svgBlip xmlns:asvg="http://schemas.microsoft.com/office/drawing/2016/SVG/main" r:embed="rId35"/>
                        </a:ext>
                      </a:extLst>
                    </a:blip>
                    <a:stretch>
                      <a:fillRect/>
                    </a:stretch>
                  </pic:blipFill>
                  <pic:spPr>
                    <a:xfrm>
                      <a:off x="0" y="0"/>
                      <a:ext cx="3228604" cy="1966950"/>
                    </a:xfrm>
                    <a:prstGeom prst="rect">
                      <a:avLst/>
                    </a:prstGeom>
                  </pic:spPr>
                </pic:pic>
              </a:graphicData>
            </a:graphic>
          </wp:inline>
        </w:drawing>
      </w:r>
    </w:p>
    <w:p w14:paraId="105A1604" w14:textId="77777777" w:rsidR="0014040F" w:rsidRDefault="00000000">
      <w:pPr>
        <w:pStyle w:val="Heading2"/>
      </w:pPr>
      <w:r>
        <w:t>5.6 Descriptive nonlinear gradients</w:t>
      </w:r>
    </w:p>
    <w:p w14:paraId="6B0B4395" w14:textId="77777777" w:rsidR="00B86A12" w:rsidRDefault="00000000">
      <w:r>
        <w:t>The regression tables summarize conditional associations, but the raw outcome gradients are also informative. Figure 6 plots a combined non-white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14:paraId="2A2CAACF" w14:textId="77777777" w:rsidR="00B86A12" w:rsidRDefault="00000000">
      <w:r>
        <w:lastRenderedPageBreak/>
        <w:t>Figure 7 provides the corresponding education view using pct_bachelors_plus. The regenerated deterministic LOWESS audit shows a mildly negative unconditional gradient for PV (-0.06) but positive gradients for storage (0.61) and EV charging (1.17). The corresponding standardized Model 2 charger regression also estimates a positive education coefficient (0.432, p &lt; 0.001). If an earlier figure or notebook export suggested a negative bachelors relationship for EV chargers, that should be read as a stale or specification-specific mismatch rather than the current paper result. In the current generated evidence, bachelor’s attainment is positively associated with aggregate EV charger deployment.</w:t>
      </w:r>
    </w:p>
    <w:p w14:paraId="0EA18E76" w14:textId="77777777" w:rsidR="00B86A12" w:rsidRDefault="00A51986">
      <w:pPr>
        <w:jc w:val="center"/>
      </w:pPr>
      <w:r>
        <w:rPr>
          <w:noProof/>
        </w:rPr>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6">
                      <a:extLst>
                        <a:ext uri="{96DAC541-7B7A-43D3-8B79-37D633B846F1}">
                          <asvg:svgBlip xmlns:asvg="http://schemas.microsoft.com/office/drawing/2016/SVG/main" r:embed="rId37"/>
                        </a:ext>
                      </a:extLst>
                    </a:blip>
                    <a:stretch>
                      <a:fillRect/>
                    </a:stretch>
                  </pic:blipFill>
                  <pic:spPr>
                    <a:xfrm>
                      <a:off x="0" y="0"/>
                      <a:ext cx="6400800" cy="2042160"/>
                    </a:xfrm>
                    <a:prstGeom prst="rect">
                      <a:avLst/>
                    </a:prstGeom>
                  </pic:spPr>
                </pic:pic>
              </a:graphicData>
            </a:graphic>
          </wp:inline>
        </w:drawing>
      </w:r>
    </w:p>
    <w:p w14:paraId="66E2EE60" w14:textId="77777777" w:rsidR="00B86A12" w:rsidRDefault="00000000">
      <w:pPr>
        <w:jc w:val="center"/>
      </w:pPr>
      <w:r>
        <w:rPr>
          <w:b/>
          <w:i/>
        </w:rPr>
        <w:t>Figure 6.</w:t>
      </w:r>
      <w:r>
        <w:rPr>
          <w:i/>
        </w:rPr>
        <w:t xml:space="preserve"> Descriptive LOWESS gradients between </w:t>
      </w:r>
      <w:r w:rsidR="00A51986">
        <w:rPr>
          <w:i/>
        </w:rPr>
        <w:t xml:space="preserve">the </w:t>
      </w:r>
      <w:r>
        <w:rPr>
          <w:i/>
        </w:rPr>
        <w:t>combined non-white share and the three headline DER outcomes. Shaded ribbons show 95% bootstrap confidence intervals. These panels are descriptive only; they do not condition on the full control set used in the regressions.</w:t>
      </w:r>
    </w:p>
    <w:p w14:paraId="2ADFCAD8" w14:textId="77777777" w:rsidR="00B86A12" w:rsidRDefault="00A51986">
      <w:pPr>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8">
                      <a:extLst>
                        <a:ext uri="{96DAC541-7B7A-43D3-8B79-37D633B846F1}">
                          <asvg:svgBlip xmlns:asvg="http://schemas.microsoft.com/office/drawing/2016/SVG/main" r:embed="rId39"/>
                        </a:ext>
                      </a:extLst>
                    </a:blip>
                    <a:stretch>
                      <a:fillRect/>
                    </a:stretch>
                  </pic:blipFill>
                  <pic:spPr>
                    <a:xfrm>
                      <a:off x="0" y="0"/>
                      <a:ext cx="6400800" cy="2042160"/>
                    </a:xfrm>
                    <a:prstGeom prst="rect">
                      <a:avLst/>
                    </a:prstGeom>
                  </pic:spPr>
                </pic:pic>
              </a:graphicData>
            </a:graphic>
          </wp:inline>
        </w:drawing>
      </w:r>
    </w:p>
    <w:p w14:paraId="66757E82" w14:textId="77777777" w:rsidR="00B86A12" w:rsidRDefault="00000000">
      <w:pPr>
        <w:jc w:val="center"/>
      </w:pPr>
      <w:r>
        <w:rPr>
          <w:b/>
          <w:i/>
        </w:rPr>
        <w:t>Figure 7.</w:t>
      </w:r>
      <w:r>
        <w:rPr>
          <w:i/>
        </w:rPr>
        <w:t xml:space="preserve"> Descriptive LOWESS gradients between</w:t>
      </w:r>
      <w:r>
        <w:rPr>
          <w:rFonts w:ascii="Courier New" w:hAnsi="Courier New"/>
          <w:i/>
          <w:sz w:val="18"/>
        </w:rPr>
        <w:t xml:space="preserve"> pct_bachelors_plus</w:t>
      </w:r>
      <w:r>
        <w:rPr>
          <w:i/>
        </w:rPr>
        <w:t xml:space="preserve"> and the three headline DER outcomes. Shaded ribbons show 95% bootstrap confidence intervals. The education panels are included as descriptive context rather than as a claim that education is the paper’s central explanatory variable.</w:t>
      </w:r>
    </w:p>
    <w:p w14:paraId="44832A5A" w14:textId="77777777" w:rsidR="00B86A12" w:rsidRDefault="00000000">
      <w:pPr>
        <w:pStyle w:val="Heading2"/>
      </w:pPr>
      <w:r>
        <w:t>5.7 Exploratory clustering of ZIP/ZCTA types</w:t>
      </w:r>
    </w:p>
    <w:p w14:paraId="76FC9276" w14:textId="77777777" w:rsidR="00B86A12" w:rsidRDefault="00000000">
      <w:r>
        <w:t>In addition to the regression ladder, I use a PCA plus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w:t>
      </w:r>
    </w:p>
    <w:p w14:paraId="528BBBEA" w14:textId="77777777" w:rsidR="00B86A12" w:rsidRDefault="00000000">
      <w:r>
        <w:t xml:space="preserve">The cluster map in Figure 8 shows that these profiles are spatially coherent rather than randomly scattered. Table 5 indicates that the clusters differ along multiple dimensions at once: cluster 1 is affluent with a large Asian share </w:t>
      </w:r>
      <w:r>
        <w:lastRenderedPageBreak/>
        <w:t>and relatively strong charging outcomes; cluster 2 has the highest Hispanic and combined non-white shares together with the highest poverty rate and the weakest charging deployment; and cluster 0 combines comparatively strong PV, storage, and charging outcomes with a larger residual white/other share. These differences are consistent with the broader paper argument that technology access is shaped by bundles of demographic, economic, and infrastructural conditions rather than by one variable in isolation.</w:t>
      </w:r>
    </w:p>
    <w:p w14:paraId="55B4F45F" w14:textId="77777777" w:rsidR="00B86A12" w:rsidRDefault="00000000">
      <w:pPr>
        <w:jc w:val="center"/>
      </w:pPr>
      <w:r>
        <w:rPr>
          <w:noProof/>
        </w:rPr>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40"/>
                    <a:stretch>
                      <a:fillRect/>
                    </a:stretch>
                  </pic:blipFill>
                  <pic:spPr>
                    <a:xfrm>
                      <a:off x="0" y="0"/>
                      <a:ext cx="4471901" cy="5301782"/>
                    </a:xfrm>
                    <a:prstGeom prst="rect">
                      <a:avLst/>
                    </a:prstGeom>
                  </pic:spPr>
                </pic:pic>
              </a:graphicData>
            </a:graphic>
          </wp:inline>
        </w:drawing>
      </w:r>
    </w:p>
    <w:p w14:paraId="1A0FBDBA" w14:textId="77777777" w:rsidR="00B86A12" w:rsidRDefault="00000000">
      <w:pPr>
        <w:jc w:val="center"/>
      </w:pPr>
      <w:r>
        <w:rPr>
          <w:b/>
          <w:i/>
        </w:rPr>
        <w:t>Figure 8.</w:t>
      </w:r>
      <w:r>
        <w:rPr>
          <w:i/>
        </w:rPr>
        <w:t xml:space="preserve"> California ZIP/ZCTA clusters from the exploratory PCA plus K-means analysis. The cluster labels are arbitrary identifiers, but the map shows that the resulting neighborhood profiles are geographically structured rather than random.</w:t>
      </w:r>
    </w:p>
    <w:p w14:paraId="68EE3A8C" w14:textId="77777777" w:rsidR="00B86A12" w:rsidRDefault="00000000">
      <w:r>
        <w:rPr>
          <w:b/>
        </w:rPr>
        <w:t>Table 5. Cluster-profile means from the PCA plus K-means assignment.</w:t>
      </w:r>
    </w:p>
    <w:tbl>
      <w:tblPr>
        <w:tblStyle w:val="TableGrid"/>
        <w:tblW w:w="0" w:type="auto"/>
        <w:tblLook w:val="04A0" w:firstRow="1" w:lastRow="0" w:firstColumn="1" w:lastColumn="0" w:noHBand="0" w:noVBand="1"/>
      </w:tblPr>
      <w:tblGrid>
        <w:gridCol w:w="914"/>
        <w:gridCol w:w="781"/>
        <w:gridCol w:w="931"/>
        <w:gridCol w:w="949"/>
        <w:gridCol w:w="809"/>
        <w:gridCol w:w="1048"/>
        <w:gridCol w:w="830"/>
        <w:gridCol w:w="1292"/>
        <w:gridCol w:w="709"/>
        <w:gridCol w:w="937"/>
        <w:gridCol w:w="1096"/>
      </w:tblGrid>
      <w:tr w:rsidR="00B86A12" w14:paraId="758E1C48" w14:textId="77777777">
        <w:tc>
          <w:tcPr>
            <w:tcW w:w="916" w:type="dxa"/>
          </w:tcPr>
          <w:p w14:paraId="1648EC9F" w14:textId="77777777" w:rsidR="00B86A12" w:rsidRDefault="00000000">
            <w:r>
              <w:rPr>
                <w:b/>
              </w:rPr>
              <w:t>Cluster</w:t>
            </w:r>
          </w:p>
        </w:tc>
        <w:tc>
          <w:tcPr>
            <w:tcW w:w="916" w:type="dxa"/>
          </w:tcPr>
          <w:p w14:paraId="06AA487C" w14:textId="77777777" w:rsidR="00B86A12" w:rsidRDefault="00000000">
            <w:r>
              <w:rPr>
                <w:b/>
              </w:rPr>
              <w:t>N ZIPs</w:t>
            </w:r>
          </w:p>
        </w:tc>
        <w:tc>
          <w:tcPr>
            <w:tcW w:w="916" w:type="dxa"/>
          </w:tcPr>
          <w:p w14:paraId="4DAB83C7" w14:textId="77777777" w:rsidR="00B86A12" w:rsidRDefault="00000000">
            <w:r>
              <w:rPr>
                <w:b/>
              </w:rPr>
              <w:t>Income</w:t>
            </w:r>
          </w:p>
        </w:tc>
        <w:tc>
          <w:tcPr>
            <w:tcW w:w="916" w:type="dxa"/>
          </w:tcPr>
          <w:p w14:paraId="47EB551D" w14:textId="77777777" w:rsidR="00B86A12" w:rsidRDefault="00000000">
            <w:r>
              <w:rPr>
                <w:b/>
              </w:rPr>
              <w:t>Poverty</w:t>
            </w:r>
          </w:p>
        </w:tc>
        <w:tc>
          <w:tcPr>
            <w:tcW w:w="916" w:type="dxa"/>
          </w:tcPr>
          <w:p w14:paraId="2A2D21FD" w14:textId="77777777" w:rsidR="00B86A12" w:rsidRDefault="00000000">
            <w:r>
              <w:rPr>
                <w:b/>
              </w:rPr>
              <w:t>Black</w:t>
            </w:r>
          </w:p>
        </w:tc>
        <w:tc>
          <w:tcPr>
            <w:tcW w:w="916" w:type="dxa"/>
          </w:tcPr>
          <w:p w14:paraId="207DA255" w14:textId="77777777" w:rsidR="00B86A12" w:rsidRDefault="00000000">
            <w:r>
              <w:rPr>
                <w:b/>
              </w:rPr>
              <w:t>Hispanic</w:t>
            </w:r>
          </w:p>
        </w:tc>
        <w:tc>
          <w:tcPr>
            <w:tcW w:w="916" w:type="dxa"/>
          </w:tcPr>
          <w:p w14:paraId="0EC94BEE" w14:textId="77777777" w:rsidR="00B86A12" w:rsidRDefault="00000000">
            <w:r>
              <w:rPr>
                <w:b/>
              </w:rPr>
              <w:t>Asian</w:t>
            </w:r>
          </w:p>
        </w:tc>
        <w:tc>
          <w:tcPr>
            <w:tcW w:w="916" w:type="dxa"/>
          </w:tcPr>
          <w:p w14:paraId="5B72B403" w14:textId="77777777" w:rsidR="00B86A12" w:rsidRDefault="00000000">
            <w:r>
              <w:rPr>
                <w:b/>
              </w:rPr>
              <w:t>Residual white/other share</w:t>
            </w:r>
          </w:p>
        </w:tc>
        <w:tc>
          <w:tcPr>
            <w:tcW w:w="916" w:type="dxa"/>
          </w:tcPr>
          <w:p w14:paraId="5A70CD07" w14:textId="77777777" w:rsidR="00B86A12" w:rsidRDefault="00000000">
            <w:r>
              <w:rPr>
                <w:b/>
              </w:rPr>
              <w:t>PV / 1k</w:t>
            </w:r>
          </w:p>
        </w:tc>
        <w:tc>
          <w:tcPr>
            <w:tcW w:w="916" w:type="dxa"/>
          </w:tcPr>
          <w:p w14:paraId="34765BA3" w14:textId="77777777" w:rsidR="00B86A12" w:rsidRDefault="00000000">
            <w:r>
              <w:rPr>
                <w:b/>
              </w:rPr>
              <w:t>Storage / 100k</w:t>
            </w:r>
          </w:p>
        </w:tc>
        <w:tc>
          <w:tcPr>
            <w:tcW w:w="916" w:type="dxa"/>
          </w:tcPr>
          <w:p w14:paraId="3BA64ABE" w14:textId="77777777" w:rsidR="00B86A12" w:rsidRDefault="00000000">
            <w:r>
              <w:rPr>
                <w:b/>
              </w:rPr>
              <w:t>Chargers / 1k</w:t>
            </w:r>
          </w:p>
        </w:tc>
      </w:tr>
      <w:tr w:rsidR="00B86A12" w14:paraId="325FEC98" w14:textId="77777777">
        <w:tc>
          <w:tcPr>
            <w:tcW w:w="916" w:type="dxa"/>
          </w:tcPr>
          <w:p w14:paraId="67DFFE60" w14:textId="77777777" w:rsidR="00B86A12" w:rsidRDefault="00000000">
            <w:r>
              <w:t>Blue (1)</w:t>
            </w:r>
          </w:p>
        </w:tc>
        <w:tc>
          <w:tcPr>
            <w:tcW w:w="916" w:type="dxa"/>
          </w:tcPr>
          <w:p w14:paraId="172E8B42" w14:textId="77777777" w:rsidR="00B86A12" w:rsidRDefault="00000000">
            <w:r>
              <w:t>1,218</w:t>
            </w:r>
          </w:p>
        </w:tc>
        <w:tc>
          <w:tcPr>
            <w:tcW w:w="916" w:type="dxa"/>
          </w:tcPr>
          <w:p w14:paraId="6FA12968" w14:textId="77777777" w:rsidR="00B86A12" w:rsidRDefault="00000000">
            <w:r>
              <w:t>$87.5k</w:t>
            </w:r>
          </w:p>
        </w:tc>
        <w:tc>
          <w:tcPr>
            <w:tcW w:w="916" w:type="dxa"/>
          </w:tcPr>
          <w:p w14:paraId="14BE7119" w14:textId="77777777" w:rsidR="00B86A12" w:rsidRDefault="00000000">
            <w:r>
              <w:t>12.9%</w:t>
            </w:r>
          </w:p>
        </w:tc>
        <w:tc>
          <w:tcPr>
            <w:tcW w:w="916" w:type="dxa"/>
          </w:tcPr>
          <w:p w14:paraId="6905785D" w14:textId="77777777" w:rsidR="00B86A12" w:rsidRDefault="00000000">
            <w:r>
              <w:t>2.5%</w:t>
            </w:r>
          </w:p>
        </w:tc>
        <w:tc>
          <w:tcPr>
            <w:tcW w:w="916" w:type="dxa"/>
          </w:tcPr>
          <w:p w14:paraId="11E76F0A" w14:textId="77777777" w:rsidR="00B86A12" w:rsidRDefault="00000000">
            <w:r>
              <w:t>30.1%</w:t>
            </w:r>
          </w:p>
        </w:tc>
        <w:tc>
          <w:tcPr>
            <w:tcW w:w="916" w:type="dxa"/>
          </w:tcPr>
          <w:p w14:paraId="769B91A5" w14:textId="77777777" w:rsidR="00B86A12" w:rsidRDefault="00000000">
            <w:r>
              <w:t>4.1%</w:t>
            </w:r>
          </w:p>
        </w:tc>
        <w:tc>
          <w:tcPr>
            <w:tcW w:w="916" w:type="dxa"/>
          </w:tcPr>
          <w:p w14:paraId="492F5DED" w14:textId="77777777" w:rsidR="00B86A12" w:rsidRDefault="00000000">
            <w:r>
              <w:t>63.3%</w:t>
            </w:r>
          </w:p>
        </w:tc>
        <w:tc>
          <w:tcPr>
            <w:tcW w:w="916" w:type="dxa"/>
          </w:tcPr>
          <w:p w14:paraId="39333805" w14:textId="77777777" w:rsidR="00B86A12" w:rsidRDefault="00000000">
            <w:r>
              <w:t>0.89</w:t>
            </w:r>
          </w:p>
        </w:tc>
        <w:tc>
          <w:tcPr>
            <w:tcW w:w="916" w:type="dxa"/>
          </w:tcPr>
          <w:p w14:paraId="7CF8F95F" w14:textId="77777777" w:rsidR="00B86A12" w:rsidRDefault="00000000">
            <w:r>
              <w:t>11.00</w:t>
            </w:r>
          </w:p>
        </w:tc>
        <w:tc>
          <w:tcPr>
            <w:tcW w:w="916" w:type="dxa"/>
          </w:tcPr>
          <w:p w14:paraId="76839E61" w14:textId="77777777" w:rsidR="00B86A12" w:rsidRDefault="00000000">
            <w:r>
              <w:t>13.66</w:t>
            </w:r>
          </w:p>
        </w:tc>
      </w:tr>
      <w:tr w:rsidR="00B86A12" w14:paraId="110F5E7D" w14:textId="77777777">
        <w:tc>
          <w:tcPr>
            <w:tcW w:w="916" w:type="dxa"/>
          </w:tcPr>
          <w:p w14:paraId="250458B7" w14:textId="77777777" w:rsidR="00B86A12" w:rsidRDefault="00000000">
            <w:r>
              <w:t>Orange (2)</w:t>
            </w:r>
          </w:p>
        </w:tc>
        <w:tc>
          <w:tcPr>
            <w:tcW w:w="916" w:type="dxa"/>
          </w:tcPr>
          <w:p w14:paraId="32CC21A0" w14:textId="77777777" w:rsidR="00B86A12" w:rsidRDefault="00000000">
            <w:r>
              <w:t>279</w:t>
            </w:r>
          </w:p>
        </w:tc>
        <w:tc>
          <w:tcPr>
            <w:tcW w:w="916" w:type="dxa"/>
          </w:tcPr>
          <w:p w14:paraId="5C32B2FE" w14:textId="77777777" w:rsidR="00B86A12" w:rsidRDefault="00000000">
            <w:r>
              <w:t>$159.6k</w:t>
            </w:r>
          </w:p>
        </w:tc>
        <w:tc>
          <w:tcPr>
            <w:tcW w:w="916" w:type="dxa"/>
          </w:tcPr>
          <w:p w14:paraId="20099923" w14:textId="77777777" w:rsidR="00B86A12" w:rsidRDefault="00000000">
            <w:r>
              <w:t>7.8%</w:t>
            </w:r>
          </w:p>
        </w:tc>
        <w:tc>
          <w:tcPr>
            <w:tcW w:w="916" w:type="dxa"/>
          </w:tcPr>
          <w:p w14:paraId="2B44858B" w14:textId="77777777" w:rsidR="00B86A12" w:rsidRDefault="00000000">
            <w:r>
              <w:t>3.3%</w:t>
            </w:r>
          </w:p>
        </w:tc>
        <w:tc>
          <w:tcPr>
            <w:tcW w:w="916" w:type="dxa"/>
          </w:tcPr>
          <w:p w14:paraId="7EC3F750" w14:textId="77777777" w:rsidR="00B86A12" w:rsidRDefault="00000000">
            <w:r>
              <w:t>15.9%</w:t>
            </w:r>
          </w:p>
        </w:tc>
        <w:tc>
          <w:tcPr>
            <w:tcW w:w="916" w:type="dxa"/>
          </w:tcPr>
          <w:p w14:paraId="3EF3C5C1" w14:textId="77777777" w:rsidR="00B86A12" w:rsidRDefault="00000000">
            <w:r>
              <w:t>24.0%</w:t>
            </w:r>
          </w:p>
        </w:tc>
        <w:tc>
          <w:tcPr>
            <w:tcW w:w="916" w:type="dxa"/>
          </w:tcPr>
          <w:p w14:paraId="28F6432C" w14:textId="77777777" w:rsidR="00B86A12" w:rsidRDefault="00000000">
            <w:r>
              <w:t>56.8%</w:t>
            </w:r>
          </w:p>
        </w:tc>
        <w:tc>
          <w:tcPr>
            <w:tcW w:w="916" w:type="dxa"/>
          </w:tcPr>
          <w:p w14:paraId="0A7BC275" w14:textId="77777777" w:rsidR="00B86A12" w:rsidRDefault="00000000">
            <w:r>
              <w:t>0.52</w:t>
            </w:r>
          </w:p>
        </w:tc>
        <w:tc>
          <w:tcPr>
            <w:tcW w:w="916" w:type="dxa"/>
          </w:tcPr>
          <w:p w14:paraId="48DFC351" w14:textId="77777777" w:rsidR="00B86A12" w:rsidRDefault="00000000">
            <w:r>
              <w:t>10.66</w:t>
            </w:r>
          </w:p>
        </w:tc>
        <w:tc>
          <w:tcPr>
            <w:tcW w:w="916" w:type="dxa"/>
          </w:tcPr>
          <w:p w14:paraId="4B54D8D6" w14:textId="77777777" w:rsidR="00B86A12" w:rsidRDefault="00000000">
            <w:r>
              <w:t>10.83</w:t>
            </w:r>
          </w:p>
        </w:tc>
      </w:tr>
      <w:tr w:rsidR="00B86A12" w14:paraId="7B3AF64D" w14:textId="77777777">
        <w:tc>
          <w:tcPr>
            <w:tcW w:w="916" w:type="dxa"/>
          </w:tcPr>
          <w:p w14:paraId="15A8A599" w14:textId="77777777" w:rsidR="00B86A12" w:rsidRDefault="00000000">
            <w:r>
              <w:lastRenderedPageBreak/>
              <w:t>Green (3)</w:t>
            </w:r>
          </w:p>
        </w:tc>
        <w:tc>
          <w:tcPr>
            <w:tcW w:w="916" w:type="dxa"/>
          </w:tcPr>
          <w:p w14:paraId="01E59D4D" w14:textId="77777777" w:rsidR="00B86A12" w:rsidRDefault="00000000">
            <w:r>
              <w:t>323</w:t>
            </w:r>
          </w:p>
        </w:tc>
        <w:tc>
          <w:tcPr>
            <w:tcW w:w="916" w:type="dxa"/>
          </w:tcPr>
          <w:p w14:paraId="60D047B8" w14:textId="77777777" w:rsidR="00B86A12" w:rsidRDefault="00000000">
            <w:r>
              <w:t>$64.2k</w:t>
            </w:r>
          </w:p>
        </w:tc>
        <w:tc>
          <w:tcPr>
            <w:tcW w:w="916" w:type="dxa"/>
          </w:tcPr>
          <w:p w14:paraId="315C5941" w14:textId="77777777" w:rsidR="00B86A12" w:rsidRDefault="00000000">
            <w:r>
              <w:t>20.2%</w:t>
            </w:r>
          </w:p>
        </w:tc>
        <w:tc>
          <w:tcPr>
            <w:tcW w:w="916" w:type="dxa"/>
          </w:tcPr>
          <w:p w14:paraId="3ED8E350" w14:textId="77777777" w:rsidR="00B86A12" w:rsidRDefault="00000000">
            <w:r>
              <w:t>5.6%</w:t>
            </w:r>
          </w:p>
        </w:tc>
        <w:tc>
          <w:tcPr>
            <w:tcW w:w="916" w:type="dxa"/>
          </w:tcPr>
          <w:p w14:paraId="21953F98" w14:textId="77777777" w:rsidR="00B86A12" w:rsidRDefault="00000000">
            <w:r>
              <w:t>63.4%</w:t>
            </w:r>
          </w:p>
        </w:tc>
        <w:tc>
          <w:tcPr>
            <w:tcW w:w="916" w:type="dxa"/>
          </w:tcPr>
          <w:p w14:paraId="75B5614A" w14:textId="77777777" w:rsidR="00B86A12" w:rsidRDefault="00000000">
            <w:r>
              <w:t>4.7%</w:t>
            </w:r>
          </w:p>
        </w:tc>
        <w:tc>
          <w:tcPr>
            <w:tcW w:w="916" w:type="dxa"/>
          </w:tcPr>
          <w:p w14:paraId="4A624121" w14:textId="77777777" w:rsidR="00B86A12" w:rsidRDefault="00000000">
            <w:r>
              <w:t>26.3%</w:t>
            </w:r>
          </w:p>
        </w:tc>
        <w:tc>
          <w:tcPr>
            <w:tcW w:w="916" w:type="dxa"/>
          </w:tcPr>
          <w:p w14:paraId="36696262" w14:textId="77777777" w:rsidR="00B86A12" w:rsidRDefault="00000000">
            <w:r>
              <w:t>0.92</w:t>
            </w:r>
          </w:p>
        </w:tc>
        <w:tc>
          <w:tcPr>
            <w:tcW w:w="916" w:type="dxa"/>
          </w:tcPr>
          <w:p w14:paraId="03F029D0" w14:textId="77777777" w:rsidR="00B86A12" w:rsidRDefault="00000000">
            <w:r>
              <w:t>5.62</w:t>
            </w:r>
          </w:p>
        </w:tc>
        <w:tc>
          <w:tcPr>
            <w:tcW w:w="916" w:type="dxa"/>
          </w:tcPr>
          <w:p w14:paraId="2F80CCBB" w14:textId="77777777" w:rsidR="00B86A12" w:rsidRDefault="00000000">
            <w:r>
              <w:t>2.81</w:t>
            </w:r>
          </w:p>
        </w:tc>
      </w:tr>
      <w:tr w:rsidR="00B86A12" w14:paraId="7361E314" w14:textId="77777777">
        <w:tc>
          <w:tcPr>
            <w:tcW w:w="916" w:type="dxa"/>
          </w:tcPr>
          <w:p w14:paraId="2007D60B" w14:textId="77777777" w:rsidR="00B86A12" w:rsidRDefault="00000000">
            <w:r>
              <w:t>Red (4)</w:t>
            </w:r>
          </w:p>
        </w:tc>
        <w:tc>
          <w:tcPr>
            <w:tcW w:w="916" w:type="dxa"/>
          </w:tcPr>
          <w:p w14:paraId="67AB3764" w14:textId="77777777" w:rsidR="00B86A12" w:rsidRDefault="00000000">
            <w:r>
              <w:t>488</w:t>
            </w:r>
          </w:p>
        </w:tc>
        <w:tc>
          <w:tcPr>
            <w:tcW w:w="916" w:type="dxa"/>
          </w:tcPr>
          <w:p w14:paraId="2E78D78A" w14:textId="77777777" w:rsidR="00B86A12" w:rsidRDefault="00000000">
            <w:r>
              <w:t>$104.9k</w:t>
            </w:r>
          </w:p>
        </w:tc>
        <w:tc>
          <w:tcPr>
            <w:tcW w:w="916" w:type="dxa"/>
          </w:tcPr>
          <w:p w14:paraId="6CF1854C" w14:textId="77777777" w:rsidR="00B86A12" w:rsidRDefault="00000000">
            <w:r>
              <w:t>10.4%</w:t>
            </w:r>
          </w:p>
        </w:tc>
        <w:tc>
          <w:tcPr>
            <w:tcW w:w="916" w:type="dxa"/>
          </w:tcPr>
          <w:p w14:paraId="0893AF58" w14:textId="77777777" w:rsidR="00B86A12" w:rsidRDefault="00000000">
            <w:r>
              <w:t>6.0%</w:t>
            </w:r>
          </w:p>
        </w:tc>
        <w:tc>
          <w:tcPr>
            <w:tcW w:w="916" w:type="dxa"/>
          </w:tcPr>
          <w:p w14:paraId="24BA8AAD" w14:textId="77777777" w:rsidR="00B86A12" w:rsidRDefault="00000000">
            <w:r>
              <w:t>33.9%</w:t>
            </w:r>
          </w:p>
        </w:tc>
        <w:tc>
          <w:tcPr>
            <w:tcW w:w="916" w:type="dxa"/>
          </w:tcPr>
          <w:p w14:paraId="2366E22C" w14:textId="77777777" w:rsidR="00B86A12" w:rsidRDefault="00000000">
            <w:r>
              <w:t>16.8%</w:t>
            </w:r>
          </w:p>
        </w:tc>
        <w:tc>
          <w:tcPr>
            <w:tcW w:w="916" w:type="dxa"/>
          </w:tcPr>
          <w:p w14:paraId="3CFF64DC" w14:textId="77777777" w:rsidR="00B86A12" w:rsidRDefault="00000000">
            <w:r>
              <w:t>43.3%</w:t>
            </w:r>
          </w:p>
        </w:tc>
        <w:tc>
          <w:tcPr>
            <w:tcW w:w="916" w:type="dxa"/>
          </w:tcPr>
          <w:p w14:paraId="2CCD3293" w14:textId="77777777" w:rsidR="00B86A12" w:rsidRDefault="00000000">
            <w:r>
              <w:t>0.43</w:t>
            </w:r>
          </w:p>
        </w:tc>
        <w:tc>
          <w:tcPr>
            <w:tcW w:w="916" w:type="dxa"/>
          </w:tcPr>
          <w:p w14:paraId="571A0565" w14:textId="77777777" w:rsidR="00B86A12" w:rsidRDefault="00000000">
            <w:r>
              <w:t>5.13</w:t>
            </w:r>
          </w:p>
        </w:tc>
        <w:tc>
          <w:tcPr>
            <w:tcW w:w="916" w:type="dxa"/>
          </w:tcPr>
          <w:p w14:paraId="1C4DE549" w14:textId="77777777" w:rsidR="00B86A12" w:rsidRDefault="00000000">
            <w:r>
              <w:t>2.39</w:t>
            </w:r>
          </w:p>
        </w:tc>
      </w:tr>
      <w:tr w:rsidR="00B86A12" w14:paraId="62944C25" w14:textId="77777777">
        <w:tc>
          <w:tcPr>
            <w:tcW w:w="916" w:type="dxa"/>
          </w:tcPr>
          <w:p w14:paraId="0D517400" w14:textId="77777777" w:rsidR="00B86A12" w:rsidRDefault="00000000">
            <w:r>
              <w:t>Purple (5)</w:t>
            </w:r>
          </w:p>
        </w:tc>
        <w:tc>
          <w:tcPr>
            <w:tcW w:w="916" w:type="dxa"/>
          </w:tcPr>
          <w:p w14:paraId="08DBCF89" w14:textId="77777777" w:rsidR="00B86A12" w:rsidRDefault="00000000">
            <w:r>
              <w:t>252</w:t>
            </w:r>
          </w:p>
        </w:tc>
        <w:tc>
          <w:tcPr>
            <w:tcW w:w="916" w:type="dxa"/>
          </w:tcPr>
          <w:p w14:paraId="73B582B3" w14:textId="77777777" w:rsidR="00B86A12" w:rsidRDefault="00000000">
            <w:r>
              <w:t>$74.4k</w:t>
            </w:r>
          </w:p>
        </w:tc>
        <w:tc>
          <w:tcPr>
            <w:tcW w:w="916" w:type="dxa"/>
          </w:tcPr>
          <w:p w14:paraId="1563F541" w14:textId="77777777" w:rsidR="00B86A12" w:rsidRDefault="00000000">
            <w:r>
              <w:t>13.7%</w:t>
            </w:r>
          </w:p>
        </w:tc>
        <w:tc>
          <w:tcPr>
            <w:tcW w:w="916" w:type="dxa"/>
          </w:tcPr>
          <w:p w14:paraId="36C48B91" w14:textId="77777777" w:rsidR="00B86A12" w:rsidRDefault="00000000">
            <w:r>
              <w:t>0.9%</w:t>
            </w:r>
          </w:p>
        </w:tc>
        <w:tc>
          <w:tcPr>
            <w:tcW w:w="916" w:type="dxa"/>
          </w:tcPr>
          <w:p w14:paraId="2D2B020F" w14:textId="77777777" w:rsidR="00B86A12" w:rsidRDefault="00000000">
            <w:r>
              <w:t>14.9%</w:t>
            </w:r>
          </w:p>
        </w:tc>
        <w:tc>
          <w:tcPr>
            <w:tcW w:w="916" w:type="dxa"/>
          </w:tcPr>
          <w:p w14:paraId="65FABEC2" w14:textId="77777777" w:rsidR="00B86A12" w:rsidRDefault="00000000">
            <w:r>
              <w:t>1.5%</w:t>
            </w:r>
          </w:p>
        </w:tc>
        <w:tc>
          <w:tcPr>
            <w:tcW w:w="916" w:type="dxa"/>
          </w:tcPr>
          <w:p w14:paraId="5F74F2FD" w14:textId="77777777" w:rsidR="00B86A12" w:rsidRDefault="00000000">
            <w:r>
              <w:t>82.7%</w:t>
            </w:r>
          </w:p>
        </w:tc>
        <w:tc>
          <w:tcPr>
            <w:tcW w:w="916" w:type="dxa"/>
          </w:tcPr>
          <w:p w14:paraId="249ABDF0" w14:textId="77777777" w:rsidR="00B86A12" w:rsidRDefault="00000000">
            <w:r>
              <w:t>0.45</w:t>
            </w:r>
          </w:p>
        </w:tc>
        <w:tc>
          <w:tcPr>
            <w:tcW w:w="916" w:type="dxa"/>
          </w:tcPr>
          <w:p w14:paraId="5F75547C" w14:textId="77777777" w:rsidR="00B86A12" w:rsidRDefault="00000000">
            <w:r>
              <w:t>10.63</w:t>
            </w:r>
          </w:p>
        </w:tc>
        <w:tc>
          <w:tcPr>
            <w:tcW w:w="916" w:type="dxa"/>
          </w:tcPr>
          <w:p w14:paraId="33371102" w14:textId="77777777" w:rsidR="00B86A12" w:rsidRDefault="00000000">
            <w:r>
              <w:t>5.40</w:t>
            </w:r>
          </w:p>
        </w:tc>
      </w:tr>
    </w:tbl>
    <w:p w14:paraId="6E3A2026" w14:textId="77777777" w:rsidR="00B86A12" w:rsidRDefault="00B86A12"/>
    <w:p w14:paraId="46F0438C" w14:textId="77777777" w:rsidR="00B86A12" w:rsidRDefault="00000000">
      <w:pPr>
        <w:pStyle w:val="Heading2"/>
      </w:pPr>
      <w:r>
        <w:t>5.8 Wind as a contextual comparison outcome</w:t>
      </w:r>
    </w:p>
    <w:p w14:paraId="0A5C215D" w14:textId="77777777" w:rsidR="00B86A12" w:rsidRDefault="00000000">
      <w:r>
        <w:t>The wind-capacity outcome is useful as contextual comparison but is less central to the paper’s main equity argument. For</w:t>
      </w:r>
      <w:r>
        <w:rPr>
          <w:rFonts w:ascii="Courier New" w:hAnsi="Courier New"/>
          <w:sz w:val="18"/>
        </w:rPr>
        <w:t xml:space="preserve"> y_wind_mw</w:t>
      </w:r>
      <w:r w:rsidR="00A51986">
        <w:t>,</w:t>
      </w:r>
      <w:r>
        <w:t xml:space="preserve"> the most consistent predictor is</w:t>
      </w:r>
      <w:r>
        <w:rPr>
          <w:rFonts w:ascii="Courier New" w:hAnsi="Courier New"/>
          <w:sz w:val="18"/>
        </w:rPr>
        <w:t xml:space="preserve"> wind_ws50m_mean_2023</w:t>
      </w:r>
      <w:r w:rsidR="00A51986">
        <w:t>,</w:t>
      </w:r>
      <w:r>
        <w:t xml:space="preserve"> which is positive and statistically significant across all examined models. By contrast, the social variables are weaker and less stable. This suggests that wind siting is much more tightly tied to physical resource conditions than the other DER outcomes considered here.</w:t>
      </w:r>
    </w:p>
    <w:p w14:paraId="0B78958D" w14:textId="77777777" w:rsidR="00B86A12" w:rsidRDefault="00000000">
      <w:r>
        <w:t>Because wind is less directly comparable to behind-the-meter or consumer-facing DER adoption, it is best treated as supplementary context rather than as one of the paper’s headline findings. The paper therefore does not foreground the binary turbine-presence outcome in the reported results.</w:t>
      </w:r>
    </w:p>
    <w:p w14:paraId="2C0DEE82" w14:textId="77777777" w:rsidR="00B86A12" w:rsidRDefault="008F65ED">
      <w:pPr>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41">
                      <a:extLst>
                        <a:ext uri="{96DAC541-7B7A-43D3-8B79-37D633B846F1}">
                          <asvg:svgBlip xmlns:asvg="http://schemas.microsoft.com/office/drawing/2016/SVG/main" r:embed="rId42"/>
                        </a:ext>
                      </a:extLst>
                    </a:blip>
                    <a:stretch>
                      <a:fillRect/>
                    </a:stretch>
                  </pic:blipFill>
                  <pic:spPr>
                    <a:xfrm>
                      <a:off x="0" y="0"/>
                      <a:ext cx="4158114" cy="3953096"/>
                    </a:xfrm>
                    <a:prstGeom prst="rect">
                      <a:avLst/>
                    </a:prstGeom>
                  </pic:spPr>
                </pic:pic>
              </a:graphicData>
            </a:graphic>
          </wp:inline>
        </w:drawing>
      </w:r>
    </w:p>
    <w:p w14:paraId="2D83B21E" w14:textId="77777777" w:rsidR="00B86A12" w:rsidRDefault="00000000">
      <w:pPr>
        <w:jc w:val="center"/>
      </w:pPr>
      <w:r>
        <w:rPr>
          <w:b/>
          <w:i/>
        </w:rPr>
        <w:t>Figure 9.</w:t>
      </w:r>
      <w:r>
        <w:rPr>
          <w:i/>
        </w:rPr>
        <w:t xml:space="preserve"> Standardized robustness summary for</w:t>
      </w:r>
      <w:r>
        <w:rPr>
          <w:rFonts w:ascii="Courier New" w:hAnsi="Courier New"/>
          <w:i/>
          <w:sz w:val="18"/>
        </w:rPr>
        <w:t xml:space="preserve"> y_wind_mw</w:t>
      </w:r>
      <w:r w:rsidR="00A51986">
        <w:rPr>
          <w:i/>
        </w:rPr>
        <w:t>,</w:t>
      </w:r>
      <w:r>
        <w:rPr>
          <w:i/>
        </w:rPr>
        <w:t xml:space="preserve"> included mainly as contextual evidence rather than as a headline equity result. Source file:</w:t>
      </w:r>
      <w:r>
        <w:rPr>
          <w:rFonts w:ascii="Courier New" w:hAnsi="Courier New"/>
          <w:i/>
          <w:sz w:val="18"/>
        </w:rPr>
        <w:t xml:space="preserve"> outputs/standardized_figures/y_wind_mw_robustness.svg</w:t>
      </w:r>
      <w:r>
        <w:rPr>
          <w:i/>
        </w:rPr>
        <w:t xml:space="preserve"> .</w:t>
      </w:r>
    </w:p>
    <w:p w14:paraId="3054E7EA" w14:textId="77777777" w:rsidR="00B86A12" w:rsidRDefault="00000000">
      <w:pPr>
        <w:pStyle w:val="Heading2"/>
      </w:pPr>
      <w:r>
        <w:t>5.9 Overall interpretation</w:t>
      </w:r>
    </w:p>
    <w:p w14:paraId="4451CCA1" w14:textId="77777777" w:rsidR="00B86A12" w:rsidRDefault="00000000">
      <w:r>
        <w:t xml:space="preserve">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w:t>
      </w:r>
      <w:r>
        <w:lastRenderedPageBreak/>
        <w:t>population share is associated with lower aggregate charger deployment, Asian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1124276A" w14:textId="14CF00EE" w:rsidR="00B86A12" w:rsidRDefault="00091F08">
      <w:pPr>
        <w:pStyle w:val="Heading1"/>
      </w:pPr>
      <w:r>
        <w:t>5</w:t>
      </w:r>
      <w:r w:rsidR="00000000">
        <w:t>. Discussion</w:t>
      </w:r>
    </w:p>
    <w:p w14:paraId="3308C8B4" w14:textId="54A9FFC1" w:rsidR="00B86A12" w:rsidRDefault="00091F08">
      <w:pPr>
        <w:pStyle w:val="Heading2"/>
      </w:pPr>
      <w:r>
        <w:t>5</w:t>
      </w:r>
      <w:r w:rsidR="00000000">
        <w:t>.1 What persists and what changes across DER types</w:t>
      </w:r>
    </w:p>
    <w:p w14:paraId="730867E5" w14:textId="77777777" w:rsidR="00B86A12" w:rsidRDefault="00000000">
      <w:r>
        <w:t>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different users and are governed by different siting logics. The paper’s contribution is therefore not only to show that disparities exist, but to show that the meaning of those disparities changes by technology.</w:t>
      </w:r>
    </w:p>
    <w:p w14:paraId="2486B979"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5F862568" w14:textId="680D6DAC" w:rsidR="00B86A12" w:rsidRDefault="00091F08">
      <w:pPr>
        <w:pStyle w:val="Heading2"/>
      </w:pPr>
      <w:r>
        <w:t>5</w:t>
      </w:r>
      <w:r w:rsidR="00000000">
        <w:t>.2 Plausible mechanisms</w:t>
      </w:r>
    </w:p>
    <w:p w14:paraId="3855E771"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14:paraId="529C99AA"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CBFF0C3"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4A845928" w14:textId="2762C318" w:rsidR="00B86A12" w:rsidRDefault="00091F08">
      <w:pPr>
        <w:pStyle w:val="Heading2"/>
      </w:pPr>
      <w:r>
        <w:lastRenderedPageBreak/>
        <w:t>5</w:t>
      </w:r>
      <w:r w:rsidR="00000000">
        <w:t>.3 Policy relevance</w:t>
      </w:r>
    </w:p>
    <w:p w14:paraId="525D3816" w14:textId="77777777"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deployments may need sharper equity targeting if storage benefits are to reach communities that face higher vulnerability to outages, wildfire-related shutoffs, and climate-related disruptions.</w:t>
      </w:r>
    </w:p>
    <w:p w14:paraId="5D3D74B0"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14:paraId="19B275D5" w14:textId="34A68354" w:rsidR="00B86A12" w:rsidRDefault="00091F08">
      <w:pPr>
        <w:pStyle w:val="Heading2"/>
      </w:pPr>
      <w:r>
        <w:t>5</w:t>
      </w:r>
      <w:r w:rsidR="00000000">
        <w:t>.4 Broader implications for energy burden and community resilience</w:t>
      </w:r>
    </w:p>
    <w:p w14:paraId="6E5F2373" w14:textId="77777777" w:rsidR="00B86A12" w:rsidRDefault="00000000">
      <w:r>
        <w:t>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2DFE006"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71A21992"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14:paraId="72BBFC9C" w14:textId="77777777" w:rsidR="00B86A12" w:rsidRDefault="00000000">
      <w:r>
        <w:t xml:space="preserve">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therefore requires more than asking </w:t>
      </w:r>
      <w:r>
        <w:lastRenderedPageBreak/>
        <w:t>where assets are installed; it requires asking whether the communities with the highest bill, resilience, and electrification pressures can actually use the technologies being counted.</w:t>
      </w:r>
    </w:p>
    <w:p w14:paraId="3CB0D7E2" w14:textId="3BED856C" w:rsidR="00614286" w:rsidRDefault="00091F08" w:rsidP="00614286">
      <w:pPr>
        <w:pStyle w:val="Heading2"/>
      </w:pPr>
      <w:r>
        <w:t>5</w:t>
      </w:r>
      <w:r w:rsidR="00614286">
        <w:t>.5 Potential policy measures to address inequities</w:t>
      </w:r>
    </w:p>
    <w:p w14:paraId="67FAD764" w14:textId="1E69D6EE" w:rsidR="00614286" w:rsidRPr="00614286" w:rsidRDefault="00614286" w:rsidP="00614286">
      <w:r>
        <w:t>New regulations, revisiting business models, subsidies &amp; incentives</w:t>
      </w:r>
    </w:p>
    <w:p w14:paraId="1905A7FE" w14:textId="65FCAF74" w:rsidR="00091F08" w:rsidRDefault="00091F08" w:rsidP="00091F08">
      <w:pPr>
        <w:pStyle w:val="Heading1"/>
      </w:pPr>
      <w:r>
        <w:t>6</w:t>
      </w:r>
      <w:r>
        <w:t>. Methods</w:t>
      </w:r>
    </w:p>
    <w:p w14:paraId="090A744C" w14:textId="2765185F" w:rsidR="00091F08" w:rsidRDefault="00091F08" w:rsidP="00091F08">
      <w:pPr>
        <w:pStyle w:val="Heading2"/>
      </w:pPr>
      <w:r>
        <w:t>6</w:t>
      </w:r>
      <w:r>
        <w:t>.1 Empirical Approach</w:t>
      </w:r>
    </w:p>
    <w:p w14:paraId="711C43D9" w14:textId="77777777" w:rsidR="00091F08" w:rsidRDefault="00091F08" w:rsidP="00091F08">
      <w: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w:t>
      </w:r>
    </w:p>
    <w:p w14:paraId="6463DD88" w14:textId="77777777" w:rsidR="00091F08" w:rsidRDefault="00091F08" w:rsidP="00091F08">
      <w:r>
        <w:t>To do this, I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6636946E" w14:textId="77777777"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I then add contextual controls that capture climate, renewable resource potential, utility territory, built-environment structure, and broader installed-energy context.</w:t>
      </w:r>
    </w:p>
    <w:p w14:paraId="56E91AA0"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47AF3DB9" w14:textId="6CC12440" w:rsidR="00091F08" w:rsidRDefault="00091F08" w:rsidP="00091F08">
      <w:pPr>
        <w:pStyle w:val="Heading2"/>
      </w:pPr>
      <w:r>
        <w:t>6</w:t>
      </w:r>
      <w:r>
        <w:t>.2 Dataset Construction and Sample</w:t>
      </w:r>
    </w:p>
    <w:p w14:paraId="28DFB4A1" w14:textId="77777777" w:rsidR="00091F08" w:rsidRDefault="00091F08" w:rsidP="00091F08">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p>
    <w:p w14:paraId="292156D6" w14:textId="77777777" w:rsidR="00091F08" w:rsidRDefault="00091F08" w:rsidP="00091F08">
      <w:r>
        <w:t>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Figure A visualizes the resulting statewide geography and also makes clear that some ZIP/ZCTAs are absent because the underlying merged sample is incomplete in those places.</w:t>
      </w:r>
    </w:p>
    <w:p w14:paraId="7F0D1B1E" w14:textId="77777777" w:rsidR="00091F08" w:rsidRDefault="00091F08" w:rsidP="00091F08">
      <w:r>
        <w:lastRenderedPageBreak/>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34D643C3" w14:textId="77777777" w:rsidR="00091F08" w:rsidRDefault="00091F08" w:rsidP="00091F08">
      <w:r>
        <w:t>The unit of analysis is the ZIP/ZCTA. I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1AF25F0B" w14:textId="2446CF45" w:rsidR="00091F08" w:rsidRDefault="00091F08" w:rsidP="00091F08">
      <w:pPr>
        <w:pStyle w:val="Heading2"/>
      </w:pPr>
      <w:r>
        <w:t>6</w:t>
      </w:r>
      <w:r>
        <w:t>.3 Outcome Variables</w:t>
      </w:r>
    </w:p>
    <w:p w14:paraId="5F34DC3F" w14:textId="77777777" w:rsidR="00091F08" w:rsidRDefault="00091F08" w:rsidP="00091F08">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t xml:space="preserve"> . This helps reduce skew and allows ZIP/ZCTAs with zero deployment to remain in the sample.</w:t>
      </w:r>
    </w:p>
    <w:p w14:paraId="09F24005" w14:textId="77777777" w:rsidR="00091F08" w:rsidRDefault="00091F08" w:rsidP="00091F08">
      <w:r>
        <w:t>The three main outcomes are defined as follows.</w:t>
      </w:r>
    </w:p>
    <w:p w14:paraId="2D8EBF35" w14:textId="77777777" w:rsidR="00091F08" w:rsidRDefault="00091F08" w:rsidP="00091F08">
      <w:r>
        <w:t>For EV charging:</w:t>
      </w:r>
    </w:p>
    <w:p w14:paraId="584A215B" w14:textId="77777777" w:rsidR="00091F08" w:rsidRDefault="00091F08" w:rsidP="00091F08">
      <w:r>
        <w:rPr>
          <w:rFonts w:ascii="Courier New" w:hAnsi="Courier New"/>
          <w:sz w:val="18"/>
        </w:rPr>
        <w:t>chargers_per_1k = (total_chargers × 1000) / population</w:t>
      </w:r>
      <w:r>
        <w:br/>
      </w:r>
      <w:r>
        <w:rPr>
          <w:rFonts w:ascii="Courier New" w:hAnsi="Courier New"/>
          <w:sz w:val="18"/>
        </w:rPr>
        <w:t>y_chargers = log(1 + chargers_per_1k)</w:t>
      </w:r>
    </w:p>
    <w:p w14:paraId="2EEE7661" w14:textId="77777777" w:rsidR="00091F08" w:rsidRDefault="00091F08" w:rsidP="00091F08">
      <w:r>
        <w:t>For solar PV:</w:t>
      </w:r>
    </w:p>
    <w:p w14:paraId="0D40244F" w14:textId="77777777" w:rsidR="00091F08" w:rsidRDefault="00091F08" w:rsidP="00091F08">
      <w:r>
        <w:rPr>
          <w:rFonts w:ascii="Courier New" w:hAnsi="Courier New"/>
          <w:sz w:val="18"/>
        </w:rPr>
        <w:t>pv_kW_per_1k = (PV_system_size_DC × 1000) / population</w:t>
      </w:r>
      <w:r>
        <w:br/>
      </w:r>
      <w:r>
        <w:rPr>
          <w:rFonts w:ascii="Courier New" w:hAnsi="Courier New"/>
          <w:sz w:val="18"/>
        </w:rPr>
        <w:t>y_pv = log(1 + pv_kW_per_1k)</w:t>
      </w:r>
    </w:p>
    <w:p w14:paraId="70BD9F99" w14:textId="77777777" w:rsidR="00091F08" w:rsidRDefault="00091F08" w:rsidP="00091F08">
      <w:r>
        <w:t>For battery storage:</w:t>
      </w:r>
    </w:p>
    <w:p w14:paraId="35A09390" w14:textId="77777777" w:rsidR="00091F08" w:rsidRDefault="00091F08" w:rsidP="00091F08">
      <w:r>
        <w:rPr>
          <w:rFonts w:ascii="Courier New" w:hAnsi="Courier New"/>
          <w:sz w:val="18"/>
        </w:rPr>
        <w:t>storage_MW_per_100k = (storage_capacity_mw × 100000) / population</w:t>
      </w:r>
      <w:r>
        <w:br/>
      </w:r>
      <w:r>
        <w:rPr>
          <w:rFonts w:ascii="Courier New" w:hAnsi="Courier New"/>
          <w:sz w:val="18"/>
        </w:rPr>
        <w:t>y_storage = log(1 + storage_MW_per_100k)</w:t>
      </w:r>
    </w:p>
    <w:p w14:paraId="6C49D333" w14:textId="77777777" w:rsidR="00091F08" w:rsidRDefault="00091F08" w:rsidP="00091F08">
      <w:r>
        <w:t>Storage is scaled per 100,000 residents rather than per 1,000 because storage deployment is much smaller and more uneven at the ZIP level, so the larger denominator keeps the raw rate in a more interpretable range before transformation.</w:t>
      </w:r>
    </w:p>
    <w:p w14:paraId="67384E33" w14:textId="77777777" w:rsidR="00091F08" w:rsidRDefault="00091F08" w:rsidP="00091F08">
      <w:r>
        <w:t>In supplementary analysis, I also examine more disaggregated charging outcomes, including Level 1, Level 2, and DC fast chargers separately, along with a wind-capacity outcome used mainly as contextual comparison. The core paper, however, focuses on the three outcomes above.</w:t>
      </w:r>
    </w:p>
    <w:p w14:paraId="761CF256" w14:textId="12566470" w:rsidR="00091F08" w:rsidRDefault="00091F08" w:rsidP="00091F08">
      <w:pPr>
        <w:pStyle w:val="Heading2"/>
      </w:pPr>
      <w:r>
        <w:t>6</w:t>
      </w:r>
      <w:r>
        <w:t>.4 Key Explanatory Variables</w:t>
      </w:r>
    </w:p>
    <w:p w14:paraId="4F89B817" w14:textId="77777777" w:rsidR="00091F08" w:rsidRDefault="00091F08" w:rsidP="00091F08">
      <w:r>
        <w:t>The main explanatory variables fall into two groups: racial/ethnic composition and socioeconomic status.</w:t>
      </w:r>
    </w:p>
    <w:p w14:paraId="716824F1" w14:textId="77777777" w:rsidR="00091F08" w:rsidRDefault="00091F08" w:rsidP="00091F08">
      <w:r>
        <w:t>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I also summarize these patterns using a combined non-white share, but the regressions keep the disaggregated race variables to avoid collapsing distinct demographic patterns into one coefficient.</w:t>
      </w:r>
    </w:p>
    <w:p w14:paraId="435E228B" w14:textId="77777777" w:rsidR="00091F08" w:rsidRDefault="00091F08" w:rsidP="00091F08">
      <w:r>
        <w:lastRenderedPageBreak/>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0D60050B"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37AE229B" w14:textId="7631A326" w:rsidR="00091F08" w:rsidRDefault="0014223F" w:rsidP="00091F08">
      <w:pPr>
        <w:pStyle w:val="Heading2"/>
      </w:pPr>
      <w:r>
        <w:t>6</w:t>
      </w:r>
      <w:r w:rsidR="00091F08">
        <w:t>.5 Contextual Controls</w:t>
      </w:r>
    </w:p>
    <w:p w14:paraId="2E726336" w14:textId="77777777" w:rsidR="00091F08" w:rsidRDefault="00091F08" w:rsidP="00091F08">
      <w:r>
        <w:t>I include several categories of place-based controls to account for non-demographic factors that may shape DER deployment. First, I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554CC5B" w14:textId="77777777" w:rsidR="00091F08" w:rsidRDefault="00091F08" w:rsidP="00091F08">
      <w:r>
        <w:t>Second, I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5130B2AC" w14:textId="77777777" w:rsidR="00091F08" w:rsidRDefault="00091F08" w:rsidP="00091F08">
      <w:r>
        <w:t>Third, I include broader geographic controls in selected specifications, including total population, latitude and longitude, and county-based adjustments. These help account for large-scale regional gradients and spatially correlated unobservables. When I refer below to county-clustered standard errors, I mean that inference is adjusted for within-county error correlation rather than assuming each ZIP/ZCTA contributes an independent disturbance.</w:t>
      </w:r>
    </w:p>
    <w:p w14:paraId="544354D0" w14:textId="77777777" w:rsidR="00091F08" w:rsidRDefault="00091F08" w:rsidP="00091F08">
      <w:r>
        <w:t>Fourth, I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361991B8" w14:textId="1AA3BBC1" w:rsidR="00091F08" w:rsidRDefault="00F51C53" w:rsidP="00091F08">
      <w:pPr>
        <w:pStyle w:val="Heading2"/>
      </w:pPr>
      <w:r>
        <w:t>6</w:t>
      </w:r>
      <w:r w:rsidR="00091F08">
        <w:t>.6 Baseline Regression Specification</w:t>
      </w:r>
    </w:p>
    <w:p w14:paraId="0DF817BD" w14:textId="77777777" w:rsidR="00091F08" w:rsidRDefault="00091F08" w:rsidP="00091F08">
      <w:r>
        <w:t>The main estimation approach is ordinary least squares regression using the transformed ZIP/ZCTA-level deployment outcomes. The baseline specification is:</w:t>
      </w:r>
    </w:p>
    <w:p w14:paraId="01B3639D" w14:textId="77777777" w:rsidR="00091F08" w:rsidRDefault="00091F08" w:rsidP="00091F08">
      <w:r>
        <w:rPr>
          <w:rFonts w:ascii="Courier New" w:hAnsi="Courier New"/>
          <w:sz w:val="18"/>
        </w:rPr>
        <w:t>y_z = β_0 + β_1 Income_z + β_2 Black_z + β_3 Hispanic_z + β_4 Asian_z + β_5 Poverty_z + γX_z + ε_z</w:t>
      </w:r>
    </w:p>
    <w:p w14:paraId="5A01291E" w14:textId="77777777" w:rsidR="00091F08" w:rsidRDefault="00091F08" w:rsidP="00091F08">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t>,</w:t>
      </w:r>
      <w:r>
        <w:rPr>
          <w:rFonts w:ascii="Courier New" w:hAnsi="Courier New"/>
          <w:sz w:val="18"/>
        </w:rPr>
        <w:t xml:space="preserve"> Income_z</w:t>
      </w:r>
      <w:r>
        <w:t xml:space="preserve"> is log median household income,</w:t>
      </w:r>
      <w:r>
        <w:rPr>
          <w:rFonts w:ascii="Courier New" w:hAnsi="Courier New"/>
          <w:sz w:val="18"/>
        </w:rPr>
        <w:t xml:space="preserve"> Black_z</w:t>
      </w:r>
      <w:r>
        <w:t>,</w:t>
      </w:r>
      <w:r>
        <w:rPr>
          <w:rFonts w:ascii="Courier New" w:hAnsi="Courier New"/>
          <w:sz w:val="18"/>
        </w:rPr>
        <w:t xml:space="preserve"> Hispanic_z</w:t>
      </w:r>
      <w:r>
        <w:t>, and</w:t>
      </w:r>
      <w:r>
        <w:rPr>
          <w:rFonts w:ascii="Courier New" w:hAnsi="Courier New"/>
          <w:sz w:val="18"/>
        </w:rPr>
        <w:t xml:space="preserve"> Asian_z</w:t>
      </w:r>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t>, and</w:t>
      </w:r>
      <w:r>
        <w:rPr>
          <w:rFonts w:ascii="Courier New" w:hAnsi="Courier New"/>
          <w:sz w:val="18"/>
        </w:rPr>
        <w:t xml:space="preserve"> ε_z</w:t>
      </w:r>
      <w:r>
        <w:t xml:space="preserve"> is the error term.</w:t>
      </w:r>
    </w:p>
    <w:p w14:paraId="79934EBF" w14:textId="77777777"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w:t>
      </w:r>
      <w:r>
        <w:lastRenderedPageBreak/>
        <w:t>ZIP/ZCTAs. In selected specifications, I also cluster standard errors at the county level to allow for within-county correlation in errors.</w:t>
      </w:r>
    </w:p>
    <w:p w14:paraId="2340E6FB" w14:textId="77777777" w:rsidR="00091F08" w:rsidRDefault="00091F08" w:rsidP="00091F08">
      <w:r>
        <w:t>Rather than relying on one preferred specification, I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0BE9ECC0" w14:textId="7AF14090" w:rsidR="00091F08" w:rsidRDefault="00F51C53" w:rsidP="00091F08">
      <w:pPr>
        <w:pStyle w:val="Heading2"/>
      </w:pPr>
      <w:commentRangeStart w:id="0"/>
      <w:r>
        <w:t>6</w:t>
      </w:r>
      <w:r w:rsidR="00091F08">
        <w:t>.7 Model Series</w:t>
      </w:r>
      <w:commentRangeEnd w:id="0"/>
      <w:r w:rsidR="0001700E">
        <w:rPr>
          <w:rStyle w:val="CommentReference"/>
          <w:sz w:val="26"/>
          <w:szCs w:val="26"/>
        </w:rPr>
        <w:commentReference w:id="0"/>
      </w:r>
    </w:p>
    <w:p w14:paraId="282C32C1" w14:textId="77777777" w:rsidR="00091F08" w:rsidRDefault="00091F08" w:rsidP="00091F08">
      <w:pPr>
        <w:pStyle w:val="Heading3"/>
      </w:pPr>
      <w:r>
        <w:t>Baseline Equity Specification</w:t>
      </w:r>
    </w:p>
    <w:p w14:paraId="42A3E803" w14:textId="77777777" w:rsidR="00091F08" w:rsidRDefault="00091F08" w:rsidP="00091F08">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25088306" w14:textId="77777777" w:rsidR="00091F08" w:rsidRDefault="00091F08" w:rsidP="00091F08">
      <w:pPr>
        <w:pStyle w:val="Heading3"/>
      </w:pPr>
      <w:r>
        <w:t>Additional Socioeconomic Controls</w:t>
      </w:r>
    </w:p>
    <w:p w14:paraId="52973F0A" w14:textId="77777777" w:rsidR="00091F08" w:rsidRDefault="00091F08" w:rsidP="00091F08">
      <w:r>
        <w:t>I then add another socioeconomic proxy, typically the percent bachelor’s degree or higher or the log median housing value, to test whether the race/ethnicity coefficients are sensitive to richer measures of social and housing advantage. This step is important because income alone may not fully capture adoption capacity.</w:t>
      </w:r>
    </w:p>
    <w:p w14:paraId="0F5A55E0" w14:textId="77777777" w:rsidR="00091F08" w:rsidRDefault="00091F08" w:rsidP="00091F08">
      <w:pPr>
        <w:pStyle w:val="Heading3"/>
      </w:pPr>
      <w:r>
        <w:t>Alternative Climate and Resource Controls</w:t>
      </w:r>
    </w:p>
    <w:p w14:paraId="179D33CA" w14:textId="77777777" w:rsidR="00091F08" w:rsidRDefault="00091F08" w:rsidP="00091F08">
      <w:r>
        <w:t>To test whether results depend on a particular way of capturing geographic context, I estimate alternative versions of the baseline model with different climate or physical-suitability controls. For PV, this includes solar irradiance. For some outcomes, I compare degree-day controls with mean-temperature-based controls. For wind-related outcomes, I use wind resource measures.</w:t>
      </w:r>
    </w:p>
    <w:p w14:paraId="04D895D1" w14:textId="77777777" w:rsidR="00091F08" w:rsidRDefault="00091F08" w:rsidP="00091F08">
      <w:pPr>
        <w:pStyle w:val="Heading3"/>
      </w:pPr>
      <w:r>
        <w:t>Race-by-Income Interactions</w:t>
      </w:r>
    </w:p>
    <w:p w14:paraId="03F826B5" w14:textId="77777777" w:rsidR="00091F08" w:rsidRDefault="00091F08" w:rsidP="00091F08">
      <w:r>
        <w:t>I test whether the income gradient in DER deployment differs across communities by including interaction terms between income and race/ethnicity shares. These variables are mean-centered before interaction so that the main effects remain interpretable.</w:t>
      </w:r>
    </w:p>
    <w:p w14:paraId="61F18E92" w14:textId="77777777" w:rsidR="00091F08" w:rsidRDefault="00091F08" w:rsidP="00091F08">
      <w:pPr>
        <w:pStyle w:val="Heading3"/>
      </w:pPr>
      <w:r>
        <w:t>Utility Fixed Effects and Inference Robustness</w:t>
      </w:r>
    </w:p>
    <w:p w14:paraId="0AF76650" w14:textId="77777777" w:rsidR="00091F08" w:rsidRDefault="00091F08" w:rsidP="00091F08">
      <w:r>
        <w:t>I estimate specifications with utility territory fixed effects to absorb institutional differences across service areas. I also estimate county-clustered standard errors as a robustness check for inference.</w:t>
      </w:r>
    </w:p>
    <w:p w14:paraId="501CB46C" w14:textId="77777777" w:rsidR="00091F08" w:rsidRDefault="00091F08" w:rsidP="00091F08">
      <w:pPr>
        <w:pStyle w:val="Heading3"/>
      </w:pPr>
      <w:r>
        <w:t>Geographic Robustness</w:t>
      </w:r>
    </w:p>
    <w:p w14:paraId="78427743" w14:textId="77777777" w:rsidR="00091F08" w:rsidRDefault="00091F08" w:rsidP="00091F08">
      <w:r>
        <w:t>Additional specifications introduce latitude and longitude or county fixed effects to test whether the main patterns are simply reflecting broad regional gradients within California rather than more local disparities.</w:t>
      </w:r>
    </w:p>
    <w:p w14:paraId="28E631FD" w14:textId="77777777" w:rsidR="00091F08" w:rsidRDefault="00091F08" w:rsidP="00091F08">
      <w:pPr>
        <w:pStyle w:val="Heading3"/>
      </w:pPr>
      <w:r>
        <w:t>Infrastructure Context Controls</w:t>
      </w:r>
    </w:p>
    <w:p w14:paraId="221878ED" w14:textId="77777777" w:rsidR="00091F08" w:rsidRDefault="00091F08" w:rsidP="00091F08">
      <w:r>
        <w:t>I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1FE3D08D" w14:textId="77777777" w:rsidR="00091F08" w:rsidRDefault="00091F08" w:rsidP="00091F08">
      <w:pPr>
        <w:pStyle w:val="Heading3"/>
      </w:pPr>
      <w:r>
        <w:t>Electricity Demand Controls</w:t>
      </w:r>
    </w:p>
    <w:p w14:paraId="01C46A66" w14:textId="77777777" w:rsidR="00091F08" w:rsidRDefault="00091F08" w:rsidP="00091F08">
      <w:r>
        <w:t>Finally, I add a demand proxy based on annual electricity consumption. This is particularly relevant for EV charging, where infrastructure deployment may track commercial activity and underlying load as much as residential adoption potential.</w:t>
      </w:r>
    </w:p>
    <w:p w14:paraId="67326EDE" w14:textId="77777777" w:rsidR="00091F08" w:rsidRDefault="00091F08" w:rsidP="00091F08">
      <w:r>
        <w:lastRenderedPageBreak/>
        <w:t>Taken together, this model ladder allows me to ask a structured question: do racial/ethnic disparities shrink meaningfully once I account for socioeconomic status, geography, utility context, and infrastructure, or do they remain persistent across specifications?</w:t>
      </w:r>
    </w:p>
    <w:p w14:paraId="14D4341D" w14:textId="758A24E6" w:rsidR="00091F08" w:rsidRDefault="0042424C" w:rsidP="00091F08">
      <w:pPr>
        <w:pStyle w:val="Heading2"/>
      </w:pPr>
      <w:r>
        <w:t>6</w:t>
      </w:r>
      <w:r w:rsidR="00091F08">
        <w:t>.8 Estimation and Inference</w:t>
      </w:r>
    </w:p>
    <w:p w14:paraId="2BDFF183" w14:textId="77777777" w:rsidR="00091F08" w:rsidRDefault="00091F08" w:rsidP="00091F08">
      <w:r>
        <w:t>The main quantities of interest are the coefficients on the race/ethnicity variables and how those coefficients change across specifications. I compare both the direction and relative magnitude of these coefficients across solar PV, storage, and EV charging outcomes.</w:t>
      </w:r>
    </w:p>
    <w:p w14:paraId="4940F22D" w14:textId="77777777" w:rsidR="00091F08" w:rsidRDefault="00091F08" w:rsidP="00091F08">
      <w:r>
        <w:t>The interpretation is comparative rather than individual-level.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w:t>
      </w:r>
    </w:p>
    <w:p w14:paraId="5B977C0B" w14:textId="77777777" w:rsidR="00091F08" w:rsidRDefault="00091F08" w:rsidP="00091F08">
      <w:r>
        <w:t>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5D7E87B6" w14:textId="29C8DB77" w:rsidR="00091F08" w:rsidRDefault="0042424C" w:rsidP="00091F08">
      <w:pPr>
        <w:pStyle w:val="Heading2"/>
      </w:pPr>
      <w:r>
        <w:t>6</w:t>
      </w:r>
      <w:r w:rsidR="00091F08">
        <w:t>.9 Robustness and Diagnostic Checks</w:t>
      </w:r>
    </w:p>
    <w:p w14:paraId="5A294987" w14:textId="77777777" w:rsidR="00091F08" w:rsidRDefault="00091F08" w:rsidP="00091F08">
      <w:r>
        <w:t>In addition to the main regression ladder, I conduct several supporting checks. I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7CF695E8" w14:textId="77777777" w:rsidR="00091F08" w:rsidRDefault="00091F08" w:rsidP="00091F08">
      <w:r>
        <w:t>VIF screening informs the model inventory, but it is not used as a rigid mechanical inclusion rule. Some richer specifications show elevated VIF values, especially once multiple SES and contextual controls are introduced. I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1AE1EBA1" w14:textId="77777777" w:rsidR="00091F08" w:rsidRDefault="00091F08" w:rsidP="00091F08">
      <w:r>
        <w:t>In exploratory analysis, I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68194D30" w14:textId="4E19FCCA" w:rsidR="00091F08" w:rsidRDefault="00D32F87" w:rsidP="00091F08">
      <w:pPr>
        <w:pStyle w:val="Heading2"/>
      </w:pPr>
      <w:r>
        <w:t>6</w:t>
      </w:r>
      <w:r w:rsidR="00091F08">
        <w:t>.10 Methodological Limitations</w:t>
      </w:r>
    </w:p>
    <w:p w14:paraId="2DB31224" w14:textId="77777777" w:rsidR="00091F08" w:rsidRDefault="00091F08" w:rsidP="00091F08">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w:t>
      </w:r>
    </w:p>
    <w:p w14:paraId="7D755332" w14:textId="2666D965" w:rsidR="00091F08" w:rsidRDefault="00091F08" w:rsidP="00091F08">
      <w:r>
        <w:t>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30D6CF34" w14:textId="24341779" w:rsidR="00B86A12" w:rsidRDefault="00000000">
      <w:pPr>
        <w:pStyle w:val="Heading1"/>
      </w:pPr>
      <w:r>
        <w:lastRenderedPageBreak/>
        <w:t>7. Limitations</w:t>
      </w:r>
    </w:p>
    <w:p w14:paraId="3BD7D256" w14:textId="77777777" w:rsidR="00B86A12" w:rsidRDefault="00000000">
      <w: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14:paraId="61ACFBEA"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ZIP/ZCTA outcomes rather than rescued from coordinates, so the charger outcomes should be interpreted as valid-source-ZIP charger records.</w:t>
      </w:r>
    </w:p>
    <w:p w14:paraId="44493592"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798FBA7"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interpretation of charger siting patterns.</w:t>
      </w:r>
    </w:p>
    <w:p w14:paraId="52FB18CC" w14:textId="77777777" w:rsidR="00B86A12" w:rsidRDefault="00000000">
      <w:pPr>
        <w:pStyle w:val="Heading1"/>
      </w:pPr>
      <w:r>
        <w:t>8. Conclusion</w:t>
      </w:r>
    </w:p>
    <w:p w14:paraId="05F32FDE"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pattern in which aggregate charger counts can obscure meaningful differences across charger types.</w:t>
      </w:r>
    </w:p>
    <w:p w14:paraId="5D7FFE63"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 actually use, benefit from, and rely on each technology.</w:t>
      </w:r>
    </w:p>
    <w:p w14:paraId="124EF249" w14:textId="77777777" w:rsidR="00B86A12" w:rsidRDefault="00000000">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w:t>
      </w:r>
    </w:p>
    <w:p w14:paraId="79B19795" w14:textId="77777777" w:rsidR="00B86A12" w:rsidRDefault="00000000">
      <w:pPr>
        <w:pStyle w:val="Heading1"/>
      </w:pPr>
      <w:commentRangeStart w:id="1"/>
      <w:r>
        <w:lastRenderedPageBreak/>
        <w:t>Appendix: Additional Robustness Visuals</w:t>
      </w:r>
      <w:commentRangeEnd w:id="1"/>
      <w:r w:rsidR="0001700E">
        <w:rPr>
          <w:rStyle w:val="CommentReference"/>
          <w:sz w:val="28"/>
          <w:szCs w:val="28"/>
        </w:rPr>
        <w:commentReference w:id="1"/>
      </w:r>
    </w:p>
    <w:p w14:paraId="2D1130C2"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07883F19" w14:textId="77777777" w:rsidR="00B86A12" w:rsidRDefault="00000000">
      <w:pPr>
        <w:pStyle w:val="Heading3"/>
      </w:pPr>
      <w:r>
        <w:t>Outcome-specific model comparisons</w:t>
      </w:r>
    </w:p>
    <w:p w14:paraId="10E9538A"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47"/>
                    <a:stretch>
                      <a:fillRect/>
                    </a:stretch>
                  </pic:blipFill>
                  <pic:spPr>
                    <a:xfrm>
                      <a:off x="0" y="0"/>
                      <a:ext cx="5943600" cy="3366210"/>
                    </a:xfrm>
                    <a:prstGeom prst="rect">
                      <a:avLst/>
                    </a:prstGeom>
                  </pic:spPr>
                </pic:pic>
              </a:graphicData>
            </a:graphic>
          </wp:inline>
        </w:drawing>
      </w:r>
    </w:p>
    <w:p w14:paraId="6236841C" w14:textId="77777777" w:rsidR="00B86A12" w:rsidRDefault="00000000">
      <w:r>
        <w:t>Storage model-comparison figure. The same appendix folder also includes EV charging and wind comparison exports for side-by-side review.</w:t>
      </w:r>
    </w:p>
    <w:p w14:paraId="6077221A" w14:textId="77777777" w:rsidR="00B86A12" w:rsidRDefault="00000000">
      <w:pPr>
        <w:pStyle w:val="Heading3"/>
      </w:pPr>
      <w:r>
        <w:lastRenderedPageBreak/>
        <w:t>EV charging model comparison</w:t>
      </w:r>
    </w:p>
    <w:p w14:paraId="556429EB"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48"/>
                    <a:stretch>
                      <a:fillRect/>
                    </a:stretch>
                  </pic:blipFill>
                  <pic:spPr>
                    <a:xfrm>
                      <a:off x="0" y="0"/>
                      <a:ext cx="5943600" cy="3366210"/>
                    </a:xfrm>
                    <a:prstGeom prst="rect">
                      <a:avLst/>
                    </a:prstGeom>
                  </pic:spPr>
                </pic:pic>
              </a:graphicData>
            </a:graphic>
          </wp:inline>
        </w:drawing>
      </w:r>
    </w:p>
    <w:p w14:paraId="7EA8FA7A" w14:textId="77777777" w:rsidR="00B86A12" w:rsidRDefault="00000000">
      <w:r>
        <w:t>Aggregate charging comparison across the model ladder, included here rather than inline so the main section can focus on the headline robustness and subtype composition figures.</w:t>
      </w:r>
    </w:p>
    <w:p w14:paraId="339E1FEB" w14:textId="77777777" w:rsidR="00B86A12" w:rsidRDefault="00000000">
      <w:pPr>
        <w:pStyle w:val="Heading3"/>
      </w:pPr>
      <w:r>
        <w:t>Representative baseline spatial maps</w:t>
      </w:r>
    </w:p>
    <w:p w14:paraId="543B4F1D"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9"/>
                    <a:stretch>
                      <a:fillRect/>
                    </a:stretch>
                  </pic:blipFill>
                  <pic:spPr>
                    <a:xfrm>
                      <a:off x="0" y="0"/>
                      <a:ext cx="5943600" cy="2830607"/>
                    </a:xfrm>
                    <a:prstGeom prst="rect">
                      <a:avLst/>
                    </a:prstGeom>
                  </pic:spPr>
                </pic:pic>
              </a:graphicData>
            </a:graphic>
          </wp:inline>
        </w:drawing>
      </w:r>
    </w:p>
    <w:p w14:paraId="0256F616" w14:textId="77777777" w:rsidR="00B86A12" w:rsidRDefault="00000000">
      <w:r>
        <w:t>Representative baseline spatial output for rooftop PV. Matching storage and charging spatial maps are linked in the same appendix asset folder.</w:t>
      </w:r>
    </w:p>
    <w:p w14:paraId="5D2B68B5" w14:textId="77777777" w:rsidR="00B86A12" w:rsidRDefault="00000000">
      <w:pPr>
        <w:pStyle w:val="Heading3"/>
      </w:pPr>
      <w:r>
        <w:lastRenderedPageBreak/>
        <w:t>Supplementary wind comparison</w:t>
      </w:r>
    </w:p>
    <w:p w14:paraId="655CC2DE"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50"/>
                    <a:stretch>
                      <a:fillRect/>
                    </a:stretch>
                  </pic:blipFill>
                  <pic:spPr>
                    <a:xfrm>
                      <a:off x="0" y="0"/>
                      <a:ext cx="5943600" cy="3367847"/>
                    </a:xfrm>
                    <a:prstGeom prst="rect">
                      <a:avLst/>
                    </a:prstGeom>
                  </pic:spPr>
                </pic:pic>
              </a:graphicData>
            </a:graphic>
          </wp:inline>
        </w:drawing>
      </w:r>
    </w:p>
    <w:p w14:paraId="32ACAAB2" w14:textId="77777777" w:rsidR="00B86A12" w:rsidRDefault="00000000">
      <w:r>
        <w:t>Wind remains supplementary in the paper, but the model-comparison export is preserved here as a contextual benchmark against the consumer-facing DER outcomes.</w:t>
      </w:r>
    </w:p>
    <w:p w14:paraId="251D45A8" w14:textId="473AB08B" w:rsidR="00B86A12" w:rsidRDefault="00000000">
      <w:pPr>
        <w:pStyle w:val="Heading1"/>
      </w:pPr>
      <w:r>
        <w:t>References</w:t>
      </w:r>
    </w:p>
    <w:p w14:paraId="6F061372" w14:textId="77777777" w:rsidR="00B86A12" w:rsidRDefault="00000000">
      <w:pPr>
        <w:pStyle w:val="ListNumber"/>
      </w:pPr>
      <w:r>
        <w:t>American Council for an Energy-Efficient Economy (ACEEE). 2023.</w:t>
      </w:r>
      <w:r>
        <w:rPr>
          <w:i/>
        </w:rPr>
        <w:t xml:space="preserve"> Racial disparities in the energy burden</w:t>
      </w:r>
      <w:r>
        <w:t xml:space="preserve"> .</w:t>
      </w:r>
    </w:p>
    <w:p w14:paraId="5724FF50" w14:textId="77777777" w:rsidR="00B86A12" w:rsidRDefault="00000000">
      <w:pPr>
        <w:pStyle w:val="ListNumber"/>
      </w:pPr>
      <w:r>
        <w:t>Borenstein, Severin, and James Bushnell. 2016. Work on residential electricity rate design and equity implications for DER uptake.</w:t>
      </w:r>
    </w:p>
    <w:p w14:paraId="4163867D" w14:textId="77777777" w:rsidR="00B86A12" w:rsidRDefault="00000000">
      <w:pPr>
        <w:pStyle w:val="ListNumber"/>
      </w:pPr>
      <w:r>
        <w:t>Brockway, Anna M., et al. 2021. “Inequitable access to distributed energy resources due to grid infrastructure limits in California.”</w:t>
      </w:r>
    </w:p>
    <w:p w14:paraId="222B4EDD" w14:textId="77777777" w:rsidR="00B86A12" w:rsidRDefault="00000000">
      <w:pPr>
        <w:pStyle w:val="ListNumber"/>
      </w:pPr>
      <w:r>
        <w:t>Caballero-Peña, et al. 2022. Work on network impacts of DERs and distribution-system constraints.</w:t>
      </w:r>
    </w:p>
    <w:p w14:paraId="727D4BE0" w14:textId="77777777" w:rsidR="00B86A12" w:rsidRDefault="00000000">
      <w:pPr>
        <w:pStyle w:val="ListNumber"/>
      </w:pPr>
      <w:r>
        <w:t>California Public Utilities Commission (CPUC). 2021.</w:t>
      </w:r>
      <w:r>
        <w:rPr>
          <w:i/>
        </w:rPr>
        <w:t xml:space="preserve"> Distributed Energy Resources Integration Research Roadmap</w:t>
      </w:r>
      <w:r>
        <w:t xml:space="preserve"> .</w:t>
      </w:r>
    </w:p>
    <w:p w14:paraId="4BD4B72D" w14:textId="77777777" w:rsidR="00B86A12" w:rsidRDefault="00000000">
      <w:pPr>
        <w:pStyle w:val="ListNumber"/>
      </w:pPr>
      <w:r>
        <w:t>Clean Energy Group. 2021.</w:t>
      </w:r>
      <w:r>
        <w:rPr>
          <w:i/>
        </w:rPr>
        <w:t xml:space="preserve"> Energy Storage as an Equity Asset</w:t>
      </w:r>
      <w:r>
        <w:t xml:space="preserve"> .</w:t>
      </w:r>
    </w:p>
    <w:p w14:paraId="3A841B48" w14:textId="77777777" w:rsidR="00B86A12" w:rsidRDefault="00000000">
      <w:pPr>
        <w:pStyle w:val="ListNumber"/>
      </w:pPr>
      <w:r>
        <w:t>Federal Energy Regulatory Commission (FERC) Staff. 2018.</w:t>
      </w:r>
      <w:r>
        <w:rPr>
          <w:i/>
        </w:rPr>
        <w:t xml:space="preserve"> Distributed Energy Resources: Technological and Policy Considerations</w:t>
      </w:r>
      <w:r>
        <w:t xml:space="preserve"> .</w:t>
      </w:r>
    </w:p>
    <w:p w14:paraId="79175C24" w14:textId="77777777" w:rsidR="00B86A12" w:rsidRDefault="00000000">
      <w:pPr>
        <w:pStyle w:val="ListNumber"/>
      </w:pPr>
      <w:r>
        <w:t>Feinberg, et al. 2017. “Data-driven planning amidst socio-technical complexities.”</w:t>
      </w:r>
    </w:p>
    <w:p w14:paraId="1036B9C2" w14:textId="77777777" w:rsidR="00B86A12" w:rsidRDefault="00000000">
      <w:pPr>
        <w:pStyle w:val="ListNumber"/>
      </w:pPr>
      <w:r>
        <w:t>Greenlining Institute. 2024.</w:t>
      </w:r>
      <w:r>
        <w:rPr>
          <w:i/>
        </w:rPr>
        <w:t xml:space="preserve"> Demystifying Equity in California’s Energy Grid Transition</w:t>
      </w:r>
      <w:r>
        <w:t xml:space="preserve"> .</w:t>
      </w:r>
    </w:p>
    <w:p w14:paraId="1E80F184" w14:textId="77777777" w:rsidR="00B86A12" w:rsidRDefault="00000000">
      <w:pPr>
        <w:pStyle w:val="ListNumber"/>
      </w:pPr>
      <w:r>
        <w:t>Gridworks. 2022.</w:t>
      </w:r>
      <w:r>
        <w:rPr>
          <w:i/>
        </w:rPr>
        <w:t xml:space="preserve"> Advancing Equity in Access to DERs in California</w:t>
      </w:r>
      <w:r>
        <w:t xml:space="preserve"> .</w:t>
      </w:r>
    </w:p>
    <w:p w14:paraId="53BE049B" w14:textId="77777777" w:rsidR="00B86A12" w:rsidRDefault="00000000">
      <w:pPr>
        <w:pStyle w:val="ListNumber"/>
      </w:pPr>
      <w:r>
        <w:t>Kurdgelashvili, Lado, Roy Kwon, and Peter Larsen. 2019. “An empirical analysis of county-level residential PV adoption in California.”</w:t>
      </w:r>
    </w:p>
    <w:p w14:paraId="3BC39C3B" w14:textId="77777777" w:rsidR="00B86A12" w:rsidRDefault="00000000">
      <w:pPr>
        <w:pStyle w:val="ListNumber"/>
      </w:pPr>
      <w:r>
        <w:t>Lukanov, Boris R., and Elizabeth M. Krieger. 2019. “Distributed solar and environmental justice: Exploring the demographic and socio-economic trends of residential PV adoption in California.”</w:t>
      </w:r>
    </w:p>
    <w:p w14:paraId="5A4D48D1" w14:textId="77777777" w:rsidR="00B86A12" w:rsidRDefault="00000000">
      <w:pPr>
        <w:pStyle w:val="ListNumber"/>
      </w:pPr>
      <w:r>
        <w:t>NREL / DOE. n.d.</w:t>
      </w:r>
      <w:r>
        <w:rPr>
          <w:i/>
        </w:rPr>
        <w:t xml:space="preserve"> Optimal coordination of flexible DERs</w:t>
      </w:r>
      <w:r>
        <w:t xml:space="preserve"> .</w:t>
      </w:r>
    </w:p>
    <w:p w14:paraId="61EF5B68" w14:textId="77777777" w:rsidR="00B86A12" w:rsidRDefault="00000000">
      <w:pPr>
        <w:pStyle w:val="ListNumber"/>
      </w:pPr>
      <w:r>
        <w:t>Parra, et al. 2017. “Assessing the implications of socioeconomic diversity for low-carbon technology uptake in electrical distribution networks.”</w:t>
      </w:r>
    </w:p>
    <w:p w14:paraId="36928AAF" w14:textId="77777777" w:rsidR="00B86A12" w:rsidRDefault="00000000">
      <w:pPr>
        <w:pStyle w:val="ListNumber"/>
      </w:pPr>
      <w:r>
        <w:lastRenderedPageBreak/>
        <w:t>SEIA / Vote Solar. 2022. Work on California community-solar policy gaps and renter exclusion.</w:t>
      </w:r>
    </w:p>
    <w:p w14:paraId="2EDF369D" w14:textId="77777777" w:rsidR="00B86A12" w:rsidRDefault="00000000">
      <w:pPr>
        <w:pStyle w:val="ListNumber"/>
      </w:pPr>
      <w:r>
        <w:t>Stokes, Leah C., and Christopher Warshaw. 2022. Work on motivations and barriers to residential solar adoption.</w:t>
      </w:r>
    </w:p>
    <w:p w14:paraId="443EF31C" w14:textId="77777777" w:rsidR="00B86A12" w:rsidRDefault="00000000">
      <w:pPr>
        <w:pStyle w:val="ListNumber"/>
      </w:pPr>
      <w:r>
        <w:t>Sunter, Deborah A., Sergio Castellanos, and Daniel M. Kammen. 2019. “Disparities in rooftop photovoltaics deployment in the United States by race and ethnicity.”</w:t>
      </w:r>
    </w:p>
    <w:p w14:paraId="3E015D5A" w14:textId="77777777" w:rsidR="00B86A12" w:rsidRDefault="00000000">
      <w:pPr>
        <w:pStyle w:val="ListNumber"/>
      </w:pPr>
      <w:r>
        <w:t>U.S. Department of Energy. 2023.</w:t>
      </w:r>
      <w:r>
        <w:rPr>
          <w:i/>
        </w:rPr>
        <w:t xml:space="preserve"> Towards Closing the Data Gap</w:t>
      </w:r>
      <w:r>
        <w:t xml:space="preserve"> .</w:t>
      </w:r>
    </w:p>
    <w:p w14:paraId="556719EA" w14:textId="77777777" w:rsidR="00B86A12" w:rsidRDefault="00000000">
      <w:pPr>
        <w:pStyle w:val="ListNumber"/>
      </w:pPr>
      <w:r>
        <w:t>Urban Institute. 2023.</w:t>
      </w:r>
      <w:r>
        <w:rPr>
          <w:i/>
        </w:rPr>
        <w:t xml:space="preserve"> Identifying Disadvantaged Communities in the United States</w:t>
      </w:r>
      <w:r>
        <w:t xml:space="preserve"> .</w:t>
      </w: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ineet Jagadeesan Nair" w:date="2026-05-12T12:56:00Z" w:initials="VJN">
    <w:p w14:paraId="0A6A5B8F" w14:textId="77777777" w:rsidR="0001700E" w:rsidRDefault="0001700E" w:rsidP="0001700E">
      <w:r>
        <w:rPr>
          <w:rStyle w:val="CommentReference"/>
        </w:rPr>
        <w:annotationRef/>
      </w:r>
      <w:r>
        <w:rPr>
          <w:sz w:val="20"/>
          <w:szCs w:val="20"/>
        </w:rPr>
        <w:t>Could you add the equations for each of these similar to what you had in the HTML site?</w:t>
      </w:r>
    </w:p>
  </w:comment>
  <w:comment w:id="1" w:author="Vineet Jagadeesan Nair" w:date="2026-05-12T12:57:00Z" w:initials="VJN">
    <w:p w14:paraId="3193A887" w14:textId="77777777" w:rsidR="0001700E" w:rsidRDefault="0001700E" w:rsidP="0001700E">
      <w:r>
        <w:rPr>
          <w:rStyle w:val="CommentReference"/>
        </w:rPr>
        <w:annotationRef/>
      </w:r>
      <w:r>
        <w:rPr>
          <w:sz w:val="20"/>
          <w:szCs w:val="20"/>
        </w:rPr>
        <w:t>Ensure that we cross reference to these appendices in the main text as well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A5B8F" w15:done="0"/>
  <w15:commentEx w15:paraId="3193A88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5167B3" w16cex:dateUtc="2026-05-12T19:56:00Z"/>
  <w16cex:commentExtensible w16cex:durableId="51C401E3" w16cex:dateUtc="2026-05-12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A5B8F" w16cid:durableId="5A5167B3"/>
  <w16cid:commentId w16cid:paraId="3193A887" w16cid:durableId="51C401E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00E"/>
    <w:rsid w:val="00034616"/>
    <w:rsid w:val="0006063C"/>
    <w:rsid w:val="00091F08"/>
    <w:rsid w:val="0014040F"/>
    <w:rsid w:val="0014223F"/>
    <w:rsid w:val="0015074B"/>
    <w:rsid w:val="00157F04"/>
    <w:rsid w:val="0029639D"/>
    <w:rsid w:val="00326F90"/>
    <w:rsid w:val="003765B1"/>
    <w:rsid w:val="003900CC"/>
    <w:rsid w:val="003D485F"/>
    <w:rsid w:val="0042424C"/>
    <w:rsid w:val="004D537B"/>
    <w:rsid w:val="00520714"/>
    <w:rsid w:val="00614286"/>
    <w:rsid w:val="006E5D43"/>
    <w:rsid w:val="007E10A5"/>
    <w:rsid w:val="00880690"/>
    <w:rsid w:val="008F3128"/>
    <w:rsid w:val="008F65ED"/>
    <w:rsid w:val="009611E9"/>
    <w:rsid w:val="00A50352"/>
    <w:rsid w:val="00A51986"/>
    <w:rsid w:val="00A94BE9"/>
    <w:rsid w:val="00AA1D8D"/>
    <w:rsid w:val="00B47730"/>
    <w:rsid w:val="00B86A12"/>
    <w:rsid w:val="00CB0664"/>
    <w:rsid w:val="00D32F87"/>
    <w:rsid w:val="00DA77A3"/>
    <w:rsid w:val="00E74C8C"/>
    <w:rsid w:val="00F05440"/>
    <w:rsid w:val="00F51C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sv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svg"/><Relationship Id="rId21" Type="http://schemas.openxmlformats.org/officeDocument/2006/relationships/image" Target="media/image16.svg"/><Relationship Id="rId34" Type="http://schemas.openxmlformats.org/officeDocument/2006/relationships/image" Target="media/image29.png"/><Relationship Id="rId42" Type="http://schemas.openxmlformats.org/officeDocument/2006/relationships/image" Target="media/image37.sv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image" Target="media/image2.sv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svg"/><Relationship Id="rId11" Type="http://schemas.openxmlformats.org/officeDocument/2006/relationships/image" Target="media/image6.sv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svg"/><Relationship Id="rId40" Type="http://schemas.openxmlformats.org/officeDocument/2006/relationships/image" Target="media/image35.png"/><Relationship Id="rId45" Type="http://schemas.microsoft.com/office/2016/09/relationships/commentsIds" Target="commentsIds.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svg"/><Relationship Id="rId31" Type="http://schemas.openxmlformats.org/officeDocument/2006/relationships/image" Target="media/image26.svg"/><Relationship Id="rId44" Type="http://schemas.microsoft.com/office/2011/relationships/commentsExtended" Target="commentsExtended.xml"/><Relationship Id="rId52"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png"/><Relationship Id="rId35" Type="http://schemas.openxmlformats.org/officeDocument/2006/relationships/image" Target="media/image30.svg"/><Relationship Id="rId43" Type="http://schemas.openxmlformats.org/officeDocument/2006/relationships/comments" Target="comments.xml"/><Relationship Id="rId48" Type="http://schemas.openxmlformats.org/officeDocument/2006/relationships/image" Target="media/image39.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svg"/><Relationship Id="rId25" Type="http://schemas.openxmlformats.org/officeDocument/2006/relationships/image" Target="media/image20.svg"/><Relationship Id="rId33" Type="http://schemas.openxmlformats.org/officeDocument/2006/relationships/image" Target="media/image28.svg"/><Relationship Id="rId38" Type="http://schemas.openxmlformats.org/officeDocument/2006/relationships/image" Target="media/image33.png"/><Relationship Id="rId46" Type="http://schemas.microsoft.com/office/2018/08/relationships/commentsExtensible" Target="commentsExtensible.xml"/><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sv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30</Pages>
  <Words>9987</Words>
  <Characters>56930</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19</cp:revision>
  <dcterms:created xsi:type="dcterms:W3CDTF">2013-12-23T23:15:00Z</dcterms:created>
  <dcterms:modified xsi:type="dcterms:W3CDTF">2026-05-12T19:57:00Z</dcterms:modified>
  <cp:category/>
</cp:coreProperties>
</file>