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9709E8" w14:textId="77777777" w:rsidR="003D485F" w:rsidRDefault="003D485F" w:rsidP="00880690">
      <w:pPr>
        <w:pStyle w:val="Title"/>
        <w:rPr>
          <w:b/>
          <w:bCs/>
        </w:rPr>
      </w:pPr>
      <w:r>
        <w:t>The Unequal Energy Transition: Racial and Socioeconomic Disparities in Distributed Energy Resource Adoption Across California</w:t>
      </w:r>
    </w:p>
    <w:p w14:paraId="79DC12AE" w14:textId="6A00E148" w:rsidR="00DA77A3" w:rsidRDefault="00DA77A3">
      <w:pPr>
        <w:pStyle w:val="Heading1"/>
      </w:pPr>
      <w:r>
        <w:t>Overall notes/feedback:</w:t>
      </w:r>
    </w:p>
    <w:p w14:paraId="061DDDD2" w14:textId="1B7294E7" w:rsidR="00DA77A3" w:rsidRPr="00DA6FD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Expand the prior work section based on the previous literature survey report + add citations using Mendeley add on -- can then change the reference format as needed</w:t>
      </w:r>
    </w:p>
    <w:p w14:paraId="10C91E29" w14:textId="36C17E2E" w:rsidR="006D74E0" w:rsidRPr="009B0EFB"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update figure</w:t>
      </w:r>
    </w:p>
    <w:p w14:paraId="36494B5E" w14:textId="7C4E8458" w:rsidR="006D74E0" w:rsidRPr="002B54C7"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model numbers/names</w:t>
      </w:r>
    </w:p>
    <w:p w14:paraId="392F746E" w14:textId="4B08383B" w:rsidR="00C82ADA" w:rsidRPr="004A1694" w:rsidRDefault="0000000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in energy burden DER results (similar to fig 1 + coefficient robustness with different model ladder)</w:t>
      </w:r>
    </w:p>
    <w:p w14:paraId="42D3864C" w14:textId="0D9B44FC" w:rsidR="00DA77A3" w:rsidRPr="005E0F8B"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Improve the contributions sections to clearly highlight literature gaps &amp; strengthen novelty claims</w:t>
      </w:r>
    </w:p>
    <w:p w14:paraId="47D3F69D" w14:textId="738A8EAE" w:rsidR="00DA77A3" w:rsidRPr="004E1F0A"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Results/discussion section look good!</w:t>
      </w:r>
    </w:p>
    <w:p w14:paraId="29A8B92E" w14:textId="6E4E175E" w:rsidR="00DA77A3" w:rsidRPr="00F00FFF"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Modify methods section writing to be more academic/formal (moved be to after results)</w:t>
      </w:r>
    </w:p>
    <w:p w14:paraId="48D4F2E0" w14:textId="14E61DAC" w:rsidR="00DA77A3" w:rsidRPr="002C1F4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Slightly expand discussions section with broader implications &amp; recommended policy/regulatory changes (by various stakeholders – grid operators, lawmakers/public sector, private sector utilities)</w:t>
      </w:r>
    </w:p>
    <w:p w14:paraId="375B2AB2" w14:textId="3ADE06A9" w:rsid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trike/>
          <w:sz w:val="24"/>
          <w:szCs w:val="24"/>
        </w:rPr>
        <w:t>Vineet: Slightly improve intro &amp; conclusions sections</w:t>
      </w:r>
      <w:r>
        <w:rPr>
          <w:rFonts w:eastAsia="Times New Roman" w:cs="Times New Roman"/>
          <w:sz w:val="24"/>
          <w:szCs w:val="24"/>
        </w:rPr>
        <w:br/>
      </w:r>
    </w:p>
    <w:p w14:paraId="1CC58637" w14:textId="746D15F7" w:rsidR="0001700E" w:rsidRPr="00DA77A3" w:rsidRDefault="0001700E"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z w:val="24"/>
          <w:szCs w:val="24"/>
        </w:rPr>
        <w:t>Vineet: Add cross references to figures/tables/equations/sections in the text – Need to 1</w:t>
      </w:r>
      <w:r>
        <w:rPr>
          <w:rFonts w:eastAsia="Times New Roman" w:cs="Times New Roman"/>
          <w:sz w:val="24"/>
          <w:szCs w:val="24"/>
          <w:vertAlign w:val="superscript"/>
        </w:rPr>
        <w:t>st</w:t>
      </w:r>
      <w:r>
        <w:rPr>
          <w:rFonts w:eastAsia="Times New Roman" w:cs="Times New Roman"/>
          <w:sz w:val="24"/>
          <w:szCs w:val="24"/>
        </w:rPr>
        <w:t xml:space="preserve"> update the figures &amp; add captions properly before doing this – do this at the end</w:t>
      </w:r>
    </w:p>
    <w:p w14:paraId="1027EAA4" w14:textId="75A5EF59" w:rsidR="00B86A12" w:rsidRDefault="00000000">
      <w:pPr>
        <w:pStyle w:val="Heading1"/>
      </w:pPr>
      <w:r>
        <w:t>Abstract</w:t>
      </w:r>
    </w:p>
    <w:p w14:paraId="1E2F3169" w14:textId="2AEEAE51" w:rsidR="00614286" w:rsidRDefault="00000000">
      <w:r>
        <w:t xml:space="preserve">As distributed energy resources (DERs) such as rooftop solar, battery storage, and electric vehicle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t>
      </w:r>
      <w:r>
        <w:t xml:space="preserve">whether demographic and infrastructure factors shape inequitable access to different DER types across all ZIP Code Tabulation Areas (ZCTAs) in California. We built a California (CA) ZCTA-level dataset that integrates rooftop PV, storage, EV charging, and contextual controls from American Community Survey (ACS), NASA Prediction of Worldwide Energy Resources (POWER), utility territory, and electricity demand sources. Using a consistent model ladder, we show that race remains statistically associated with DER </w:t>
      </w:r>
      <w:r>
        <w:t>adoption across multiple technologies and that the resulting disparity patterns differ meaningfully across PV, storage, and EV charging. A multi-technology study offers new insights that go beyond prior studies which focused solely on specific DERs, such as solar or storage. We find deeper distributional inequities in battery storage than with solar, and that EV charging differences are predominantly driven by the patterns in transportation infrastructure rather than racial or socioeconomic factors. The res</w:t>
      </w:r>
      <w:r>
        <w:t>ults support a race-aware interpretation of DER equity and challenge the assumption that race-neutral planning frameworks are sufficient for equitable clean energy deployment.</w:t>
      </w:r>
    </w:p>
    <w:p w14:paraId="3EEB9C5C" w14:textId="77777777" w:rsidR="00B86A12" w:rsidRDefault="00000000">
      <w:pPr>
        <w:pStyle w:val="Heading1"/>
        <w:numPr>
          <w:ilvl w:val="0"/>
          <w:numId w:val="11"/>
        </w:numPr>
      </w:pPr>
      <w:r>
        <w:lastRenderedPageBreak/>
        <w:t>Introduction</w:t>
      </w:r>
    </w:p>
    <w:p w14:paraId="6FDA4A77" w14:textId="27DAAB98" w:rsidR="00B86A12" w:rsidRDefault="00000000">
      <w:pPr>
        <w:pStyle w:val="Heading2"/>
        <w:numPr>
          <w:ilvl w:val="1"/>
          <w:numId w:val="11"/>
        </w:numPr>
      </w:pPr>
      <w:r>
        <w:t>Motivation and problem</w:t>
      </w:r>
    </w:p>
    <w:p w14:paraId="388212EF" w14:textId="6C8326D8"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w:t>
      </w:r>
      <w:r>
        <w:t>.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w:t>
      </w:r>
      <w:r>
        <w:t>.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w:t>
      </w:r>
      <w:r>
        <w:t>eling assumptions.</w:t>
      </w:r>
    </w:p>
    <w:p w14:paraId="711D21C7" w14:textId="77777777" w:rsidR="00B86A12" w:rsidRDefault="00000000">
      <w:pPr>
        <w:pStyle w:val="Heading2"/>
        <w:numPr>
          <w:ilvl w:val="1"/>
          <w:numId w:val="11"/>
        </w:numPr>
      </w:pPr>
      <w:r>
        <w:t>Research question</w:t>
      </w:r>
    </w:p>
    <w:p w14:paraId="452A2BE7" w14:textId="4E81F8A5" w:rsidR="00B86A12" w:rsidRDefault="00000000">
      <w:r>
        <w:t xml:space="preserve">The central research question is: </w:t>
      </w:r>
      <w:r>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First, are disparities similar across solar PV, battery storage, and EV charging, or does the equity story change by technology? Second, when income, education, and other adoption-capacity pro</w:t>
      </w:r>
      <w:r>
        <w:t>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 The rest of the paper is structured as follow.</w:t>
      </w:r>
    </w:p>
    <w:p w14:paraId="38F4B20A" w14:textId="77777777" w:rsidR="00B86A12" w:rsidRDefault="00000000">
      <w:pPr>
        <w:pStyle w:val="Heading1"/>
        <w:numPr>
          <w:ilvl w:val="0"/>
          <w:numId w:val="11"/>
        </w:numPr>
      </w:pPr>
      <w:bookmarkStart w:id="0" w:name="_Ref233983716"/>
      <w:r>
        <w:t>Background and Prior Work</w:t>
      </w:r>
      <w:bookmarkEnd w:id="0"/>
    </w:p>
    <w:p w14:paraId="1E5F05CC" w14:textId="77777777" w:rsidR="00B86A12" w:rsidRDefault="00000000">
      <w:pPr>
        <w:pStyle w:val="Heading2"/>
        <w:numPr>
          <w:ilvl w:val="1"/>
          <w:numId w:val="11"/>
        </w:numPr>
      </w:pPr>
      <w:r>
        <w:t>Foundational DER and PV adoption work</w:t>
      </w:r>
    </w:p>
    <w:p w14:paraId="24113023" w14:textId="59BDEC7B"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Pr>
              <w:rFonts w:cs="Times New Roman"/>
              <w:color w:val="000000"/>
            </w:rPr>
            <w:t>[4][5][6]</w:t>
          </w:r>
        </w:sdtContent>
      </w:sdt>
      <w:r>
        <w:t>. Together, these studies provide the methodological starting point for the present paper.</w:t>
      </w:r>
    </w:p>
    <w:p w14:paraId="6B5860D6" w14:textId="77777777" w:rsidR="00663EFC" w:rsidRDefault="00663EFC" w:rsidP="00663EFC">
      <w:pPr>
        <w:pStyle w:val="Heading2"/>
        <w:numPr>
          <w:ilvl w:val="1"/>
          <w:numId w:val="11"/>
        </w:numPr>
      </w:pPr>
      <w:r>
        <w:lastRenderedPageBreak/>
        <w:t>Why the equity lens needs to extend beyond PV</w:t>
      </w:r>
    </w:p>
    <w:p w14:paraId="3F0EB35E"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3203FDE2"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5E2F8DA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7765E7EB" w14:textId="5C4E4F91" w:rsidR="00B86A12" w:rsidRDefault="00000000" w:rsidP="0032353E">
      <w:pPr>
        <w:pStyle w:val="Heading2"/>
        <w:numPr>
          <w:ilvl w:val="1"/>
          <w:numId w:val="11"/>
        </w:numPr>
      </w:pPr>
      <w:r>
        <w:t>Race, energy burden, and race-neutral policy critiques</w:t>
      </w:r>
    </w:p>
    <w:p w14:paraId="1B7F2220" w14:textId="418646AC"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themeColor="text1"/>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Pr>
              <w:rFonts w:cs="Times New Roman"/>
              <w:color w:val="000000" w:themeColor="text1"/>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themeColor="text1"/>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Pr>
              <w:rFonts w:cs="Times New Roman"/>
              <w:color w:val="000000" w:themeColor="text1"/>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themeColor="text1"/>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Pr>
              <w:rFonts w:cs="Times New Roman"/>
              <w:color w:val="000000" w:themeColor="text1"/>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themeColor="text1"/>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
          <w:id w:val="-701471147"/>
          <w:placeholder>
            <w:docPart w:val="DefaultPlaceholder_-1854013440"/>
          </w:placeholder>
        </w:sdtPr>
        <w:sdtContent>
          <w:r>
            <w:rPr>
              <w:rFonts w:cs="Times New Roman"/>
              <w:color w:val="000000" w:themeColor="text1"/>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774CF3EC" w14:textId="77777777" w:rsidR="00B86A12" w:rsidRDefault="00000000">
      <w:pPr>
        <w:pStyle w:val="Heading2"/>
        <w:numPr>
          <w:ilvl w:val="1"/>
          <w:numId w:val="11"/>
        </w:numPr>
      </w:pPr>
      <w:r>
        <w:t>Infrastructure constraints and technical limits</w:t>
      </w:r>
    </w:p>
    <w:p w14:paraId="5E369DD1" w14:textId="0AA96F8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1112098797"/>
          <w:placeholder>
            <w:docPart w:val="DefaultPlaceholder_-1854013440"/>
          </w:placeholder>
        </w:sdtPr>
        <w:sdtContent>
          <w:r>
            <w:rPr>
              <w:rFonts w:eastAsia="Times New Roman"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w:t>
      </w:r>
      <w:r>
        <w:lastRenderedPageBreak/>
        <w:t xml:space="preserve">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Pr>
              <w:rFonts w:cs="Times New Roman"/>
              <w:color w:val="000000"/>
            </w:rPr>
            <w:t>[16]</w:t>
          </w:r>
        </w:sdtContent>
      </w:sdt>
      <w:r>
        <w:t>. Taken together, these sources suggest that DER inequity should be understood as both a social and grid-infrastructure problem.</w:t>
      </w:r>
    </w:p>
    <w:p w14:paraId="70514925" w14:textId="77777777" w:rsidR="00B86A12" w:rsidRDefault="00000000">
      <w:pPr>
        <w:pStyle w:val="Heading2"/>
        <w:numPr>
          <w:ilvl w:val="1"/>
          <w:numId w:val="11"/>
        </w:numPr>
      </w:pPr>
      <w:r>
        <w:t>Other DERs, storage, flexible loads, and planning frameworks</w:t>
      </w:r>
    </w:p>
    <w:p w14:paraId="796FF1B2" w14:textId="1E07C4DE" w:rsidR="00B86A12" w:rsidRDefault="00000000" w:rsidP="00C4201B">
      <w:r>
        <w:t xml:space="preserve">Recent work also encourages expanding the equity conversation beyond solar PV alone. Clean Energy Group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Pr>
              <w:rFonts w:cs="Times New Roman"/>
              <w:color w:val="000000"/>
            </w:rPr>
            <w:t>[17]</w:t>
          </w:r>
        </w:sdtContent>
      </w:sdt>
      <w:r>
        <w:t>. Flexible-DER coordination work at NREL and related DOE planning studies shows how equity concerns can be embedded into operational and planning frameworks rather than treated as separate from system design. Stokes and Warshaw (2022), Borenstein and Bushnell (2016), Gridworks (2022), SEIA/Vote Solar community-solar critiques, CA Public Utilities Commission (CPUC) roadmap documents, and broader socio-technical planning papers all reinforce the same point: equitable DER deployment depends on both social cond</w:t>
      </w:r>
      <w:r>
        <w:t xml:space="preserve">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Pr>
              <w:rFonts w:cs="Times New Roman"/>
              <w:color w:val="000000"/>
            </w:rPr>
            <w:t>[18][19][20][21]</w:t>
          </w:r>
        </w:sdtContent>
      </w:sdt>
      <w:r>
        <w:rPr>
          <w:rFonts w:cs="Times New Roman"/>
          <w:color w:val="000000"/>
        </w:rPr>
        <w:t xml:space="preserve">. Storage and paired solar-storage systems also require separate attention because their adoption is shaped by resilience value, rebate design, and household capacity to finance 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Pr>
              <w:rFonts w:cs="Times New Roman"/>
              <w:color w:val="000000"/>
            </w:rPr>
            <w:t>[22]</w:t>
          </w:r>
        </w:sdtContent>
      </w:sdt>
      <w:r>
        <w:rPr>
          <w:rFonts w:cs="Times New Roman"/>
          <w:color w:val="000000"/>
        </w:rPr>
        <w:t>.</w:t>
      </w:r>
    </w:p>
    <w:p w14:paraId="56983106" w14:textId="5F79E5F3" w:rsidR="00B86A12" w:rsidRDefault="00000000">
      <w:pPr>
        <w:pStyle w:val="Heading2"/>
        <w:numPr>
          <w:ilvl w:val="1"/>
          <w:numId w:val="11"/>
        </w:numPr>
      </w:pPr>
      <w:r>
        <w:t>Gap and novel contribution</w:t>
      </w:r>
    </w:p>
    <w:p w14:paraId="279D9AA8" w14:textId="63A6C7BC" w:rsidR="00B86A12" w:rsidRDefault="00000000">
      <w:r>
        <w:t>Three gaps remain across these literatures. First, the equity evidence base is largely solar-specific. The studies that document racial disparities net of income (Sunter et al. 2019; Reames 2020; Darghouth et al. 2022) examine rooftop PV alone, so we do not know whether inequity is a property of solar adoption or a general feature of the DER transition. Second, work that looks beyond PV, such as storage as an equity asset (Clean Energy Group 2021) and hosting-capacity constraints (Brockway et al. 2021; Aydi</w:t>
      </w:r>
      <w:r>
        <w:t xml:space="preserve">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
          <w:id w:val="-1737225882"/>
          <w:placeholder>
            <w:docPart w:val="DefaultPlaceholder_-1854013440"/>
          </w:placeholder>
        </w:sdtPr>
        <w:sdtContent>
          <w:r>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Pr>
              <w:rFonts w:cs="Times New Roman"/>
              <w:color w:val="000000"/>
            </w:rPr>
            <w:t>[24]</w:t>
          </w:r>
        </w:sdtContent>
      </w:sdt>
      <w:r>
        <w:t>.</w:t>
      </w:r>
    </w:p>
    <w:p w14:paraId="182D8C40" w14:textId="1DD75A6C" w:rsidR="00663EFC" w:rsidRDefault="00000000" w:rsidP="004A7202">
      <w:r>
        <w:t xml:space="preserve">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w:t>
      </w:r>
      <w:r>
        <w:t>changes by technology, and infrastructural, in providing a replicable framework and dataset for future equity work.</w:t>
      </w:r>
    </w:p>
    <w:p w14:paraId="56ABCEE8" w14:textId="30C8C24C" w:rsidR="00663EFC" w:rsidRDefault="004A7202">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16ACAA42" w14:textId="77777777" w:rsidR="009B78FE" w:rsidRDefault="00000000" w:rsidP="003C3701">
      <w:pPr>
        <w:pStyle w:val="Heading1"/>
        <w:numPr>
          <w:ilvl w:val="0"/>
          <w:numId w:val="11"/>
        </w:numPr>
      </w:pPr>
      <w:r>
        <w:lastRenderedPageBreak/>
        <w:t>Data and Measures</w:t>
      </w:r>
    </w:p>
    <w:p w14:paraId="790C6669" w14:textId="77777777" w:rsidR="009B78FE" w:rsidRDefault="009B78FE" w:rsidP="009B78FE">
      <w:pPr>
        <w:pStyle w:val="Caption"/>
        <w:keepNext/>
      </w:pPr>
      <w:bookmarkStart w:id="1" w:name="_Ref_tbl1"/>
      <w:r>
        <w:t xml:space="preserve">Table </w:t>
      </w:r>
      <w:r>
        <w:fldChar w:fldCharType="begin"/>
      </w:r>
      <w:r>
        <w:instrText xml:space="preserve"> SEQ Table \* ARABIC </w:instrText>
      </w:r>
      <w:r>
        <w:fldChar w:fldCharType="separate"/>
      </w:r>
      <w:r>
        <w:t>1</w:t>
      </w:r>
      <w:r>
        <w:fldChar w:fldCharType="end"/>
      </w:r>
      <w:bookmarkEnd w:id="1"/>
      <w:r>
        <w:t>: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14:paraId="1CE1D700" w14:textId="77777777" w:rsidTr="000A7270">
        <w:tc>
          <w:tcPr>
            <w:tcW w:w="3360" w:type="dxa"/>
          </w:tcPr>
          <w:p w14:paraId="6BC1D270" w14:textId="77777777" w:rsidR="009B78FE" w:rsidRDefault="009B78FE" w:rsidP="000A7270">
            <w:r>
              <w:rPr>
                <w:b/>
              </w:rPr>
              <w:t>Variable</w:t>
            </w:r>
          </w:p>
        </w:tc>
        <w:tc>
          <w:tcPr>
            <w:tcW w:w="3360" w:type="dxa"/>
          </w:tcPr>
          <w:p w14:paraId="05B2FC1E" w14:textId="77777777" w:rsidR="009B78FE" w:rsidRDefault="009B78FE" w:rsidP="000A7270">
            <w:r>
              <w:rPr>
                <w:b/>
              </w:rPr>
              <w:t>Meaning</w:t>
            </w:r>
          </w:p>
        </w:tc>
        <w:tc>
          <w:tcPr>
            <w:tcW w:w="3360" w:type="dxa"/>
          </w:tcPr>
          <w:p w14:paraId="3E7EADE4" w14:textId="77777777" w:rsidR="009B78FE" w:rsidRDefault="009B78FE" w:rsidP="000A7270">
            <w:r>
              <w:rPr>
                <w:b/>
              </w:rPr>
              <w:t>Scale / notes</w:t>
            </w:r>
          </w:p>
        </w:tc>
      </w:tr>
      <w:tr w:rsidR="009B78FE" w14:paraId="59DF3476" w14:textId="77777777" w:rsidTr="000A7270">
        <w:tc>
          <w:tcPr>
            <w:tcW w:w="3360" w:type="dxa"/>
          </w:tcPr>
          <w:p w14:paraId="1F01E64E" w14:textId="77777777" w:rsidR="009B78FE" w:rsidRDefault="009B78FE" w:rsidP="000A7270">
            <w:r>
              <w:rPr>
                <w:rFonts w:ascii="Courier New" w:hAnsi="Courier New"/>
                <w:sz w:val="18"/>
              </w:rPr>
              <w:t>y_pv</w:t>
            </w:r>
          </w:p>
        </w:tc>
        <w:tc>
          <w:tcPr>
            <w:tcW w:w="3360" w:type="dxa"/>
          </w:tcPr>
          <w:p w14:paraId="26ED06DE" w14:textId="77777777" w:rsidR="009B78FE" w:rsidRDefault="009B78FE" w:rsidP="000A7270">
            <w:r>
              <w:t>Solar PV deployment intensity</w:t>
            </w:r>
          </w:p>
        </w:tc>
        <w:tc>
          <w:tcPr>
            <w:tcW w:w="3360" w:type="dxa"/>
          </w:tcPr>
          <w:p w14:paraId="6E2D45E4" w14:textId="77777777" w:rsidR="009B78FE" w:rsidRDefault="009B78FE" w:rsidP="000A7270">
            <w:r>
              <w:rPr>
                <w:rFonts w:ascii="Courier New" w:hAnsi="Courier New"/>
                <w:sz w:val="18"/>
              </w:rPr>
              <w:t>log(1 + PV kW DC per 1,000 residents)</w:t>
            </w:r>
          </w:p>
        </w:tc>
      </w:tr>
      <w:tr w:rsidR="009B78FE" w14:paraId="784690F5" w14:textId="77777777" w:rsidTr="000A7270">
        <w:tc>
          <w:tcPr>
            <w:tcW w:w="3360" w:type="dxa"/>
          </w:tcPr>
          <w:p w14:paraId="62EC7DA3" w14:textId="77777777" w:rsidR="009B78FE" w:rsidRDefault="009B78FE" w:rsidP="000A7270">
            <w:r>
              <w:rPr>
                <w:rFonts w:ascii="Courier New" w:hAnsi="Courier New"/>
                <w:sz w:val="18"/>
              </w:rPr>
              <w:t>y_storage</w:t>
            </w:r>
          </w:p>
        </w:tc>
        <w:tc>
          <w:tcPr>
            <w:tcW w:w="3360" w:type="dxa"/>
          </w:tcPr>
          <w:p w14:paraId="259CD033" w14:textId="77777777" w:rsidR="009B78FE" w:rsidRDefault="009B78FE" w:rsidP="000A7270">
            <w:r>
              <w:t>Battery storage deployment intensity</w:t>
            </w:r>
          </w:p>
        </w:tc>
        <w:tc>
          <w:tcPr>
            <w:tcW w:w="3360" w:type="dxa"/>
          </w:tcPr>
          <w:p w14:paraId="0BEC0348" w14:textId="77777777" w:rsidR="009B78FE" w:rsidRDefault="009B78FE" w:rsidP="000A7270">
            <w:r>
              <w:rPr>
                <w:rFonts w:ascii="Courier New" w:hAnsi="Courier New"/>
                <w:sz w:val="18"/>
              </w:rPr>
              <w:t>log(1 + storage MW per 100,000 residents)</w:t>
            </w:r>
          </w:p>
        </w:tc>
      </w:tr>
      <w:tr w:rsidR="009B78FE" w14:paraId="767E05C3" w14:textId="77777777" w:rsidTr="000A7270">
        <w:tc>
          <w:tcPr>
            <w:tcW w:w="3360" w:type="dxa"/>
          </w:tcPr>
          <w:p w14:paraId="463402DC" w14:textId="77777777" w:rsidR="009B78FE" w:rsidRDefault="009B78FE" w:rsidP="000A7270">
            <w:r>
              <w:rPr>
                <w:rFonts w:ascii="Courier New" w:hAnsi="Courier New"/>
                <w:sz w:val="18"/>
              </w:rPr>
              <w:t>y_chargers</w:t>
            </w:r>
          </w:p>
        </w:tc>
        <w:tc>
          <w:tcPr>
            <w:tcW w:w="3360" w:type="dxa"/>
          </w:tcPr>
          <w:p w14:paraId="545E9580" w14:textId="77777777" w:rsidR="009B78FE" w:rsidRDefault="009B78FE" w:rsidP="000A7270">
            <w:r>
              <w:t>EV charging availability</w:t>
            </w:r>
          </w:p>
        </w:tc>
        <w:tc>
          <w:tcPr>
            <w:tcW w:w="3360" w:type="dxa"/>
          </w:tcPr>
          <w:p w14:paraId="4B9A38B3" w14:textId="77777777" w:rsidR="009B78FE" w:rsidRDefault="009B78FE" w:rsidP="000A7270">
            <w:r>
              <w:rPr>
                <w:rFonts w:ascii="Courier New" w:hAnsi="Courier New"/>
                <w:sz w:val="18"/>
              </w:rPr>
              <w:t>log(1 + total chargers per 1,000 residents)</w:t>
            </w:r>
          </w:p>
        </w:tc>
      </w:tr>
      <w:tr w:rsidR="009B78FE" w14:paraId="3B75B25E" w14:textId="77777777" w:rsidTr="000A7270">
        <w:tc>
          <w:tcPr>
            <w:tcW w:w="3360" w:type="dxa"/>
          </w:tcPr>
          <w:p w14:paraId="5BB008C4" w14:textId="77777777" w:rsidR="009B78FE" w:rsidRDefault="009B78FE" w:rsidP="000A7270">
            <w:r>
              <w:rPr>
                <w:rFonts w:ascii="Courier New" w:hAnsi="Courier New"/>
                <w:sz w:val="18"/>
              </w:rPr>
              <w:t>pct_black</w:t>
            </w:r>
          </w:p>
        </w:tc>
        <w:tc>
          <w:tcPr>
            <w:tcW w:w="3360" w:type="dxa"/>
          </w:tcPr>
          <w:p w14:paraId="0B4D3BDF" w14:textId="77777777" w:rsidR="009B78FE" w:rsidRDefault="009B78FE" w:rsidP="000A7270">
            <w:r>
              <w:t>Share of ZIP/ZCTA population identifying as Black</w:t>
            </w:r>
          </w:p>
        </w:tc>
        <w:tc>
          <w:tcPr>
            <w:tcW w:w="3360" w:type="dxa"/>
          </w:tcPr>
          <w:p w14:paraId="2CFE865F" w14:textId="77777777" w:rsidR="009B78FE" w:rsidRDefault="009B78FE" w:rsidP="000A7270">
            <w:r>
              <w:t>ACS 2023 5-year estimate</w:t>
            </w:r>
          </w:p>
        </w:tc>
      </w:tr>
      <w:tr w:rsidR="009B78FE" w14:paraId="7EEFE99D" w14:textId="77777777" w:rsidTr="000A7270">
        <w:tc>
          <w:tcPr>
            <w:tcW w:w="3360" w:type="dxa"/>
          </w:tcPr>
          <w:p w14:paraId="2D48A168" w14:textId="77777777" w:rsidR="009B78FE" w:rsidRDefault="009B78FE" w:rsidP="000A7270">
            <w:r>
              <w:rPr>
                <w:rFonts w:ascii="Courier New" w:hAnsi="Courier New"/>
                <w:sz w:val="18"/>
              </w:rPr>
              <w:t>pct_hispanic</w:t>
            </w:r>
          </w:p>
        </w:tc>
        <w:tc>
          <w:tcPr>
            <w:tcW w:w="3360" w:type="dxa"/>
          </w:tcPr>
          <w:p w14:paraId="5664E3C7" w14:textId="77777777" w:rsidR="009B78FE" w:rsidRDefault="009B78FE" w:rsidP="000A7270">
            <w:r>
              <w:t>Share of ZIP/ZCTA population identifying as Hispanic or Latino</w:t>
            </w:r>
          </w:p>
        </w:tc>
        <w:tc>
          <w:tcPr>
            <w:tcW w:w="3360" w:type="dxa"/>
          </w:tcPr>
          <w:p w14:paraId="778330B1" w14:textId="77777777" w:rsidR="009B78FE" w:rsidRDefault="009B78FE" w:rsidP="000A7270">
            <w:r>
              <w:t>ACS 2023 5-year estimate</w:t>
            </w:r>
          </w:p>
        </w:tc>
      </w:tr>
      <w:tr w:rsidR="009B78FE" w14:paraId="748C7BA4" w14:textId="77777777" w:rsidTr="000A7270">
        <w:tc>
          <w:tcPr>
            <w:tcW w:w="3360" w:type="dxa"/>
          </w:tcPr>
          <w:p w14:paraId="54E21ADA" w14:textId="77777777" w:rsidR="009B78FE" w:rsidRDefault="009B78FE" w:rsidP="000A7270">
            <w:r>
              <w:rPr>
                <w:rFonts w:ascii="Courier New" w:hAnsi="Courier New"/>
                <w:sz w:val="18"/>
              </w:rPr>
              <w:t>pct_asian</w:t>
            </w:r>
          </w:p>
        </w:tc>
        <w:tc>
          <w:tcPr>
            <w:tcW w:w="3360" w:type="dxa"/>
          </w:tcPr>
          <w:p w14:paraId="012D0FEA" w14:textId="77777777" w:rsidR="009B78FE" w:rsidRDefault="009B78FE" w:rsidP="000A7270">
            <w:r>
              <w:t>Share of ZIP/ZCTA population identifying as Asian</w:t>
            </w:r>
          </w:p>
        </w:tc>
        <w:tc>
          <w:tcPr>
            <w:tcW w:w="3360" w:type="dxa"/>
          </w:tcPr>
          <w:p w14:paraId="38C83B02" w14:textId="77777777" w:rsidR="009B78FE" w:rsidRDefault="009B78FE" w:rsidP="000A7270">
            <w:r>
              <w:t>ACS 2023 5-year estimate</w:t>
            </w:r>
          </w:p>
        </w:tc>
      </w:tr>
      <w:tr w:rsidR="009B78FE" w14:paraId="5B670451" w14:textId="77777777" w:rsidTr="000A7270">
        <w:tc>
          <w:tcPr>
            <w:tcW w:w="3360" w:type="dxa"/>
          </w:tcPr>
          <w:p w14:paraId="4C70258F" w14:textId="77777777" w:rsidR="009B78FE" w:rsidRDefault="009B78FE" w:rsidP="000A7270">
            <w:r>
              <w:rPr>
                <w:rFonts w:ascii="Courier New" w:hAnsi="Courier New"/>
                <w:sz w:val="18"/>
              </w:rPr>
              <w:t>log_median_household_income</w:t>
            </w:r>
          </w:p>
        </w:tc>
        <w:tc>
          <w:tcPr>
            <w:tcW w:w="3360" w:type="dxa"/>
          </w:tcPr>
          <w:p w14:paraId="055DB6D8" w14:textId="77777777" w:rsidR="009B78FE" w:rsidRDefault="009B78FE" w:rsidP="000A7270">
            <w:r>
              <w:t>Logged median household income</w:t>
            </w:r>
          </w:p>
        </w:tc>
        <w:tc>
          <w:tcPr>
            <w:tcW w:w="3360" w:type="dxa"/>
          </w:tcPr>
          <w:p w14:paraId="773C326A" w14:textId="77777777" w:rsidR="009B78FE" w:rsidRDefault="009B78FE" w:rsidP="000A7270">
            <w:r>
              <w:t>Socioeconomic/adoption-capacity proxy</w:t>
            </w:r>
          </w:p>
        </w:tc>
      </w:tr>
      <w:tr w:rsidR="009B78FE" w14:paraId="5441003C" w14:textId="77777777" w:rsidTr="000A7270">
        <w:tc>
          <w:tcPr>
            <w:tcW w:w="3360" w:type="dxa"/>
          </w:tcPr>
          <w:p w14:paraId="1A1D825A" w14:textId="77777777" w:rsidR="009B78FE" w:rsidRDefault="009B78FE" w:rsidP="000A7270">
            <w:r>
              <w:rPr>
                <w:rFonts w:ascii="Courier New" w:hAnsi="Courier New"/>
                <w:sz w:val="18"/>
              </w:rPr>
              <w:t>poverty_rate</w:t>
            </w:r>
          </w:p>
        </w:tc>
        <w:tc>
          <w:tcPr>
            <w:tcW w:w="3360" w:type="dxa"/>
          </w:tcPr>
          <w:p w14:paraId="791E71E3" w14:textId="77777777" w:rsidR="009B78FE" w:rsidRDefault="009B78FE" w:rsidP="000A7270">
            <w:r>
              <w:t>Share of residents below the poverty line</w:t>
            </w:r>
          </w:p>
        </w:tc>
        <w:tc>
          <w:tcPr>
            <w:tcW w:w="3360" w:type="dxa"/>
          </w:tcPr>
          <w:p w14:paraId="2003FE57" w14:textId="77777777" w:rsidR="009B78FE" w:rsidRDefault="009B78FE" w:rsidP="000A7270">
            <w:r>
              <w:t>Socioeconomic control</w:t>
            </w:r>
          </w:p>
        </w:tc>
      </w:tr>
      <w:tr w:rsidR="009B78FE" w14:paraId="7AE54DD1" w14:textId="77777777" w:rsidTr="000A7270">
        <w:tc>
          <w:tcPr>
            <w:tcW w:w="3360" w:type="dxa"/>
          </w:tcPr>
          <w:p w14:paraId="5CB2D337" w14:textId="77777777" w:rsidR="009B78FE" w:rsidRDefault="009B78FE" w:rsidP="000A7270">
            <w:r>
              <w:rPr>
                <w:rFonts w:ascii="Courier New" w:hAnsi="Courier New"/>
                <w:sz w:val="18"/>
              </w:rPr>
              <w:t>pct_bachelors_plus</w:t>
            </w:r>
          </w:p>
        </w:tc>
        <w:tc>
          <w:tcPr>
            <w:tcW w:w="3360" w:type="dxa"/>
          </w:tcPr>
          <w:p w14:paraId="535DC184" w14:textId="77777777" w:rsidR="009B78FE" w:rsidRDefault="009B78FE" w:rsidP="000A7270">
            <w:r>
              <w:t>Share of adults with a bachelor’s degree or higher</w:t>
            </w:r>
          </w:p>
        </w:tc>
        <w:tc>
          <w:tcPr>
            <w:tcW w:w="3360" w:type="dxa"/>
          </w:tcPr>
          <w:p w14:paraId="4ED5CB4E" w14:textId="77777777" w:rsidR="009B78FE" w:rsidRDefault="009B78FE" w:rsidP="000A7270">
            <w:r>
              <w:t>Education and adoption-capacity control</w:t>
            </w:r>
          </w:p>
        </w:tc>
      </w:tr>
      <w:tr w:rsidR="009B78FE" w14:paraId="450A5050" w14:textId="77777777" w:rsidTr="000A7270">
        <w:tc>
          <w:tcPr>
            <w:tcW w:w="3360" w:type="dxa"/>
          </w:tcPr>
          <w:p w14:paraId="49E74D00" w14:textId="77777777" w:rsidR="009B78FE" w:rsidRDefault="009B78FE" w:rsidP="000A7270">
            <w:r>
              <w:rPr>
                <w:rFonts w:ascii="Courier New" w:hAnsi="Courier New"/>
                <w:sz w:val="18"/>
              </w:rPr>
              <w:t>ghi_mean_kwh_m2_day_2023</w:t>
            </w:r>
          </w:p>
        </w:tc>
        <w:tc>
          <w:tcPr>
            <w:tcW w:w="3360" w:type="dxa"/>
          </w:tcPr>
          <w:p w14:paraId="4981DF6D" w14:textId="77777777" w:rsidR="009B78FE" w:rsidRDefault="009B78FE" w:rsidP="000A7270">
            <w:r>
              <w:t>Mean daily global horizontal irradiance</w:t>
            </w:r>
          </w:p>
        </w:tc>
        <w:tc>
          <w:tcPr>
            <w:tcW w:w="3360" w:type="dxa"/>
          </w:tcPr>
          <w:p w14:paraId="16653E0E" w14:textId="77777777" w:rsidR="009B78FE" w:rsidRDefault="009B78FE" w:rsidP="000A7270">
            <w:r>
              <w:t>Solar resource / physical suitability control</w:t>
            </w:r>
          </w:p>
        </w:tc>
      </w:tr>
      <w:tr w:rsidR="009B78FE" w14:paraId="78206930" w14:textId="77777777" w:rsidTr="000A7270">
        <w:tc>
          <w:tcPr>
            <w:tcW w:w="3360" w:type="dxa"/>
          </w:tcPr>
          <w:p w14:paraId="37B7F3DD" w14:textId="77777777" w:rsidR="009B78FE" w:rsidRDefault="009B78FE" w:rsidP="000A7270">
            <w:r>
              <w:rPr>
                <w:rFonts w:ascii="Courier New" w:hAnsi="Courier New"/>
                <w:sz w:val="18"/>
              </w:rPr>
              <w:t>cdd65_2023</w:t>
            </w:r>
          </w:p>
        </w:tc>
        <w:tc>
          <w:tcPr>
            <w:tcW w:w="3360" w:type="dxa"/>
          </w:tcPr>
          <w:p w14:paraId="27134738" w14:textId="77777777" w:rsidR="009B78FE" w:rsidRDefault="009B78FE" w:rsidP="000A7270">
            <w:r>
              <w:t>Cooling degree days relative to 65°F</w:t>
            </w:r>
          </w:p>
        </w:tc>
        <w:tc>
          <w:tcPr>
            <w:tcW w:w="3360" w:type="dxa"/>
          </w:tcPr>
          <w:p w14:paraId="299FF255" w14:textId="77777777" w:rsidR="009B78FE" w:rsidRDefault="009B78FE" w:rsidP="000A7270">
            <w:r>
              <w:t>Climate control</w:t>
            </w:r>
          </w:p>
        </w:tc>
      </w:tr>
      <w:tr w:rsidR="009B78FE" w14:paraId="585F430D" w14:textId="77777777" w:rsidTr="000A7270">
        <w:tc>
          <w:tcPr>
            <w:tcW w:w="3360" w:type="dxa"/>
          </w:tcPr>
          <w:p w14:paraId="0E704D21" w14:textId="77777777" w:rsidR="009B78FE" w:rsidRDefault="009B78FE" w:rsidP="000A7270">
            <w:r>
              <w:rPr>
                <w:rFonts w:ascii="Courier New" w:hAnsi="Courier New"/>
                <w:sz w:val="18"/>
              </w:rPr>
              <w:t>hdd65_2023</w:t>
            </w:r>
          </w:p>
        </w:tc>
        <w:tc>
          <w:tcPr>
            <w:tcW w:w="3360" w:type="dxa"/>
          </w:tcPr>
          <w:p w14:paraId="054B93AE" w14:textId="77777777" w:rsidR="009B78FE" w:rsidRDefault="009B78FE" w:rsidP="000A7270">
            <w:r>
              <w:t>Heating degree days relative to 65°F</w:t>
            </w:r>
          </w:p>
        </w:tc>
        <w:tc>
          <w:tcPr>
            <w:tcW w:w="3360" w:type="dxa"/>
          </w:tcPr>
          <w:p w14:paraId="3F6D1F87" w14:textId="77777777" w:rsidR="009B78FE" w:rsidRDefault="009B78FE" w:rsidP="000A7270">
            <w:r>
              <w:t>Climate control</w:t>
            </w:r>
          </w:p>
        </w:tc>
      </w:tr>
      <w:tr w:rsidR="009B78FE" w14:paraId="0D1D1BA1" w14:textId="77777777" w:rsidTr="000A7270">
        <w:tc>
          <w:tcPr>
            <w:tcW w:w="3360" w:type="dxa"/>
          </w:tcPr>
          <w:p w14:paraId="599C2EBA" w14:textId="77777777" w:rsidR="009B78FE" w:rsidRDefault="009B78FE" w:rsidP="000A7270">
            <w:r>
              <w:rPr>
                <w:rFonts w:ascii="Courier New" w:hAnsi="Courier New"/>
                <w:sz w:val="18"/>
              </w:rPr>
              <w:t>log_kwh</w:t>
            </w:r>
          </w:p>
        </w:tc>
        <w:tc>
          <w:tcPr>
            <w:tcW w:w="3360" w:type="dxa"/>
          </w:tcPr>
          <w:p w14:paraId="57B969B7" w14:textId="77777777" w:rsidR="009B78FE" w:rsidRDefault="009B78FE" w:rsidP="000A7270">
            <w:r>
              <w:t>Logged annual electricity consumption</w:t>
            </w:r>
          </w:p>
        </w:tc>
        <w:tc>
          <w:tcPr>
            <w:tcW w:w="3360" w:type="dxa"/>
          </w:tcPr>
          <w:p w14:paraId="7F196AA4" w14:textId="77777777" w:rsidR="009B78FE" w:rsidRDefault="009B78FE" w:rsidP="000A7270">
            <w:r>
              <w:t>Demand/load proxy</w:t>
            </w:r>
          </w:p>
        </w:tc>
      </w:tr>
      <w:tr w:rsidR="009B78FE" w14:paraId="6E247DF6" w14:textId="77777777" w:rsidTr="000A7270">
        <w:tc>
          <w:tcPr>
            <w:tcW w:w="3360" w:type="dxa"/>
          </w:tcPr>
          <w:p w14:paraId="30B9A151"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5C6E723F" w14:textId="77777777" w:rsidR="009B78FE" w:rsidRDefault="009B78FE" w:rsidP="000A7270">
            <w:r>
              <w:t>Household energy burden</w:t>
            </w:r>
          </w:p>
        </w:tc>
        <w:tc>
          <w:tcPr>
            <w:tcW w:w="3360" w:type="dxa"/>
          </w:tcPr>
          <w:p w14:paraId="1421C237" w14:textId="77777777" w:rsidR="009B78FE" w:rsidRDefault="009B78FE" w:rsidP="000A7270">
            <w:r>
              <w:t>ZIP-level energy costs as a share of income; used in the energy-burden outcome model</w:t>
            </w:r>
          </w:p>
        </w:tc>
      </w:tr>
      <w:tr w:rsidR="009B78FE" w14:paraId="27E25240" w14:textId="77777777" w:rsidTr="000A7270">
        <w:tc>
          <w:tcPr>
            <w:tcW w:w="3360" w:type="dxa"/>
          </w:tcPr>
          <w:p w14:paraId="0901393C"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0EFD77CF" w14:textId="77777777" w:rsidR="009B78FE" w:rsidRDefault="009B78FE" w:rsidP="000A7270">
            <w:r>
              <w:t>Logged per-capita energy affordability gap</w:t>
            </w:r>
          </w:p>
        </w:tc>
        <w:tc>
          <w:tcPr>
            <w:tcW w:w="3360" w:type="dxa"/>
          </w:tcPr>
          <w:p w14:paraId="2CE9FED7" w14:textId="77777777" w:rsidR="009B78FE" w:rsidRDefault="009B78FE" w:rsidP="000A7270">
            <w:r>
              <w:t>Scale-adjusted burden-gap measure used alongside energy_burden_pct</w:t>
            </w:r>
          </w:p>
        </w:tc>
      </w:tr>
    </w:tbl>
    <w:p w14:paraId="776F3EE6" w14:textId="49C47CED" w:rsidR="00B86A12" w:rsidRDefault="00000000" w:rsidP="003C3701">
      <w:pPr>
        <w:pStyle w:val="Heading2"/>
        <w:numPr>
          <w:ilvl w:val="1"/>
          <w:numId w:val="11"/>
        </w:numPr>
      </w:pPr>
      <w:r>
        <w:rPr>
          <w:rStyle w:val="Heading2Char"/>
          <w:b/>
          <w:bCs/>
        </w:rPr>
        <w:t>Unit of analysis</w:t>
      </w:r>
    </w:p>
    <w:p w14:paraId="01CCE99B" w14:textId="77E5593D" w:rsidR="00B86A12" w:rsidRDefault="00000000">
      <w:r>
        <w:t xml:space="preserve">The unit of analysis is the ZIP-code level, implemented using Census ZIP Code Tabulation Areas (ZCTAs), </w:t>
      </w:r>
      <w:r>
        <w:rPr>
          <w:highlight w:val="yellow"/>
        </w:rPr>
        <w:t xml:space="preserve"> </w:t>
      </w:r>
      <w:r>
        <w:t>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w:t>
      </w:r>
      <w:r>
        <w:t xml:space="preserve">rols are defined in </w:t>
      </w:r>
      <w:r>
        <w:fldChar w:fldCharType="begin"/>
      </w:r>
      <w:r>
        <w:instrText xml:space="preserve"> REF _Ref_tbl1 \h </w:instrText>
      </w:r>
      <w:r>
        <w:fldChar w:fldCharType="separate"/>
      </w:r>
      <w:r>
        <w:t>Table 1</w:t>
      </w:r>
      <w:r>
        <w:fldChar w:fldCharType="end"/>
      </w:r>
      <w:r>
        <w:t>.</w:t>
      </w:r>
    </w:p>
    <w:p w14:paraId="2D2A8FF0" w14:textId="77777777" w:rsidR="00B86A12" w:rsidRDefault="00000000">
      <w:pPr>
        <w:pStyle w:val="Heading2"/>
        <w:numPr>
          <w:ilvl w:val="1"/>
          <w:numId w:val="11"/>
        </w:numPr>
      </w:pPr>
      <w:r>
        <w:t>Outcomes</w:t>
      </w:r>
    </w:p>
    <w:p w14:paraId="54E0BF9B" w14:textId="38E88646" w:rsidR="00B86A12" w:rsidRDefault="00000000">
      <w:bookmarkStart w:id="2" w:name="OLE_LINK1"/>
      <w:r>
        <w:t>To make outcomes comparable across technologies, each DER measure is converted into a population-normalized intensity metric and then transformed using</w:t>
      </w:r>
      <w:r>
        <w:rPr>
          <w:rFonts w:ascii="Courier New" w:hAnsi="Courier New"/>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r>
                  <w:rPr>
                    <w:rFonts w:ascii="Cambria Math" w:hAnsi="Cambria Math"/>
                  </w:rPr>
                  <m:t>rate</m:t>
                </m:r>
              </m:e>
            </m:d>
          </m:e>
        </m:func>
      </m:oMath>
      <w:r>
        <w:rPr>
          <w:rFonts w:ascii="Courier New" w:hAnsi="Courier New"/>
        </w:rPr>
        <w:t xml:space="preserve"> </w:t>
      </w:r>
      <w:r>
        <w:rPr>
          <w:rFonts w:cs="Times New Roman"/>
        </w:rPr>
        <w:t xml:space="preserve">where </w:t>
      </w:r>
      <m:oMath>
        <m:r>
          <w:rPr>
            <w:rFonts w:ascii="Cambria Math" w:hAnsi="Cambria Math" w:cs="Times New Roman"/>
          </w:rPr>
          <m:t>rate</m:t>
        </m:r>
      </m:oMath>
      <w:r>
        <w:t xml:space="preserve"> is the per-capita DER deployment metric.</w:t>
      </w:r>
      <w:bookmarkEnd w:id="2"/>
      <w:r>
        <w:t xml:space="preserve"> The three primary outcomes are </w:t>
      </w:r>
      <w:r>
        <w:rPr>
          <w:rFonts w:ascii="Courier New" w:hAnsi="Courier New"/>
          <w:sz w:val="18"/>
        </w:rPr>
        <w:t>y_chargers</w:t>
      </w:r>
      <w:r>
        <w:t>, based on total chargers per 1,000 residents;</w:t>
      </w:r>
      <w:r>
        <w:rPr>
          <w:rFonts w:ascii="Courier New" w:hAnsi="Courier New"/>
          <w:sz w:val="18"/>
        </w:rPr>
        <w:t xml:space="preserve"> y_pv</w:t>
      </w:r>
      <w:r>
        <w:t>, based on PV system size in kW DC per 1,000 residents; and</w:t>
      </w:r>
      <w:r>
        <w:rPr>
          <w:rFonts w:ascii="Courier New" w:hAnsi="Courier New"/>
          <w:sz w:val="18"/>
        </w:rPr>
        <w:t xml:space="preserve"> y_storage</w:t>
      </w:r>
      <w:r>
        <w:t xml:space="preserve">, based on storage capacity in MW per 100,000 </w:t>
      </w:r>
      <w:r>
        <w:t>residents. Supplementary analysis also examines charger subtypes and a wind-capacity outcome used as contextual evidence rather than as a headline policy result.</w:t>
      </w:r>
    </w:p>
    <w:p w14:paraId="4D2390D9" w14:textId="77777777" w:rsidR="00B86A12" w:rsidRDefault="00000000">
      <w:pPr>
        <w:pStyle w:val="Heading2"/>
        <w:numPr>
          <w:ilvl w:val="1"/>
          <w:numId w:val="11"/>
        </w:numPr>
      </w:pPr>
      <w:r>
        <w:lastRenderedPageBreak/>
        <w:t>Key predictors</w:t>
      </w:r>
    </w:p>
    <w:p w14:paraId="6878B21E" w14:textId="022DE58B" w:rsidR="00B86A12" w:rsidRDefault="00000000">
      <w:r>
        <w:t>The main explanatory variables fall into two categories. The first is racial and ethnic composition, measured using ZIP/ZCTA population shares such as</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The second is socioeconomic status, including</w:t>
      </w:r>
      <w:r>
        <w:rPr>
          <w:rFonts w:ascii="Courier New" w:hAnsi="Courier New"/>
          <w:sz w:val="18"/>
        </w:rPr>
        <w:t xml:space="preserve"> log_median_household_income</w:t>
      </w:r>
      <w:r>
        <w:t>,</w:t>
      </w:r>
      <w:r>
        <w:rPr>
          <w:rFonts w:ascii="Courier New" w:hAnsi="Courier New"/>
          <w:sz w:val="18"/>
        </w:rPr>
        <w:t xml:space="preserve"> poverty_rate</w:t>
      </w:r>
      <w:r>
        <w:t>, and in expanded specifications variables such as educational attainment and housing value. For descriptive smoothing plots, we also use a combined non-white share equal to the sum of the Black, Hispanic, and Asian shares in the merged ACS export.</w:t>
      </w:r>
    </w:p>
    <w:p w14:paraId="79560834" w14:textId="77777777" w:rsidR="00B86A12" w:rsidRDefault="00000000">
      <w:pPr>
        <w:pStyle w:val="Heading2"/>
        <w:numPr>
          <w:ilvl w:val="1"/>
          <w:numId w:val="11"/>
        </w:numPr>
      </w:pPr>
      <w:r>
        <w:t>Controls</w:t>
      </w:r>
    </w:p>
    <w:p w14:paraId="48796E5D" w14:textId="313D694D" w:rsidR="00B86A12" w:rsidRDefault="00000000">
      <w: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w:t>
      </w:r>
      <w:r>
        <w:t>rid infrastructure or hosting capacity. The study’s conceptual framing treats DERs as behind-the-meter resources with capacities below 5 MW, but several source-specific cleaning steps use tighter thresholds in the code. The empirical analysis, therefore, uses the processed dataset built by the workflow rather than applying a different threshold to each raw source.</w:t>
      </w:r>
    </w:p>
    <w:p w14:paraId="2F285EC2" w14:textId="77777777" w:rsidR="00F121D0" w:rsidRDefault="009611E9" w:rsidP="00F121D0">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stretch>
                      <a:fillRect/>
                    </a:stretch>
                  </pic:blipFill>
                  <pic:spPr>
                    <a:xfrm>
                      <a:off x="0" y="0"/>
                      <a:ext cx="5622640" cy="3917999"/>
                    </a:xfrm>
                    <a:prstGeom prst="rect">
                      <a:avLst/>
                    </a:prstGeom>
                  </pic:spPr>
                </pic:pic>
              </a:graphicData>
            </a:graphic>
          </wp:inline>
        </w:drawing>
      </w:r>
    </w:p>
    <w:p w14:paraId="758BB009" w14:textId="047A8A9F" w:rsidR="00B86A12" w:rsidRDefault="00F121D0" w:rsidP="00F121D0">
      <w:pPr>
        <w:pStyle w:val="Caption"/>
        <w:jc w:val="center"/>
      </w:pPr>
      <w:bookmarkStart w:id="3" w:name="_Ref_fig1"/>
      <w:r>
        <w:t xml:space="preserve">Figure </w:t>
      </w:r>
      <w:r w:rsidR="00893723">
        <w:fldChar w:fldCharType="begin"/>
      </w:r>
      <w:r w:rsidR="00893723">
        <w:instrText xml:space="preserve"> SEQ Figure \* ARABIC </w:instrText>
      </w:r>
      <w:r w:rsidR="00893723">
        <w:fldChar w:fldCharType="separate"/>
      </w:r>
      <w:r w:rsidR="00893723">
        <w:rPr>
          <w:noProof/>
        </w:rPr>
        <w:t>1</w:t>
      </w:r>
      <w:r w:rsidR="00893723">
        <w:rPr>
          <w:noProof/>
        </w:rPr>
        <w:fldChar w:fldCharType="end"/>
      </w:r>
      <w:bookmarkEnd w:id="3"/>
      <w:r>
        <w:t>: Baseline California ZIP/ZCTA geography for rooftop PV, storage, and aggregate EV charging. As shown here, deployment is spatially uneven before any regression adjustments are introduced. Blank areas indicate missing or excluded observations.</w:t>
      </w:r>
    </w:p>
    <w:p w14:paraId="4C31183E" w14:textId="77777777" w:rsidR="00B86A12" w:rsidRDefault="00000000">
      <w:pPr>
        <w:pStyle w:val="Heading2"/>
        <w:numPr>
          <w:ilvl w:val="1"/>
          <w:numId w:val="11"/>
        </w:numPr>
      </w:pPr>
      <w:r>
        <w:t>Descriptive distributions</w:t>
      </w:r>
    </w:p>
    <w:p w14:paraId="127BCF8E" w14:textId="1FCD42FE"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w:t>
      </w:r>
      <w:r>
        <w:lastRenderedPageBreak/>
        <w:t>analysis sample numerically so that the later model comparisons can be interpreted relative to the observed scale of the data.</w:t>
      </w:r>
    </w:p>
    <w:p w14:paraId="31ACA927" w14:textId="77777777" w:rsidR="00F121D0" w:rsidRDefault="009611E9" w:rsidP="00F121D0">
      <w:pPr>
        <w:keepNext/>
        <w:jc w:val="center"/>
      </w:pPr>
      <w:r>
        <w:rPr>
          <w:noProof/>
        </w:rPr>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7"/>
                    <a:stretch>
                      <a:fillRect/>
                    </a:stretch>
                  </pic:blipFill>
                  <pic:spPr>
                    <a:xfrm>
                      <a:off x="0" y="0"/>
                      <a:ext cx="6400800" cy="3474720"/>
                    </a:xfrm>
                    <a:prstGeom prst="rect">
                      <a:avLst/>
                    </a:prstGeom>
                  </pic:spPr>
                </pic:pic>
              </a:graphicData>
            </a:graphic>
          </wp:inline>
        </w:drawing>
      </w:r>
    </w:p>
    <w:p w14:paraId="4BA31E86" w14:textId="1A05B47C" w:rsidR="00EF7D9A" w:rsidRDefault="00F121D0" w:rsidP="009B78FE">
      <w:pPr>
        <w:pStyle w:val="Caption"/>
        <w:jc w:val="center"/>
      </w:pPr>
      <w:bookmarkStart w:id="4" w:name="_Ref_fig2"/>
      <w:r>
        <w:t xml:space="preserve">Figure </w:t>
      </w:r>
      <w:r w:rsidR="00893723">
        <w:fldChar w:fldCharType="begin"/>
      </w:r>
      <w:r w:rsidR="00893723">
        <w:instrText xml:space="preserve"> SEQ Figure \* ARABIC </w:instrText>
      </w:r>
      <w:r w:rsidR="00893723">
        <w:fldChar w:fldCharType="separate"/>
      </w:r>
      <w:r w:rsidR="00893723">
        <w:rPr>
          <w:noProof/>
        </w:rPr>
        <w:t>2</w:t>
      </w:r>
      <w:r w:rsidR="00893723">
        <w:rPr>
          <w:noProof/>
        </w:rPr>
        <w:fldChar w:fldCharType="end"/>
      </w:r>
      <w:bookmarkEnd w:id="4"/>
      <w:r>
        <w:t>: Descriptive distributions for raw DER deployment rates together with median household income and poverty rate. The figure is included as an EDA bridge so readers can see the underlying spread in deployment and neighborhood conditions.</w:t>
      </w:r>
    </w:p>
    <w:p w14:paraId="45C3E7BE" w14:textId="4BD6DA10" w:rsidR="00F121D0" w:rsidRDefault="00F121D0" w:rsidP="00F121D0">
      <w:pPr>
        <w:pStyle w:val="Caption"/>
        <w:keepNext/>
      </w:pPr>
      <w:bookmarkStart w:id="5" w:name="_Ref_tbl2"/>
      <w:r>
        <w:t xml:space="preserve">Table </w:t>
      </w:r>
      <w:r>
        <w:fldChar w:fldCharType="begin"/>
      </w:r>
      <w:r>
        <w:instrText xml:space="preserve"> SEQ Table \* ARABIC </w:instrText>
      </w:r>
      <w:r>
        <w:fldChar w:fldCharType="separate"/>
      </w:r>
      <w:r>
        <w:t>2</w:t>
      </w:r>
      <w:r>
        <w:fldChar w:fldCharType="end"/>
      </w:r>
      <w:bookmarkEnd w:id="5"/>
      <w:r>
        <w:t>: Summary statistics for the main outcomes and key predictors in the analysis sample.</w:t>
      </w:r>
    </w:p>
    <w:tbl>
      <w:tblPr>
        <w:tblStyle w:val="TableGrid"/>
        <w:tblW w:w="0" w:type="auto"/>
        <w:tblLook w:val="04A0" w:firstRow="1" w:lastRow="0" w:firstColumn="1" w:lastColumn="0" w:noHBand="0" w:noVBand="1"/>
      </w:tblPr>
      <w:tblGrid>
        <w:gridCol w:w="3134"/>
        <w:gridCol w:w="1299"/>
        <w:gridCol w:w="1387"/>
        <w:gridCol w:w="1387"/>
        <w:gridCol w:w="1387"/>
        <w:gridCol w:w="1476"/>
      </w:tblGrid>
      <w:tr w:rsidR="00B86A12" w14:paraId="5E17AC20" w14:textId="77777777">
        <w:tc>
          <w:tcPr>
            <w:tcW w:w="1680" w:type="dxa"/>
          </w:tcPr>
          <w:p w14:paraId="43E6E81A" w14:textId="77777777" w:rsidR="00B86A12" w:rsidRDefault="00000000">
            <w:r>
              <w:rPr>
                <w:b/>
              </w:rPr>
              <w:t>Variable</w:t>
            </w:r>
          </w:p>
        </w:tc>
        <w:tc>
          <w:tcPr>
            <w:tcW w:w="1680" w:type="dxa"/>
          </w:tcPr>
          <w:p w14:paraId="0C6316DF" w14:textId="77777777" w:rsidR="00B86A12" w:rsidRDefault="00000000">
            <w:r>
              <w:rPr>
                <w:b/>
              </w:rPr>
              <w:t>N</w:t>
            </w:r>
          </w:p>
        </w:tc>
        <w:tc>
          <w:tcPr>
            <w:tcW w:w="1680" w:type="dxa"/>
          </w:tcPr>
          <w:p w14:paraId="5071324A" w14:textId="77777777" w:rsidR="00B86A12" w:rsidRDefault="00000000">
            <w:r>
              <w:rPr>
                <w:b/>
              </w:rPr>
              <w:t>Mean</w:t>
            </w:r>
          </w:p>
        </w:tc>
        <w:tc>
          <w:tcPr>
            <w:tcW w:w="1680" w:type="dxa"/>
          </w:tcPr>
          <w:p w14:paraId="21A33373" w14:textId="77777777" w:rsidR="00B86A12" w:rsidRDefault="00000000">
            <w:r>
              <w:rPr>
                <w:b/>
              </w:rPr>
              <w:t>Median</w:t>
            </w:r>
          </w:p>
        </w:tc>
        <w:tc>
          <w:tcPr>
            <w:tcW w:w="1680" w:type="dxa"/>
          </w:tcPr>
          <w:p w14:paraId="0CF99234" w14:textId="77777777" w:rsidR="00B86A12" w:rsidRDefault="00000000">
            <w:r>
              <w:rPr>
                <w:b/>
              </w:rPr>
              <w:t>P25</w:t>
            </w:r>
          </w:p>
        </w:tc>
        <w:tc>
          <w:tcPr>
            <w:tcW w:w="1680" w:type="dxa"/>
          </w:tcPr>
          <w:p w14:paraId="5D6A9D0C" w14:textId="77777777" w:rsidR="00B86A12" w:rsidRDefault="00000000">
            <w:r>
              <w:rPr>
                <w:b/>
              </w:rPr>
              <w:t>P75</w:t>
            </w:r>
          </w:p>
        </w:tc>
      </w:tr>
      <w:tr w:rsidR="00B86A12" w14:paraId="1FEF97BF" w14:textId="77777777">
        <w:tc>
          <w:tcPr>
            <w:tcW w:w="1680" w:type="dxa"/>
          </w:tcPr>
          <w:p w14:paraId="4D332E80"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3F8BCD66" w14:textId="77777777" w:rsidR="00E74C8C" w:rsidRDefault="00000000">
            <w:r>
              <w:t>1,386</w:t>
            </w:r>
          </w:p>
        </w:tc>
        <w:tc>
          <w:tcPr>
            <w:tcW w:w="1680" w:type="dxa"/>
          </w:tcPr>
          <w:p w14:paraId="7153A748" w14:textId="77777777" w:rsidR="00E74C8C" w:rsidRDefault="00000000">
            <w:r>
              <w:t>0.392</w:t>
            </w:r>
          </w:p>
        </w:tc>
        <w:tc>
          <w:tcPr>
            <w:tcW w:w="1680" w:type="dxa"/>
          </w:tcPr>
          <w:p w14:paraId="31455E35" w14:textId="77777777" w:rsidR="00E74C8C" w:rsidRDefault="00000000">
            <w:r>
              <w:t>0.326</w:t>
            </w:r>
          </w:p>
        </w:tc>
        <w:tc>
          <w:tcPr>
            <w:tcW w:w="1680" w:type="dxa"/>
          </w:tcPr>
          <w:p w14:paraId="4D3BE40E" w14:textId="77777777" w:rsidR="00E74C8C" w:rsidRDefault="00000000">
            <w:r>
              <w:t>0.131</w:t>
            </w:r>
          </w:p>
        </w:tc>
        <w:tc>
          <w:tcPr>
            <w:tcW w:w="1680" w:type="dxa"/>
          </w:tcPr>
          <w:p w14:paraId="0DA8CDE6" w14:textId="77777777" w:rsidR="00E74C8C" w:rsidRDefault="00000000">
            <w:r>
              <w:t>0.568</w:t>
            </w:r>
          </w:p>
        </w:tc>
      </w:tr>
      <w:tr w:rsidR="00B86A12" w14:paraId="222C52AD" w14:textId="77777777">
        <w:tc>
          <w:tcPr>
            <w:tcW w:w="1680" w:type="dxa"/>
          </w:tcPr>
          <w:p w14:paraId="459D2DCA"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39F26916" w14:textId="77777777" w:rsidR="00E74C8C" w:rsidRDefault="00000000">
            <w:r>
              <w:t>1,386</w:t>
            </w:r>
          </w:p>
        </w:tc>
        <w:tc>
          <w:tcPr>
            <w:tcW w:w="1680" w:type="dxa"/>
          </w:tcPr>
          <w:p w14:paraId="23B64E81" w14:textId="77777777" w:rsidR="00E74C8C" w:rsidRDefault="00000000">
            <w:r>
              <w:t>1.706</w:t>
            </w:r>
          </w:p>
        </w:tc>
        <w:tc>
          <w:tcPr>
            <w:tcW w:w="1680" w:type="dxa"/>
          </w:tcPr>
          <w:p w14:paraId="23EE78B7" w14:textId="77777777" w:rsidR="00E74C8C" w:rsidRDefault="00000000">
            <w:r>
              <w:t>1.752</w:t>
            </w:r>
          </w:p>
        </w:tc>
        <w:tc>
          <w:tcPr>
            <w:tcW w:w="1680" w:type="dxa"/>
          </w:tcPr>
          <w:p w14:paraId="0E99D3C2" w14:textId="77777777" w:rsidR="00E74C8C" w:rsidRDefault="00000000">
            <w:r>
              <w:t>1.012</w:t>
            </w:r>
          </w:p>
        </w:tc>
        <w:tc>
          <w:tcPr>
            <w:tcW w:w="1680" w:type="dxa"/>
          </w:tcPr>
          <w:p w14:paraId="3E5D73B2" w14:textId="77777777" w:rsidR="00E74C8C" w:rsidRDefault="00000000">
            <w:r>
              <w:t>2.350</w:t>
            </w:r>
          </w:p>
        </w:tc>
      </w:tr>
      <w:tr w:rsidR="00B86A12" w14:paraId="69C9ADC6" w14:textId="77777777">
        <w:tc>
          <w:tcPr>
            <w:tcW w:w="1680" w:type="dxa"/>
          </w:tcPr>
          <w:p w14:paraId="196C769D"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710F2E9D" w14:textId="77777777" w:rsidR="00E74C8C" w:rsidRDefault="00000000">
            <w:r>
              <w:t>1,386</w:t>
            </w:r>
          </w:p>
        </w:tc>
        <w:tc>
          <w:tcPr>
            <w:tcW w:w="1680" w:type="dxa"/>
          </w:tcPr>
          <w:p w14:paraId="6E7C251C" w14:textId="77777777" w:rsidR="00E74C8C" w:rsidRDefault="00000000">
            <w:r>
              <w:t>0.693</w:t>
            </w:r>
          </w:p>
        </w:tc>
        <w:tc>
          <w:tcPr>
            <w:tcW w:w="1680" w:type="dxa"/>
          </w:tcPr>
          <w:p w14:paraId="2BA8888D" w14:textId="77777777" w:rsidR="00E74C8C" w:rsidRDefault="00000000">
            <w:r>
              <w:t>0.514</w:t>
            </w:r>
          </w:p>
        </w:tc>
        <w:tc>
          <w:tcPr>
            <w:tcW w:w="1680" w:type="dxa"/>
          </w:tcPr>
          <w:p w14:paraId="7B8B59EB" w14:textId="77777777" w:rsidR="00E74C8C" w:rsidRDefault="00000000">
            <w:r>
              <w:t>0.142</w:t>
            </w:r>
          </w:p>
        </w:tc>
        <w:tc>
          <w:tcPr>
            <w:tcW w:w="1680" w:type="dxa"/>
          </w:tcPr>
          <w:p w14:paraId="2C057E43" w14:textId="77777777" w:rsidR="00E74C8C" w:rsidRDefault="00000000">
            <w:r>
              <w:t>1.025</w:t>
            </w:r>
          </w:p>
        </w:tc>
      </w:tr>
      <w:tr w:rsidR="00B86A12" w14:paraId="519098DB" w14:textId="77777777">
        <w:tc>
          <w:tcPr>
            <w:tcW w:w="1680" w:type="dxa"/>
          </w:tcPr>
          <w:p w14:paraId="791C722C"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5354FBBE" w14:textId="77777777" w:rsidR="00E74C8C" w:rsidRDefault="00000000">
            <w:r>
              <w:t>1,386</w:t>
            </w:r>
          </w:p>
        </w:tc>
        <w:tc>
          <w:tcPr>
            <w:tcW w:w="1680" w:type="dxa"/>
          </w:tcPr>
          <w:p w14:paraId="7E4A884E" w14:textId="77777777" w:rsidR="00E74C8C" w:rsidRDefault="00000000">
            <w:r>
              <w:t>0.042</w:t>
            </w:r>
          </w:p>
        </w:tc>
        <w:tc>
          <w:tcPr>
            <w:tcW w:w="1680" w:type="dxa"/>
          </w:tcPr>
          <w:p w14:paraId="0C5C01D7" w14:textId="77777777" w:rsidR="00E74C8C" w:rsidRDefault="00000000">
            <w:r>
              <w:t>0.020</w:t>
            </w:r>
          </w:p>
        </w:tc>
        <w:tc>
          <w:tcPr>
            <w:tcW w:w="1680" w:type="dxa"/>
          </w:tcPr>
          <w:p w14:paraId="40BF3EFE" w14:textId="77777777" w:rsidR="00E74C8C" w:rsidRDefault="00000000">
            <w:r>
              <w:t>0.007</w:t>
            </w:r>
          </w:p>
        </w:tc>
        <w:tc>
          <w:tcPr>
            <w:tcW w:w="1680" w:type="dxa"/>
          </w:tcPr>
          <w:p w14:paraId="03E05E5C" w14:textId="77777777" w:rsidR="00E74C8C" w:rsidRDefault="00000000">
            <w:r>
              <w:t>0.050</w:t>
            </w:r>
          </w:p>
        </w:tc>
      </w:tr>
      <w:tr w:rsidR="00B86A12" w14:paraId="2BDE0094" w14:textId="77777777">
        <w:tc>
          <w:tcPr>
            <w:tcW w:w="1680" w:type="dxa"/>
          </w:tcPr>
          <w:p w14:paraId="3344F48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7766D41C" w14:textId="77777777" w:rsidR="00E74C8C" w:rsidRDefault="00000000">
            <w:r>
              <w:t>1,386</w:t>
            </w:r>
          </w:p>
        </w:tc>
        <w:tc>
          <w:tcPr>
            <w:tcW w:w="1680" w:type="dxa"/>
          </w:tcPr>
          <w:p w14:paraId="3EE41EEC" w14:textId="77777777" w:rsidR="00E74C8C" w:rsidRDefault="00000000">
            <w:r>
              <w:t>0.347</w:t>
            </w:r>
          </w:p>
        </w:tc>
        <w:tc>
          <w:tcPr>
            <w:tcW w:w="1680" w:type="dxa"/>
          </w:tcPr>
          <w:p w14:paraId="50831B06" w14:textId="77777777" w:rsidR="00E74C8C" w:rsidRDefault="00000000">
            <w:r>
              <w:t>0.277</w:t>
            </w:r>
          </w:p>
        </w:tc>
        <w:tc>
          <w:tcPr>
            <w:tcW w:w="1680" w:type="dxa"/>
          </w:tcPr>
          <w:p w14:paraId="50B0A678" w14:textId="77777777" w:rsidR="00E74C8C" w:rsidRDefault="00000000">
            <w:r>
              <w:t>0.152</w:t>
            </w:r>
          </w:p>
        </w:tc>
        <w:tc>
          <w:tcPr>
            <w:tcW w:w="1680" w:type="dxa"/>
          </w:tcPr>
          <w:p w14:paraId="23EF3C03" w14:textId="77777777" w:rsidR="00E74C8C" w:rsidRDefault="00000000">
            <w:r>
              <w:t>0.498</w:t>
            </w:r>
          </w:p>
        </w:tc>
      </w:tr>
      <w:tr w:rsidR="00B86A12" w14:paraId="4A3F7320" w14:textId="77777777">
        <w:tc>
          <w:tcPr>
            <w:tcW w:w="1680" w:type="dxa"/>
          </w:tcPr>
          <w:p w14:paraId="7EC8FE29"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7FCB6746" w14:textId="77777777" w:rsidR="00E74C8C" w:rsidRDefault="00000000">
            <w:r>
              <w:t>1,386</w:t>
            </w:r>
          </w:p>
        </w:tc>
        <w:tc>
          <w:tcPr>
            <w:tcW w:w="1680" w:type="dxa"/>
          </w:tcPr>
          <w:p w14:paraId="3945D65A" w14:textId="77777777" w:rsidR="00E74C8C" w:rsidRDefault="00000000">
            <w:r>
              <w:t>0.119</w:t>
            </w:r>
          </w:p>
        </w:tc>
        <w:tc>
          <w:tcPr>
            <w:tcW w:w="1680" w:type="dxa"/>
          </w:tcPr>
          <w:p w14:paraId="473D0027" w14:textId="77777777" w:rsidR="00E74C8C" w:rsidRDefault="00000000">
            <w:r>
              <w:t>0.066</w:t>
            </w:r>
          </w:p>
        </w:tc>
        <w:tc>
          <w:tcPr>
            <w:tcW w:w="1680" w:type="dxa"/>
          </w:tcPr>
          <w:p w14:paraId="0A3BC09F" w14:textId="77777777" w:rsidR="00E74C8C" w:rsidRDefault="00000000">
            <w:r>
              <w:t>0.023</w:t>
            </w:r>
          </w:p>
        </w:tc>
        <w:tc>
          <w:tcPr>
            <w:tcW w:w="1680" w:type="dxa"/>
          </w:tcPr>
          <w:p w14:paraId="31594F2E" w14:textId="77777777" w:rsidR="00E74C8C" w:rsidRDefault="00000000">
            <w:r>
              <w:t>0.156</w:t>
            </w:r>
          </w:p>
        </w:tc>
      </w:tr>
      <w:tr w:rsidR="00B86A12" w14:paraId="0C448EF3" w14:textId="77777777">
        <w:tc>
          <w:tcPr>
            <w:tcW w:w="1680" w:type="dxa"/>
          </w:tcPr>
          <w:p w14:paraId="7F305D2D"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7D737D48" w14:textId="77777777" w:rsidR="00B86A12" w:rsidRDefault="00000000">
            <w:r>
              <w:t>1,386</w:t>
            </w:r>
          </w:p>
        </w:tc>
        <w:tc>
          <w:tcPr>
            <w:tcW w:w="1680" w:type="dxa"/>
          </w:tcPr>
          <w:p w14:paraId="529A2F9D" w14:textId="77777777" w:rsidR="00B86A12" w:rsidRDefault="00000000">
            <w:r>
              <w:t>11.440</w:t>
            </w:r>
          </w:p>
        </w:tc>
        <w:tc>
          <w:tcPr>
            <w:tcW w:w="1680" w:type="dxa"/>
          </w:tcPr>
          <w:p w14:paraId="002168A4" w14:textId="77777777" w:rsidR="00B86A12" w:rsidRDefault="00000000">
            <w:r>
              <w:t>11.434</w:t>
            </w:r>
          </w:p>
        </w:tc>
        <w:tc>
          <w:tcPr>
            <w:tcW w:w="1680" w:type="dxa"/>
          </w:tcPr>
          <w:p w14:paraId="1CB7FD73" w14:textId="77777777" w:rsidR="00B86A12" w:rsidRDefault="00000000">
            <w:r>
              <w:t>11.169</w:t>
            </w:r>
          </w:p>
        </w:tc>
        <w:tc>
          <w:tcPr>
            <w:tcW w:w="1680" w:type="dxa"/>
          </w:tcPr>
          <w:p w14:paraId="5982DC26" w14:textId="77777777" w:rsidR="00B86A12" w:rsidRDefault="00000000">
            <w:r>
              <w:t>11.705</w:t>
            </w:r>
          </w:p>
        </w:tc>
      </w:tr>
      <w:tr w:rsidR="00B86A12" w14:paraId="5D9A95FD" w14:textId="77777777">
        <w:tc>
          <w:tcPr>
            <w:tcW w:w="1680" w:type="dxa"/>
          </w:tcPr>
          <w:p w14:paraId="3D2CBE65"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7890F26B" w14:textId="77777777" w:rsidR="00E74C8C" w:rsidRDefault="00000000">
            <w:r>
              <w:t>1,386</w:t>
            </w:r>
          </w:p>
        </w:tc>
        <w:tc>
          <w:tcPr>
            <w:tcW w:w="1680" w:type="dxa"/>
          </w:tcPr>
          <w:p w14:paraId="6BB0E8E1" w14:textId="77777777" w:rsidR="00E74C8C" w:rsidRDefault="00000000">
            <w:r>
              <w:t>0.123</w:t>
            </w:r>
          </w:p>
        </w:tc>
        <w:tc>
          <w:tcPr>
            <w:tcW w:w="1680" w:type="dxa"/>
          </w:tcPr>
          <w:p w14:paraId="7CE3033C" w14:textId="77777777" w:rsidR="00E74C8C" w:rsidRDefault="00000000">
            <w:r>
              <w:t>0.104</w:t>
            </w:r>
          </w:p>
        </w:tc>
        <w:tc>
          <w:tcPr>
            <w:tcW w:w="1680" w:type="dxa"/>
          </w:tcPr>
          <w:p w14:paraId="2C000C9C" w14:textId="77777777" w:rsidR="00E74C8C" w:rsidRDefault="00000000">
            <w:r>
              <w:t>0.070</w:t>
            </w:r>
          </w:p>
        </w:tc>
        <w:tc>
          <w:tcPr>
            <w:tcW w:w="1680" w:type="dxa"/>
          </w:tcPr>
          <w:p w14:paraId="18F0813C" w14:textId="77777777" w:rsidR="00E74C8C" w:rsidRDefault="00000000">
            <w:r>
              <w:t>0.161</w:t>
            </w:r>
          </w:p>
        </w:tc>
      </w:tr>
      <w:tr w:rsidR="00B86A12" w14:paraId="45D4063A" w14:textId="77777777">
        <w:tc>
          <w:tcPr>
            <w:tcW w:w="1680" w:type="dxa"/>
          </w:tcPr>
          <w:p w14:paraId="0E78F7C9"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51C68A93" w14:textId="77777777" w:rsidR="00E74C8C" w:rsidRDefault="00000000">
            <w:r>
              <w:t>1,386</w:t>
            </w:r>
          </w:p>
        </w:tc>
        <w:tc>
          <w:tcPr>
            <w:tcW w:w="1680" w:type="dxa"/>
          </w:tcPr>
          <w:p w14:paraId="48BEF7DA" w14:textId="77777777" w:rsidR="00E74C8C" w:rsidRDefault="00000000">
            <w:r>
              <w:t>0.359</w:t>
            </w:r>
          </w:p>
        </w:tc>
        <w:tc>
          <w:tcPr>
            <w:tcW w:w="1680" w:type="dxa"/>
          </w:tcPr>
          <w:p w14:paraId="613746DA" w14:textId="77777777" w:rsidR="00E74C8C" w:rsidRDefault="00000000">
            <w:r>
              <w:t>0.324</w:t>
            </w:r>
          </w:p>
        </w:tc>
        <w:tc>
          <w:tcPr>
            <w:tcW w:w="1680" w:type="dxa"/>
          </w:tcPr>
          <w:p w14:paraId="20A5FF2D" w14:textId="77777777" w:rsidR="00E74C8C" w:rsidRDefault="00000000">
            <w:r>
              <w:t>0.190</w:t>
            </w:r>
          </w:p>
        </w:tc>
        <w:tc>
          <w:tcPr>
            <w:tcW w:w="1680" w:type="dxa"/>
          </w:tcPr>
          <w:p w14:paraId="1B3B1CFE" w14:textId="77777777" w:rsidR="00E74C8C" w:rsidRDefault="00000000">
            <w:r>
              <w:t>0.505</w:t>
            </w:r>
          </w:p>
        </w:tc>
      </w:tr>
      <w:tr w:rsidR="00B86A12" w14:paraId="1B9AE4A9" w14:textId="77777777">
        <w:tc>
          <w:tcPr>
            <w:tcW w:w="1680" w:type="dxa"/>
          </w:tcPr>
          <w:p w14:paraId="71FFC39F"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C00A1D2" w14:textId="77777777" w:rsidR="00E74C8C" w:rsidRDefault="00000000">
            <w:r>
              <w:t>1,386</w:t>
            </w:r>
          </w:p>
        </w:tc>
        <w:tc>
          <w:tcPr>
            <w:tcW w:w="1680" w:type="dxa"/>
          </w:tcPr>
          <w:p w14:paraId="3F4CE741" w14:textId="77777777" w:rsidR="00E74C8C" w:rsidRDefault="00000000">
            <w:r>
              <w:t>5.119</w:t>
            </w:r>
          </w:p>
        </w:tc>
        <w:tc>
          <w:tcPr>
            <w:tcW w:w="1680" w:type="dxa"/>
          </w:tcPr>
          <w:p w14:paraId="04508D19" w14:textId="77777777" w:rsidR="00E74C8C" w:rsidRDefault="00000000">
            <w:r>
              <w:t>5.158</w:t>
            </w:r>
          </w:p>
        </w:tc>
        <w:tc>
          <w:tcPr>
            <w:tcW w:w="1680" w:type="dxa"/>
          </w:tcPr>
          <w:p w14:paraId="21419B73" w14:textId="77777777" w:rsidR="00E74C8C" w:rsidRDefault="00000000">
            <w:r>
              <w:t>4.855</w:t>
            </w:r>
          </w:p>
        </w:tc>
        <w:tc>
          <w:tcPr>
            <w:tcW w:w="1680" w:type="dxa"/>
          </w:tcPr>
          <w:p w14:paraId="6CF55A6C" w14:textId="77777777" w:rsidR="00E74C8C" w:rsidRDefault="00000000">
            <w:r>
              <w:t>5.339</w:t>
            </w:r>
          </w:p>
        </w:tc>
      </w:tr>
      <w:tr w:rsidR="00B86A12" w14:paraId="2CDB273C" w14:textId="77777777">
        <w:tc>
          <w:tcPr>
            <w:tcW w:w="1680" w:type="dxa"/>
          </w:tcPr>
          <w:p w14:paraId="2042F1CD"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4343071C" w14:textId="77777777" w:rsidR="00E74C8C" w:rsidRDefault="00000000">
            <w:del w:id="6" w:author="Claude (pipeline audit)" w:date="2026-08-03T00:00:00Z">
              <w:r>
                <w:delText>1,218</w:delText>
              </w:r>
            </w:del>
            <w:ins w:id="7" w:author="Claude (pipeline audit)" w:date="2026-08-03T00:00:00Z">
              <w:r>
                <w:t>1,193</w:t>
              </w:r>
            </w:ins>
          </w:p>
        </w:tc>
        <w:tc>
          <w:tcPr>
            <w:tcW w:w="1680" w:type="dxa"/>
          </w:tcPr>
          <w:p w14:paraId="7D749B81" w14:textId="77777777" w:rsidR="00E74C8C" w:rsidRDefault="00000000">
            <w:del w:id="8" w:author="Claude (pipeline audit)" w:date="2026-08-03T00:00:00Z">
              <w:r>
                <w:delText>8.480</w:delText>
              </w:r>
            </w:del>
            <w:ins w:id="9" w:author="Claude (pipeline audit)" w:date="2026-08-03T00:00:00Z">
              <w:r>
                <w:t>17.268</w:t>
              </w:r>
            </w:ins>
          </w:p>
        </w:tc>
        <w:tc>
          <w:tcPr>
            <w:tcW w:w="1680" w:type="dxa"/>
          </w:tcPr>
          <w:p w14:paraId="7D7E9800" w14:textId="77777777" w:rsidR="00E74C8C" w:rsidRDefault="00000000">
            <w:del w:id="10" w:author="Claude (pipeline audit)" w:date="2026-08-03T00:00:00Z">
              <w:r>
                <w:delText>0.000</w:delText>
              </w:r>
            </w:del>
            <w:ins w:id="11" w:author="Claude (pipeline audit)" w:date="2026-08-03T00:00:00Z">
              <w:r>
                <w:t>18.016</w:t>
              </w:r>
            </w:ins>
          </w:p>
        </w:tc>
        <w:tc>
          <w:tcPr>
            <w:tcW w:w="1680" w:type="dxa"/>
          </w:tcPr>
          <w:p w14:paraId="7C9A26AA" w14:textId="77777777" w:rsidR="00E74C8C" w:rsidRDefault="00000000">
            <w:del w:id="12" w:author="Claude (pipeline audit)" w:date="2026-08-03T00:00:00Z">
              <w:r>
                <w:delText>0.000</w:delText>
              </w:r>
            </w:del>
            <w:ins w:id="13" w:author="Claude (pipeline audit)" w:date="2026-08-03T00:00:00Z">
              <w:r>
                <w:t>16.670</w:t>
              </w:r>
            </w:ins>
          </w:p>
        </w:tc>
        <w:tc>
          <w:tcPr>
            <w:tcW w:w="1680" w:type="dxa"/>
          </w:tcPr>
          <w:p w14:paraId="40CA52E6" w14:textId="77777777" w:rsidR="00E74C8C" w:rsidRDefault="00000000">
            <w:del w:id="14" w:author="Claude (pipeline audit)" w:date="2026-08-03T00:00:00Z">
              <w:r>
                <w:delText>18.275</w:delText>
              </w:r>
            </w:del>
            <w:ins w:id="15" w:author="Claude (pipeline audit)" w:date="2026-08-03T00:00:00Z">
              <w:r>
                <w:t>18.882</w:t>
              </w:r>
            </w:ins>
          </w:p>
        </w:tc>
      </w:tr>
      <w:tr w:rsidR="00E74C8C" w14:paraId="5F2B28E9" w14:textId="77777777">
        <w:tc>
          <w:tcPr>
            <w:tcW w:w="3134" w:type="dxa"/>
          </w:tcPr>
          <w:p w14:paraId="6E7CEEE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49E6FAE6" w14:textId="77777777" w:rsidR="00E74C8C" w:rsidRDefault="00000000">
            <w:r>
              <w:t>1,370</w:t>
            </w:r>
          </w:p>
        </w:tc>
        <w:tc>
          <w:tcPr>
            <w:tcW w:w="1432" w:type="dxa"/>
          </w:tcPr>
          <w:p w14:paraId="3D342CAF" w14:textId="77777777" w:rsidR="00E74C8C" w:rsidRDefault="00000000">
            <w:r>
              <w:t>0.022</w:t>
            </w:r>
          </w:p>
        </w:tc>
        <w:tc>
          <w:tcPr>
            <w:tcW w:w="1466" w:type="dxa"/>
          </w:tcPr>
          <w:p w14:paraId="15A31B54" w14:textId="77777777" w:rsidR="00E74C8C" w:rsidRDefault="00000000">
            <w:r>
              <w:t>0.020</w:t>
            </w:r>
          </w:p>
        </w:tc>
        <w:tc>
          <w:tcPr>
            <w:tcW w:w="1432" w:type="dxa"/>
          </w:tcPr>
          <w:p w14:paraId="2D5C329E" w14:textId="77777777" w:rsidR="00E74C8C" w:rsidRDefault="00000000">
            <w:r>
              <w:t>0.015</w:t>
            </w:r>
          </w:p>
        </w:tc>
        <w:tc>
          <w:tcPr>
            <w:tcW w:w="1432" w:type="dxa"/>
          </w:tcPr>
          <w:p w14:paraId="450EADB7" w14:textId="77777777" w:rsidR="00E74C8C" w:rsidRDefault="00000000">
            <w:r>
              <w:t>0.028</w:t>
            </w:r>
          </w:p>
        </w:tc>
      </w:tr>
      <w:tr w:rsidR="00E74C8C" w14:paraId="7EC9EE5E" w14:textId="77777777">
        <w:tc>
          <w:tcPr>
            <w:tcW w:w="3134" w:type="dxa"/>
          </w:tcPr>
          <w:p w14:paraId="15CD4DE9"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0032A044" w14:textId="77777777" w:rsidR="00E74C8C" w:rsidRDefault="00000000">
            <w:r>
              <w:t>1,370</w:t>
            </w:r>
          </w:p>
        </w:tc>
        <w:tc>
          <w:tcPr>
            <w:tcW w:w="1432" w:type="dxa"/>
          </w:tcPr>
          <w:p w14:paraId="313B0228" w14:textId="77777777" w:rsidR="00E74C8C" w:rsidRDefault="00000000">
            <w:r>
              <w:t>3.791</w:t>
            </w:r>
          </w:p>
        </w:tc>
        <w:tc>
          <w:tcPr>
            <w:tcW w:w="1466" w:type="dxa"/>
          </w:tcPr>
          <w:p w14:paraId="3FCE8DE0" w14:textId="77777777" w:rsidR="00E74C8C" w:rsidRDefault="00000000">
            <w:r>
              <w:t>4.351</w:t>
            </w:r>
          </w:p>
        </w:tc>
        <w:tc>
          <w:tcPr>
            <w:tcW w:w="1432" w:type="dxa"/>
          </w:tcPr>
          <w:p w14:paraId="7225AE54" w14:textId="77777777" w:rsidR="00E74C8C" w:rsidRDefault="00000000">
            <w:r>
              <w:t>1.072</w:t>
            </w:r>
          </w:p>
        </w:tc>
        <w:tc>
          <w:tcPr>
            <w:tcW w:w="1432" w:type="dxa"/>
          </w:tcPr>
          <w:p w14:paraId="2A9DB232" w14:textId="77777777" w:rsidR="00E74C8C" w:rsidRDefault="00000000">
            <w:r>
              <w:t>5.650</w:t>
            </w:r>
          </w:p>
        </w:tc>
      </w:tr>
    </w:tbl>
    <w:p w14:paraId="46E83100" w14:textId="35233EFC" w:rsidR="00B86A12" w:rsidRDefault="00091F08">
      <w:pPr>
        <w:pStyle w:val="Heading1"/>
        <w:numPr>
          <w:ilvl w:val="0"/>
          <w:numId w:val="11"/>
        </w:numPr>
      </w:pPr>
      <w:r>
        <w:t>Results</w:t>
      </w:r>
    </w:p>
    <w:p w14:paraId="54ACB72C" w14:textId="1A77B7FF" w:rsidR="00B86A12" w:rsidRDefault="00201CD0">
      <w:r>
        <w:t xml:space="preserve">We begin by providing descriptive evidence that most closely parallels the comparison papers in the literature, i.e., smooth adoption-versus-covariate views and compact baseline regression tables. As shown in </w:t>
      </w:r>
      <w:r>
        <w:fldChar w:fldCharType="begin"/>
      </w:r>
      <w:r>
        <w:instrText xml:space="preserve"> REF _Ref_fig3 \h </w:instrText>
      </w:r>
      <w:r>
        <w:fldChar w:fldCharType="separate"/>
      </w:r>
      <w:r>
        <w:t>Figure 3</w:t>
      </w:r>
      <w:r>
        <w:fldChar w:fldCharType="end"/>
      </w:r>
      <w:r>
        <w:t xml:space="preserve"> and </w:t>
      </w:r>
      <w:r>
        <w:fldChar w:fldCharType="begin"/>
      </w:r>
      <w:r>
        <w:instrText xml:space="preserve"> REF _Ref_tbl3 \h </w:instrText>
      </w:r>
      <w:r>
        <w:fldChar w:fldCharType="separate"/>
      </w:r>
      <w:r>
        <w:t>Table 3</w:t>
      </w:r>
      <w:r>
        <w:fldChar w:fldCharType="end"/>
      </w:r>
      <w:r>
        <w:t xml:space="preserve">,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w:t>
      </w:r>
      <w:r>
        <w:lastRenderedPageBreak/>
        <w:t xml:space="preserve">becomes more demanding with rigorous controls. Detailed specifications of all models in the ladder can be found in Section </w:t>
      </w:r>
      <w:r>
        <w:fldChar w:fldCharType="begin"/>
      </w:r>
      <w:r>
        <w:instrText xml:space="preserve"> REF _Ref_sec_modelseries \r \h </w:instrText>
      </w:r>
      <w:r>
        <w:fldChar w:fldCharType="separate"/>
      </w:r>
      <w:r>
        <w:t>6.7</w:t>
      </w:r>
      <w:r>
        <w:fldChar w:fldCharType="end"/>
      </w:r>
      <w:r>
        <w:t>.</w:t>
      </w:r>
    </w:p>
    <w:p w14:paraId="380E694A" w14:textId="77777777" w:rsidR="00F121D0" w:rsidRDefault="009611E9" w:rsidP="00F121D0">
      <w:pPr>
        <w:keepNext/>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8"/>
                    <a:stretch>
                      <a:fillRect/>
                    </a:stretch>
                  </pic:blipFill>
                  <pic:spPr>
                    <a:xfrm>
                      <a:off x="0" y="0"/>
                      <a:ext cx="6400800" cy="1998980"/>
                    </a:xfrm>
                    <a:prstGeom prst="rect">
                      <a:avLst/>
                    </a:prstGeom>
                  </pic:spPr>
                </pic:pic>
              </a:graphicData>
            </a:graphic>
          </wp:inline>
        </w:drawing>
      </w:r>
    </w:p>
    <w:p w14:paraId="4615C201" w14:textId="26173D51" w:rsidR="00B86A12" w:rsidRDefault="00F121D0" w:rsidP="00B1541B">
      <w:pPr>
        <w:pStyle w:val="Caption"/>
        <w:jc w:val="center"/>
      </w:pPr>
      <w:bookmarkStart w:id="16" w:name="_Ref_fig3"/>
      <w:r>
        <w:t xml:space="preserve">Figure </w:t>
      </w:r>
      <w:r w:rsidR="00893723">
        <w:fldChar w:fldCharType="begin"/>
      </w:r>
      <w:r w:rsidR="00893723">
        <w:instrText xml:space="preserve"> SEQ Figure \* ARABIC </w:instrText>
      </w:r>
      <w:r w:rsidR="00893723">
        <w:fldChar w:fldCharType="separate"/>
      </w:r>
      <w:r w:rsidR="00893723">
        <w:rPr>
          <w:noProof/>
        </w:rPr>
        <w:t>3</w:t>
      </w:r>
      <w:r w:rsidR="00893723">
        <w:rPr>
          <w:noProof/>
        </w:rPr>
        <w:fldChar w:fldCharType="end"/>
      </w:r>
      <w:bookmarkEnd w:id="16"/>
      <w:r>
        <w:t>: Outcome-by-income descriptive gradients for rooftop PV, storage, and EV charging. Outcomes are shown on the transformed log(1 + rate) scale. Where shaded bands are shown in the figures below, they indicate 95% bootstrap confidence intervals.</w:t>
      </w:r>
    </w:p>
    <w:p w14:paraId="2D35F152" w14:textId="2E06723F" w:rsidR="00F121D0" w:rsidRDefault="00F121D0" w:rsidP="00F121D0">
      <w:pPr>
        <w:pStyle w:val="Caption"/>
        <w:keepNext/>
      </w:pPr>
      <w:bookmarkStart w:id="17" w:name="_Ref_tbl3"/>
      <w:r>
        <w:t xml:space="preserve">Table </w:t>
      </w:r>
      <w:r>
        <w:fldChar w:fldCharType="begin"/>
      </w:r>
      <w:r>
        <w:instrText xml:space="preserve"> SEQ Table \* ARABIC </w:instrText>
      </w:r>
      <w:r>
        <w:fldChar w:fldCharType="separate"/>
      </w:r>
      <w:r>
        <w:t>3</w:t>
      </w:r>
      <w:r>
        <w:fldChar w:fldCharType="end"/>
      </w:r>
      <w:bookmarkEnd w:id="17"/>
      <w:r>
        <w:t>: Baseline regression summary across the three headline DER outcomes.</w:t>
      </w:r>
    </w:p>
    <w:tbl>
      <w:tblPr>
        <w:tblStyle w:val="TableGrid"/>
        <w:tblW w:w="0" w:type="auto"/>
        <w:tblLook w:val="04A0" w:firstRow="1" w:lastRow="0" w:firstColumn="1" w:lastColumn="0" w:noHBand="0" w:noVBand="1"/>
      </w:tblPr>
      <w:tblGrid>
        <w:gridCol w:w="3133"/>
        <w:gridCol w:w="2284"/>
        <w:gridCol w:w="2327"/>
        <w:gridCol w:w="2326"/>
      </w:tblGrid>
      <w:tr w:rsidR="00B86A12" w14:paraId="1A60811A" w14:textId="77777777">
        <w:tc>
          <w:tcPr>
            <w:tcW w:w="2520" w:type="dxa"/>
          </w:tcPr>
          <w:p w14:paraId="4BC07721" w14:textId="77777777" w:rsidR="00E74C8C" w:rsidRPr="00FC705B" w:rsidRDefault="00000000">
            <w:pPr>
              <w:rPr>
                <w:b/>
                <w:bCs/>
              </w:rPr>
            </w:pPr>
            <w:r>
              <w:rPr>
                <w:b/>
                <w:bCs/>
              </w:rPr>
              <w:t>Predictor</w:t>
            </w:r>
          </w:p>
        </w:tc>
        <w:tc>
          <w:tcPr>
            <w:tcW w:w="2520" w:type="dxa"/>
          </w:tcPr>
          <w:p w14:paraId="31A713DE" w14:textId="77777777" w:rsidR="00E74C8C" w:rsidRPr="00615DEA" w:rsidRDefault="00000000">
            <w:pPr>
              <w:rPr>
                <w:rFonts w:ascii="Courier New" w:hAnsi="Courier New" w:cs="Courier New"/>
                <w:sz w:val="18"/>
                <w:szCs w:val="18"/>
              </w:rPr>
            </w:pPr>
            <w:r>
              <w:rPr>
                <w:rFonts w:ascii="Courier New" w:hAnsi="Courier New" w:cs="Courier New"/>
                <w:sz w:val="18"/>
                <w:szCs w:val="18"/>
              </w:rPr>
              <w:t>y_pv</w:t>
            </w:r>
          </w:p>
        </w:tc>
        <w:tc>
          <w:tcPr>
            <w:tcW w:w="2520" w:type="dxa"/>
          </w:tcPr>
          <w:p w14:paraId="71B1EE2F" w14:textId="77777777" w:rsidR="00E74C8C" w:rsidRPr="00615DEA" w:rsidRDefault="00000000">
            <w:pPr>
              <w:rPr>
                <w:rFonts w:ascii="Courier New" w:hAnsi="Courier New" w:cs="Courier New"/>
                <w:sz w:val="18"/>
                <w:szCs w:val="18"/>
              </w:rPr>
            </w:pPr>
            <w:r>
              <w:rPr>
                <w:rFonts w:ascii="Courier New" w:hAnsi="Courier New" w:cs="Courier New"/>
                <w:sz w:val="18"/>
                <w:szCs w:val="18"/>
              </w:rPr>
              <w:t>y_storage</w:t>
            </w:r>
          </w:p>
        </w:tc>
        <w:tc>
          <w:tcPr>
            <w:tcW w:w="2520" w:type="dxa"/>
          </w:tcPr>
          <w:p w14:paraId="520B664D" w14:textId="77777777" w:rsidR="00E74C8C" w:rsidRPr="00615DEA" w:rsidRDefault="00000000">
            <w:pPr>
              <w:rPr>
                <w:rFonts w:ascii="Courier New" w:hAnsi="Courier New" w:cs="Courier New"/>
                <w:sz w:val="18"/>
                <w:szCs w:val="18"/>
              </w:rPr>
            </w:pPr>
            <w:r>
              <w:rPr>
                <w:rFonts w:ascii="Courier New" w:hAnsi="Courier New" w:cs="Courier New"/>
                <w:sz w:val="18"/>
                <w:szCs w:val="18"/>
              </w:rPr>
              <w:t>y_chargers</w:t>
            </w:r>
          </w:p>
        </w:tc>
      </w:tr>
      <w:tr w:rsidR="00B86A12" w14:paraId="7C89DBC6" w14:textId="77777777">
        <w:tc>
          <w:tcPr>
            <w:tcW w:w="2520" w:type="dxa"/>
          </w:tcPr>
          <w:p w14:paraId="03456FDB"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19E0DAE2" w14:textId="77777777" w:rsidR="00E74C8C" w:rsidRDefault="00000000">
            <w:r>
              <w:t>0.125*** (0.038)</w:t>
            </w:r>
          </w:p>
        </w:tc>
        <w:tc>
          <w:tcPr>
            <w:tcW w:w="2520" w:type="dxa"/>
          </w:tcPr>
          <w:p w14:paraId="6239DE07" w14:textId="77777777" w:rsidR="00E74C8C" w:rsidRDefault="00000000">
            <w:r>
              <w:t>0.779*** (0.122)</w:t>
            </w:r>
          </w:p>
        </w:tc>
        <w:tc>
          <w:tcPr>
            <w:tcW w:w="2520" w:type="dxa"/>
          </w:tcPr>
          <w:p w14:paraId="61079FC9" w14:textId="77777777" w:rsidR="00E74C8C" w:rsidRDefault="00000000">
            <w:r>
              <w:t>0.160 (0.098)</w:t>
            </w:r>
          </w:p>
        </w:tc>
      </w:tr>
      <w:tr w:rsidR="00B86A12" w14:paraId="5487C5D2" w14:textId="77777777">
        <w:tc>
          <w:tcPr>
            <w:tcW w:w="2520" w:type="dxa"/>
          </w:tcPr>
          <w:p w14:paraId="4FC14180"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43FAAE08" w14:textId="77777777" w:rsidR="00E74C8C" w:rsidRDefault="00000000">
            <w:r>
              <w:t>-0.764*** (0.109)</w:t>
            </w:r>
          </w:p>
        </w:tc>
        <w:tc>
          <w:tcPr>
            <w:tcW w:w="2520" w:type="dxa"/>
          </w:tcPr>
          <w:p w14:paraId="02F33D48" w14:textId="77777777" w:rsidR="00E74C8C" w:rsidRDefault="00000000">
            <w:r>
              <w:t>-1.651*** (0.329)</w:t>
            </w:r>
          </w:p>
        </w:tc>
        <w:tc>
          <w:tcPr>
            <w:tcW w:w="2520" w:type="dxa"/>
          </w:tcPr>
          <w:p w14:paraId="48829480" w14:textId="77777777" w:rsidR="00E74C8C" w:rsidRDefault="00000000">
            <w:r>
              <w:t>-0.009 (0.343)</w:t>
            </w:r>
          </w:p>
        </w:tc>
      </w:tr>
      <w:tr w:rsidR="00B86A12" w14:paraId="19ADF8DD" w14:textId="77777777">
        <w:tc>
          <w:tcPr>
            <w:tcW w:w="2520" w:type="dxa"/>
          </w:tcPr>
          <w:p w14:paraId="77BCF987"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27BDB3FE" w14:textId="77777777" w:rsidR="00E74C8C" w:rsidRDefault="00000000">
            <w:r>
              <w:t>0.014 (0.049)</w:t>
            </w:r>
          </w:p>
        </w:tc>
        <w:tc>
          <w:tcPr>
            <w:tcW w:w="2520" w:type="dxa"/>
          </w:tcPr>
          <w:p w14:paraId="33AEEC2B" w14:textId="77777777" w:rsidR="00E74C8C" w:rsidRDefault="00000000">
            <w:r>
              <w:t>-0.608*** (0.126)</w:t>
            </w:r>
          </w:p>
        </w:tc>
        <w:tc>
          <w:tcPr>
            <w:tcW w:w="2520" w:type="dxa"/>
          </w:tcPr>
          <w:p w14:paraId="58A6FFBE" w14:textId="77777777" w:rsidR="00E74C8C" w:rsidRDefault="00000000">
            <w:r>
              <w:t>-0.403*** (0.105)</w:t>
            </w:r>
          </w:p>
        </w:tc>
      </w:tr>
      <w:tr w:rsidR="00B86A12" w14:paraId="6D2752DC" w14:textId="77777777" w:rsidTr="00406B15">
        <w:trPr>
          <w:trHeight w:val="52"/>
        </w:trPr>
        <w:tc>
          <w:tcPr>
            <w:tcW w:w="2520" w:type="dxa"/>
          </w:tcPr>
          <w:p w14:paraId="4230EBC9"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69D24C05" w14:textId="77777777" w:rsidR="00E74C8C" w:rsidRDefault="00000000">
            <w:r>
              <w:t>-0.583*** (0.048)</w:t>
            </w:r>
          </w:p>
        </w:tc>
        <w:tc>
          <w:tcPr>
            <w:tcW w:w="2520" w:type="dxa"/>
          </w:tcPr>
          <w:p w14:paraId="43BB3907" w14:textId="77777777" w:rsidR="00E74C8C" w:rsidRDefault="00000000">
            <w:r>
              <w:t>-1.784*** (0.162)</w:t>
            </w:r>
          </w:p>
        </w:tc>
        <w:tc>
          <w:tcPr>
            <w:tcW w:w="2520" w:type="dxa"/>
          </w:tcPr>
          <w:p w14:paraId="008799E3" w14:textId="77777777" w:rsidR="00E74C8C" w:rsidRDefault="00000000">
            <w:r>
              <w:t>0.413*** (0.147)</w:t>
            </w:r>
          </w:p>
        </w:tc>
      </w:tr>
      <w:tr w:rsidR="00B86A12" w14:paraId="1437C0C1" w14:textId="77777777">
        <w:tc>
          <w:tcPr>
            <w:tcW w:w="2520" w:type="dxa"/>
          </w:tcPr>
          <w:p w14:paraId="18A2A103"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32079BED" w14:textId="77777777" w:rsidR="00E74C8C" w:rsidRDefault="00000000">
            <w:r>
              <w:t>-0.048 (0.219)</w:t>
            </w:r>
          </w:p>
        </w:tc>
        <w:tc>
          <w:tcPr>
            <w:tcW w:w="2520" w:type="dxa"/>
          </w:tcPr>
          <w:p w14:paraId="68F59089" w14:textId="77777777" w:rsidR="00E74C8C" w:rsidRDefault="00000000">
            <w:r>
              <w:t>-0.197 (0.562)</w:t>
            </w:r>
          </w:p>
        </w:tc>
        <w:tc>
          <w:tcPr>
            <w:tcW w:w="2520" w:type="dxa"/>
          </w:tcPr>
          <w:p w14:paraId="2FB6D5E0" w14:textId="77777777" w:rsidR="00E74C8C" w:rsidRDefault="00000000">
            <w:r>
              <w:t>2.004*** (0.497)</w:t>
            </w:r>
          </w:p>
        </w:tc>
      </w:tr>
      <w:tr w:rsidR="00B86A12" w14:paraId="0E434B1C" w14:textId="77777777">
        <w:tc>
          <w:tcPr>
            <w:tcW w:w="2520" w:type="dxa"/>
          </w:tcPr>
          <w:p w14:paraId="39EA5F71" w14:textId="77777777" w:rsidR="00E74C8C" w:rsidRPr="00127991" w:rsidRDefault="00000000">
            <w:r>
              <w:t>Key climate/resource control</w:t>
            </w:r>
          </w:p>
        </w:tc>
        <w:tc>
          <w:tcPr>
            <w:tcW w:w="2520" w:type="dxa"/>
          </w:tcPr>
          <w:p w14:paraId="6F5C35C9" w14:textId="77777777" w:rsidR="00E74C8C" w:rsidRDefault="00000000">
            <w:r w:rsidRPr="000F22ED">
              <w:rPr>
                <w:b/>
                <w:bCs/>
              </w:rPr>
              <w:t>GHI</w:t>
            </w:r>
            <w:r>
              <w:t>: 0.160*** (0.028)</w:t>
            </w:r>
          </w:p>
        </w:tc>
        <w:tc>
          <w:tcPr>
            <w:tcW w:w="2520" w:type="dxa"/>
          </w:tcPr>
          <w:p w14:paraId="3F8841A7" w14:textId="77777777" w:rsidR="00E74C8C" w:rsidRDefault="00000000">
            <w:r w:rsidRPr="000F22ED">
              <w:rPr>
                <w:b/>
                <w:bCs/>
              </w:rPr>
              <w:t>CDD/HDD</w:t>
            </w:r>
            <w:r>
              <w:t>: n.s.</w:t>
            </w:r>
          </w:p>
        </w:tc>
        <w:tc>
          <w:tcPr>
            <w:tcW w:w="2520" w:type="dxa"/>
          </w:tcPr>
          <w:p w14:paraId="694B7137" w14:textId="77777777" w:rsidR="00E74C8C" w:rsidRDefault="00000000">
            <w:r w:rsidRPr="000F22ED">
              <w:rPr>
                <w:b/>
                <w:bCs/>
              </w:rPr>
              <w:t>CDD65</w:t>
            </w:r>
            <w:r>
              <w:t>: -0.0002*** (0.0000)</w:t>
            </w:r>
          </w:p>
        </w:tc>
      </w:tr>
      <w:tr w:rsidR="00B86A12" w14:paraId="3D6AD09C" w14:textId="77777777">
        <w:tc>
          <w:tcPr>
            <w:tcW w:w="2520" w:type="dxa"/>
          </w:tcPr>
          <w:p w14:paraId="46A53BE0" w14:textId="0573837E" w:rsidR="00E74C8C" w:rsidRPr="00A82F73" w:rsidRDefault="00A82F73">
            <m:oMathPara>
              <m:oMathParaPr>
                <m:jc m:val="left"/>
              </m:oMathParaPr>
              <m:oMath>
                <m:r>
                  <w:rPr>
                    <w:rFonts w:ascii="Cambria Math" w:hAnsi="Cambria Math"/>
                  </w:rPr>
                  <m:t>N</m:t>
                </m:r>
              </m:oMath>
            </m:oMathPara>
          </w:p>
        </w:tc>
        <w:tc>
          <w:tcPr>
            <w:tcW w:w="2520" w:type="dxa"/>
          </w:tcPr>
          <w:p w14:paraId="4BF6DDE3" w14:textId="77777777" w:rsidR="00E74C8C" w:rsidRDefault="00000000">
            <w:r>
              <w:t>1,386</w:t>
            </w:r>
          </w:p>
        </w:tc>
        <w:tc>
          <w:tcPr>
            <w:tcW w:w="2520" w:type="dxa"/>
          </w:tcPr>
          <w:p w14:paraId="58AB1B50" w14:textId="77777777" w:rsidR="00E74C8C" w:rsidRDefault="00000000">
            <w:r>
              <w:t>1,386</w:t>
            </w:r>
          </w:p>
        </w:tc>
        <w:tc>
          <w:tcPr>
            <w:tcW w:w="2520" w:type="dxa"/>
          </w:tcPr>
          <w:p w14:paraId="3743C1B3" w14:textId="77777777" w:rsidR="00E74C8C" w:rsidRDefault="00000000">
            <w:r>
              <w:t>1,386</w:t>
            </w:r>
          </w:p>
        </w:tc>
      </w:tr>
      <w:tr w:rsidR="00B86A12" w14:paraId="2C4F651C" w14:textId="77777777">
        <w:tc>
          <w:tcPr>
            <w:tcW w:w="2520" w:type="dxa"/>
          </w:tcPr>
          <w:p w14:paraId="45D1CFAE" w14:textId="194AB23A" w:rsidR="00E74C8C" w:rsidRPr="00A82F73" w:rsidRDefault="00000000">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520" w:type="dxa"/>
          </w:tcPr>
          <w:p w14:paraId="1D192C57" w14:textId="77777777" w:rsidR="00E74C8C" w:rsidRDefault="00000000">
            <w:r>
              <w:t>0.107</w:t>
            </w:r>
          </w:p>
        </w:tc>
        <w:tc>
          <w:tcPr>
            <w:tcW w:w="2520" w:type="dxa"/>
          </w:tcPr>
          <w:p w14:paraId="69C6CF2F" w14:textId="77777777" w:rsidR="00E74C8C" w:rsidRDefault="00000000">
            <w:r>
              <w:t>0.189</w:t>
            </w:r>
          </w:p>
        </w:tc>
        <w:tc>
          <w:tcPr>
            <w:tcW w:w="2520" w:type="dxa"/>
          </w:tcPr>
          <w:p w14:paraId="0B072627" w14:textId="77777777" w:rsidR="00E74C8C" w:rsidRDefault="00000000">
            <w:r>
              <w:t>0.079</w:t>
            </w:r>
          </w:p>
        </w:tc>
      </w:tr>
    </w:tbl>
    <w:p w14:paraId="7CE6ACD3" w14:textId="77777777" w:rsidR="00B86A12" w:rsidRDefault="00B86A12"/>
    <w:p w14:paraId="56FB9F41" w14:textId="77777777" w:rsidR="00F121D0" w:rsidRDefault="009611E9" w:rsidP="00F121D0">
      <w:pPr>
        <w:pStyle w:val="Caption"/>
      </w:pPr>
      <w:commentRangeStart w:id="18"/>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9"/>
                    <a:stretch>
                      <a:fillRect/>
                    </a:stretch>
                  </pic:blipFill>
                  <pic:spPr>
                    <a:xfrm>
                      <a:off x="0" y="0"/>
                      <a:ext cx="6400800" cy="5232400"/>
                    </a:xfrm>
                    <a:prstGeom prst="rect">
                      <a:avLst/>
                    </a:prstGeom>
                  </pic:spPr>
                </pic:pic>
              </a:graphicData>
            </a:graphic>
          </wp:inline>
        </w:drawing>
      </w:r>
      <w:commentRangeEnd w:id="18"/>
      <w:r>
        <w:rPr>
          <w:rStyle w:val="CommentReference"/>
          <w:sz w:val="18"/>
          <w:szCs w:val="18"/>
        </w:rPr>
        <w:commentReference w:id="18"/>
      </w:r>
    </w:p>
    <w:p w14:paraId="388109B2" w14:textId="18C6E706" w:rsidR="00B86A12" w:rsidRDefault="00F121D0" w:rsidP="00F121D0">
      <w:pPr>
        <w:pStyle w:val="Caption"/>
        <w:jc w:val="center"/>
      </w:pPr>
      <w:bookmarkStart w:id="19" w:name="_Ref_fig4"/>
      <w:r>
        <w:t xml:space="preserve">Figure </w:t>
      </w:r>
      <w:r w:rsidR="00893723">
        <w:fldChar w:fldCharType="begin"/>
      </w:r>
      <w:r w:rsidR="00893723">
        <w:instrText xml:space="preserve"> SEQ Figure \* ARABIC </w:instrText>
      </w:r>
      <w:r w:rsidR="00893723">
        <w:fldChar w:fldCharType="separate"/>
      </w:r>
      <w:r w:rsidR="00893723">
        <w:rPr>
          <w:noProof/>
        </w:rPr>
        <w:t>4</w:t>
      </w:r>
      <w:r w:rsidR="00893723">
        <w:rPr>
          <w:noProof/>
        </w:rPr>
        <w:fldChar w:fldCharType="end"/>
      </w:r>
      <w:bookmarkEnd w:id="19"/>
      <w:r>
        <w:t>: Coefficient paths for the five main disparity predictors across the eight-model ladder. This condenses the paper’s central identification claim into one visual: some coefficients attenuate, but the overall cross-technology disparity pattern remains.</w:t>
      </w:r>
    </w:p>
    <w:p w14:paraId="2F6E98DD" w14:textId="77777777" w:rsidR="00B86A12" w:rsidRDefault="00000000">
      <w:pPr>
        <w:pStyle w:val="Heading2"/>
        <w:numPr>
          <w:ilvl w:val="1"/>
          <w:numId w:val="11"/>
        </w:numPr>
      </w:pPr>
      <w:r>
        <w:t>Baseline patterns across DER types</w:t>
      </w:r>
    </w:p>
    <w:p w14:paraId="40EB1B72" w14:textId="739065C5" w:rsidR="00B86A12" w:rsidRDefault="00000000">
      <w:r>
        <w:t xml:space="preserve">A consistent pattern across the main specifications is that racial and socioeconomic disparities are not uniform across technologies. </w:t>
      </w:r>
      <w:r>
        <w:fldChar w:fldCharType="begin"/>
      </w:r>
      <w:r>
        <w:instrText xml:space="preserve"> REF _Ref_tbl3 \h </w:instrText>
      </w:r>
      <w:r>
        <w:fldChar w:fldCharType="separate"/>
      </w:r>
      <w:r>
        <w:t>Table 3</w:t>
      </w:r>
      <w:r>
        <w:fldChar w:fldCharType="end"/>
      </w:r>
      <w:r>
        <w:t xml:space="preserve"> and </w:t>
      </w:r>
      <w:r>
        <w:fldChar w:fldCharType="begin"/>
      </w:r>
      <w:r>
        <w:instrText xml:space="preserve"> REF _Ref_fig4 \h </w:instrText>
      </w:r>
      <w:r>
        <w:fldChar w:fldCharType="separate"/>
      </w:r>
      <w:r>
        <w:t>Figure 4</w:t>
      </w:r>
      <w:r>
        <w:fldChar w:fldCharType="end"/>
      </w:r>
      <w:r>
        <w:t xml:space="preserve">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positively associated with Asian share in the refreshed baseline model, and strongly positively associated with poverty rate. This makes EV charging substantively different from the PV and storage results and</w:t>
      </w:r>
      <w:r>
        <w:t xml:space="preserve"> suggests that “charger availability” may be capturing a different mix of infrastructure types and siting logic than household-centered DER adoption.</w:t>
      </w:r>
    </w:p>
    <w:p w14:paraId="70D2FBE1" w14:textId="77777777" w:rsidR="00F121D0" w:rsidRDefault="009611E9" w:rsidP="00F121D0">
      <w:pPr>
        <w:keepNext/>
        <w:jc w:val="center"/>
      </w:pPr>
      <w:r>
        <w:rPr>
          <w:noProof/>
        </w:rPr>
        <w:lastRenderedPageBreak/>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14:paraId="1688B0FE" w14:textId="048D60AC" w:rsidR="00B86A12" w:rsidRDefault="00F121D0" w:rsidP="00F121D0">
      <w:pPr>
        <w:pStyle w:val="Caption"/>
        <w:jc w:val="center"/>
      </w:pPr>
      <w:bookmarkStart w:id="20" w:name="_Ref_fig5"/>
      <w:r>
        <w:t xml:space="preserve">Figure </w:t>
      </w:r>
      <w:r w:rsidR="00893723">
        <w:fldChar w:fldCharType="begin"/>
      </w:r>
      <w:r w:rsidR="00893723">
        <w:instrText xml:space="preserve"> SEQ Figure \* ARABIC </w:instrText>
      </w:r>
      <w:r w:rsidR="00893723">
        <w:fldChar w:fldCharType="separate"/>
      </w:r>
      <w:r w:rsidR="00893723">
        <w:rPr>
          <w:noProof/>
        </w:rPr>
        <w:t>5</w:t>
      </w:r>
      <w:r w:rsidR="00893723">
        <w:rPr>
          <w:noProof/>
        </w:rPr>
        <w:fldChar w:fldCharType="end"/>
      </w:r>
      <w:bookmarkEnd w:id="20"/>
      <w:r>
        <w:t>: Cross-outcome dot-whisker comparison from the standardized model outputs for Solar PV, Storage, EV Chargers, and Wind MW. This figure summarizes how core predictors vary across the continuous DER outcomes.</w:t>
      </w:r>
    </w:p>
    <w:p w14:paraId="7477B442" w14:textId="7AD23ABE" w:rsidR="00B86A12" w:rsidRDefault="00000000">
      <w:pPr>
        <w:pStyle w:val="Heading2"/>
        <w:numPr>
          <w:ilvl w:val="1"/>
          <w:numId w:val="11"/>
        </w:numPr>
      </w:pPr>
      <w:r>
        <w:t>Solar PV: Persistent disparities after resource controls</w:t>
      </w:r>
    </w:p>
    <w:p w14:paraId="2F4B46FB"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Figure 6</w:t>
      </w:r>
      <w:r>
        <w:fldChar w:fldCharType="end"/>
      </w:r>
      <w:r>
        <w:t xml:space="preserve">, the coefficient on </w:t>
      </w:r>
      <w:r>
        <w:rPr>
          <w:rFonts w:ascii="Courier New" w:hAnsi="Courier New" w:cs="Courier New"/>
          <w:sz w:val="18"/>
          <w:szCs w:val="18"/>
        </w:rPr>
        <w:t>log_median_household_income</w:t>
      </w:r>
      <w:r>
        <w:rPr>
          <w:sz w:val="18"/>
          <w:szCs w:val="18"/>
        </w:rPr>
        <w:t xml:space="preserve"> </w:t>
      </w:r>
      <w:r>
        <w:t xml:space="preserve">is positive and statistically significant in the baseline model, while </w:t>
      </w:r>
      <w:r>
        <w:rPr>
          <w:rFonts w:ascii="Courier New" w:hAnsi="Courier New" w:cs="Courier New"/>
          <w:sz w:val="18"/>
          <w:szCs w:val="18"/>
        </w:rPr>
        <w:t>pct_black</w:t>
      </w:r>
      <w:r>
        <w:rPr>
          <w:sz w:val="18"/>
          <w:szCs w:val="18"/>
        </w:rPr>
        <w:t xml:space="preserve"> </w:t>
      </w:r>
      <w:r>
        <w:t xml:space="preserve">and </w:t>
      </w:r>
      <w:r>
        <w:rPr>
          <w:rFonts w:ascii="Courier New" w:hAnsi="Courier New" w:cs="Courier New"/>
          <w:sz w:val="18"/>
          <w:szCs w:val="18"/>
        </w:rPr>
        <w:t>pct_asian</w:t>
      </w:r>
      <w:r>
        <w:rPr>
          <w:sz w:val="18"/>
          <w:szCs w:val="18"/>
        </w:rPr>
        <w:t xml:space="preserve"> </w:t>
      </w:r>
      <w:r>
        <w:t xml:space="preserve">are strongly negative. Solar resource potential behaves as expected: </w:t>
      </w:r>
      <w:r>
        <w:rPr>
          <w:rFonts w:ascii="Courier New" w:hAnsi="Courier New" w:cs="Courier New"/>
          <w:sz w:val="18"/>
          <w:szCs w:val="18"/>
        </w:rPr>
        <w:t>ghi_mean_kwh_m2_day_2023</w:t>
      </w:r>
      <w:r>
        <w:rPr>
          <w:sz w:val="18"/>
          <w:szCs w:val="18"/>
        </w:rPr>
        <w:t xml:space="preserve"> </w:t>
      </w:r>
      <w:r>
        <w:t>is positive and highly significant, suggesting that physical suitability is an important predictor of deployment.</w:t>
      </w:r>
    </w:p>
    <w:p w14:paraId="75EEE086" w14:textId="06910D37" w:rsidR="00B86A12" w:rsidRDefault="00000000">
      <w:r>
        <w:t>These disparities remain substantively present as the model becomes more demanding. Adding educational attainment (Model 2) strengthens the estimated income effect and makes the coefficient on</w:t>
      </w:r>
      <w:r>
        <w:rPr>
          <w:rFonts w:ascii="Courier New" w:hAnsi="Courier New"/>
          <w:sz w:val="18"/>
        </w:rPr>
        <w:t xml:space="preserve"> pct_hispanic</w:t>
      </w:r>
      <w:r>
        <w:t xml:space="preserve"> negative and statistically significant as well, while the negative coefficients on</w:t>
      </w:r>
      <w:r>
        <w:rPr>
          <w:rFonts w:ascii="Courier New" w:hAnsi="Courier New"/>
          <w:sz w:val="18"/>
        </w:rPr>
        <w:t xml:space="preserve"> pct_black</w:t>
      </w:r>
      <w:r>
        <w:t xml:space="preserve"> and</w:t>
      </w:r>
      <w:r>
        <w:rPr>
          <w:rFonts w:ascii="Courier New" w:hAnsi="Courier New"/>
          <w:sz w:val="18"/>
        </w:rPr>
        <w:t xml:space="preserve"> pct_asian</w:t>
      </w:r>
      <w:r>
        <w:t xml:space="preserve"> remain large. In the county-clustered specification (Model 5C), the income effect attenuates and becomes marginal, but the negative coefficient on</w:t>
      </w:r>
      <w:r>
        <w:rPr>
          <w:rFonts w:ascii="Courier New" w:hAnsi="Courier New"/>
          <w:sz w:val="18"/>
        </w:rPr>
        <w:t xml:space="preserve"> pct_asian</w:t>
      </w:r>
      <w:r>
        <w:t xml:space="preserve"> remains strongly significant, and the negative coefficient on</w:t>
      </w:r>
      <w:r>
        <w:rPr>
          <w:rFonts w:ascii="Courier New" w:hAnsi="Courier New"/>
          <w:sz w:val="18"/>
        </w:rPr>
        <w:t xml:space="preserve"> pct_black</w:t>
      </w:r>
      <w:r>
        <w:t xml:space="preserve"> remains statistically distinguishable from zero. In the infrastructure-control and demand-proxy models (Models 7 and 8), the PV results continue to show large negative associations for</w:t>
      </w:r>
      <w:r>
        <w:rPr>
          <w:rFonts w:ascii="Courier New" w:hAnsi="Courier New"/>
          <w:sz w:val="18"/>
        </w:rPr>
        <w:t xml:space="preserve"> pct_black</w:t>
      </w:r>
      <w:r>
        <w:t xml:space="preserve"> and</w:t>
      </w:r>
      <w:r>
        <w:rPr>
          <w:rFonts w:ascii="Courier New" w:hAnsi="Courier New"/>
          <w:sz w:val="18"/>
        </w:rPr>
        <w:t xml:space="preserve"> pct_asian</w:t>
      </w:r>
      <w:r>
        <w:t>, indicating that these patterns are not explained away by existing energy infrastructure or underlying electricity demand.</w:t>
      </w:r>
    </w:p>
    <w:p w14:paraId="6828709C" w14:textId="77777777" w:rsidR="00B86A12" w:rsidRDefault="00000000">
      <w:r>
        <w:lastRenderedPageBreak/>
        <w:t>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w:t>
      </w:r>
    </w:p>
    <w:p w14:paraId="489C5BC6" w14:textId="77777777" w:rsidR="00F121D0" w:rsidRDefault="00A51986" w:rsidP="00F121D0">
      <w:pPr>
        <w:keepNext/>
        <w:jc w:val="center"/>
      </w:pPr>
      <w:r>
        <w:rPr>
          <w:noProof/>
        </w:rPr>
        <w:drawing>
          <wp:inline distT="0" distB="0" distL="0" distR="0" wp14:anchorId="42D8B59F" wp14:editId="107FF428">
            <wp:extent cx="4438015" cy="4049485"/>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4022"/>
                    <a:stretch>
                      <a:fillRect/>
                    </a:stretch>
                  </pic:blipFill>
                  <pic:spPr bwMode="auto">
                    <a:xfrm>
                      <a:off x="0" y="0"/>
                      <a:ext cx="4452728" cy="4062910"/>
                    </a:xfrm>
                    <a:prstGeom prst="rect">
                      <a:avLst/>
                    </a:prstGeom>
                    <a:ln>
                      <a:noFill/>
                    </a:ln>
                    <a:extLst>
                      <a:ext uri="{53640926-AAD7-44D8-BBD7-CCE9431645EC}">
                        <a14:shadowObscured xmlns:a14="http://schemas.microsoft.com/office/drawing/2010/main"/>
                      </a:ext>
                    </a:extLst>
                  </pic:spPr>
                </pic:pic>
              </a:graphicData>
            </a:graphic>
          </wp:inline>
        </w:drawing>
      </w:r>
    </w:p>
    <w:p w14:paraId="7274FB24" w14:textId="27A1D5F6" w:rsidR="00B86A12" w:rsidRDefault="00F121D0" w:rsidP="00F121D0">
      <w:pPr>
        <w:pStyle w:val="Caption"/>
        <w:jc w:val="center"/>
      </w:pPr>
      <w:bookmarkStart w:id="21" w:name="_Ref_fig6"/>
      <w:r>
        <w:t xml:space="preserve">Figure </w:t>
      </w:r>
      <w:r w:rsidR="00893723">
        <w:fldChar w:fldCharType="begin"/>
      </w:r>
      <w:r w:rsidR="00893723">
        <w:instrText xml:space="preserve"> SEQ Figure \* ARABIC </w:instrText>
      </w:r>
      <w:r w:rsidR="00893723">
        <w:fldChar w:fldCharType="separate"/>
      </w:r>
      <w:r w:rsidR="00893723">
        <w:rPr>
          <w:noProof/>
        </w:rPr>
        <w:t>6</w:t>
      </w:r>
      <w:r w:rsidR="00893723">
        <w:rPr>
          <w:noProof/>
        </w:rPr>
        <w:fldChar w:fldCharType="end"/>
      </w:r>
      <w:bookmarkEnd w:id="21"/>
      <w:r>
        <w:t>: Standardized robustness summary for y_pv. This is the closest existing exported figure to a coefficient-stability view of the rooftop PV results across the model ladder.</w:t>
      </w:r>
    </w:p>
    <w:p w14:paraId="2C903875" w14:textId="77777777" w:rsidR="00B86A12" w:rsidRDefault="00000000">
      <w:pPr>
        <w:pStyle w:val="Heading2"/>
        <w:numPr>
          <w:ilvl w:val="1"/>
          <w:numId w:val="11"/>
        </w:numPr>
      </w:pPr>
      <w:r>
        <w:t>Storage: the strongest and most consistent inequities</w:t>
      </w:r>
    </w:p>
    <w:p w14:paraId="33D2B52D"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Figure 7</w:t>
      </w:r>
      <w:r>
        <w:fldChar w:fldCharType="end"/>
      </w:r>
      <w:r>
        <w:t xml:space="preserve"> shows that in the baseline storage model </w:t>
      </w:r>
      <w:r>
        <w:rPr>
          <w:rFonts w:ascii="Courier New" w:hAnsi="Courier New" w:cs="Courier New"/>
          <w:sz w:val="18"/>
          <w:szCs w:val="18"/>
        </w:rPr>
        <w:t>log_median_household_income</w:t>
      </w:r>
      <w:r>
        <w:rPr>
          <w:sz w:val="18"/>
          <w:szCs w:val="18"/>
        </w:rPr>
        <w:t xml:space="preserve"> </w:t>
      </w:r>
      <w:r>
        <w:t xml:space="preserve">is strongly positive, while </w:t>
      </w:r>
      <w:r>
        <w:rPr>
          <w:rFonts w:ascii="Courier New" w:hAnsi="Courier New" w:cs="Courier New"/>
          <w:sz w:val="18"/>
          <w:szCs w:val="18"/>
        </w:rPr>
        <w:t>pct_black</w:t>
      </w:r>
      <w:r>
        <w:t xml:space="preserve">, </w:t>
      </w:r>
      <w:r>
        <w:rPr>
          <w:rFonts w:ascii="Courier New" w:hAnsi="Courier New" w:cs="Courier New"/>
          <w:sz w:val="18"/>
          <w:szCs w:val="18"/>
        </w:rPr>
        <w:t>pct_hispanic</w:t>
      </w:r>
      <w:r>
        <w:t xml:space="preserve">, and </w:t>
      </w:r>
      <w:r>
        <w:rPr>
          <w:rFonts w:ascii="Courier New" w:hAnsi="Courier New" w:cs="Courier New"/>
          <w:sz w:val="18"/>
          <w:szCs w:val="18"/>
        </w:rPr>
        <w:t>pct_asian</w:t>
      </w:r>
      <w:r>
        <w:rPr>
          <w:sz w:val="18"/>
          <w:szCs w:val="18"/>
        </w:rPr>
        <w:t xml:space="preserve"> </w:t>
      </w:r>
      <w:r>
        <w:t>are all negative. Compared with the PV results, the storage coefficients are larger in magnitude and remain negative across nearly every robustness check examined.</w:t>
      </w:r>
    </w:p>
    <w:p w14:paraId="357D3C91" w14:textId="31677CEF"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4DD60154" w14:textId="22BAA931" w:rsidR="00B86A12" w:rsidRDefault="00306FC0">
      <w:r>
        <w:t xml:space="preserve">We also estimate an additional robustness model (Model 9) that adds </w:t>
      </w:r>
      <w:r>
        <w:rPr>
          <w:rFonts w:ascii="Courier New" w:hAnsi="Courier New" w:cs="Courier New"/>
          <w:sz w:val="20"/>
          <w:szCs w:val="20"/>
        </w:rPr>
        <w:t>y_pv</w:t>
      </w:r>
      <w:r>
        <w:rPr>
          <w:sz w:val="20"/>
          <w:szCs w:val="20"/>
        </w:rPr>
        <w:t xml:space="preserve"> </w:t>
      </w:r>
      <w:r>
        <w:t xml:space="preserve">to the most controlled storage specification to ask whether storage inequities persist after conditioning on local PV deployment intensity. The PV term is large and positive (1.143, p &lt; 0.001), as expected for a solar-plus-storage pathway, but the race </w:t>
      </w:r>
      <w:r>
        <w:lastRenderedPageBreak/>
        <w:t xml:space="preserve">coefficients remain negative and statistically significant: </w:t>
      </w:r>
      <w:r>
        <w:rPr>
          <w:rFonts w:ascii="Courier New" w:hAnsi="Courier New" w:cs="Courier New"/>
          <w:sz w:val="18"/>
          <w:szCs w:val="18"/>
        </w:rPr>
        <w:t xml:space="preserve">pct_black </w:t>
      </w:r>
      <w:r>
        <w:t xml:space="preserve">= -1.297 (p &lt; 0.001), </w:t>
      </w:r>
      <w:r>
        <w:rPr>
          <w:rFonts w:ascii="Courier New" w:hAnsi="Courier New" w:cs="Courier New"/>
          <w:sz w:val="18"/>
          <w:szCs w:val="18"/>
        </w:rPr>
        <w:t>pct_hispanic</w:t>
      </w:r>
      <w:r>
        <w:rPr>
          <w:sz w:val="18"/>
          <w:szCs w:val="18"/>
        </w:rPr>
        <w:t xml:space="preserve"> </w:t>
      </w:r>
      <w:r>
        <w:t xml:space="preserve">= -1.003 (p &lt; 0.001), and </w:t>
      </w:r>
      <w:r>
        <w:rPr>
          <w:rFonts w:ascii="Courier New" w:hAnsi="Courier New" w:cs="Courier New"/>
          <w:sz w:val="18"/>
          <w:szCs w:val="18"/>
        </w:rPr>
        <w:t xml:space="preserve">pct_asian </w:t>
      </w:r>
      <w:r>
        <w:t>= -1.136 (p &lt; 0.001). This is an important result for the paper’s policy argument because it suggests that the storage gap is not explained solely by unequal PV deployment upstream.</w:t>
      </w:r>
    </w:p>
    <w:p w14:paraId="4A2F64F9" w14:textId="5349C97E" w:rsidR="00F121D0" w:rsidRDefault="00F121D0" w:rsidP="00F121D0">
      <w:pPr>
        <w:pStyle w:val="Caption"/>
        <w:keepNext/>
      </w:pPr>
      <w:bookmarkStart w:id="22" w:name="_Ref_tbl4"/>
      <w:r>
        <w:t xml:space="preserve">Table </w:t>
      </w:r>
      <w:r>
        <w:fldChar w:fldCharType="begin"/>
      </w:r>
      <w:r>
        <w:instrText xml:space="preserve"> SEQ Table \* ARABIC </w:instrText>
      </w:r>
      <w:r>
        <w:fldChar w:fldCharType="separate"/>
      </w:r>
      <w:r>
        <w:t>4</w:t>
      </w:r>
      <w:r>
        <w:fldChar w:fldCharType="end"/>
      </w:r>
      <w:bookmarkEnd w:id="22"/>
      <w:r>
        <w:t>: Storage Model 9 PV-control robustness.</w:t>
      </w:r>
    </w:p>
    <w:tbl>
      <w:tblPr>
        <w:tblStyle w:val="TableGrid"/>
        <w:tblW w:w="0" w:type="auto"/>
        <w:tblLook w:val="04A0" w:firstRow="1" w:lastRow="0" w:firstColumn="1" w:lastColumn="0" w:noHBand="0" w:noVBand="1"/>
      </w:tblPr>
      <w:tblGrid>
        <w:gridCol w:w="2809"/>
        <w:gridCol w:w="2425"/>
        <w:gridCol w:w="2399"/>
        <w:gridCol w:w="2437"/>
      </w:tblGrid>
      <w:tr w:rsidR="00B86A12" w14:paraId="325A45B8" w14:textId="77777777">
        <w:tc>
          <w:tcPr>
            <w:tcW w:w="2520" w:type="dxa"/>
          </w:tcPr>
          <w:p w14:paraId="25FDCC15" w14:textId="77777777" w:rsidR="00E74C8C" w:rsidRDefault="00000000">
            <w:r>
              <w:t>Predictor</w:t>
            </w:r>
          </w:p>
        </w:tc>
        <w:tc>
          <w:tcPr>
            <w:tcW w:w="2520" w:type="dxa"/>
          </w:tcPr>
          <w:p w14:paraId="148B0FEF" w14:textId="77777777" w:rsidR="00E74C8C" w:rsidRDefault="00000000">
            <w:r>
              <w:t>Coefficient</w:t>
            </w:r>
          </w:p>
        </w:tc>
        <w:tc>
          <w:tcPr>
            <w:tcW w:w="2520" w:type="dxa"/>
          </w:tcPr>
          <w:p w14:paraId="35EEF02F" w14:textId="77777777" w:rsidR="00E74C8C" w:rsidRDefault="00000000">
            <w:r>
              <w:t>Robust SE</w:t>
            </w:r>
          </w:p>
        </w:tc>
        <w:tc>
          <w:tcPr>
            <w:tcW w:w="2520" w:type="dxa"/>
          </w:tcPr>
          <w:p w14:paraId="2A8102EF" w14:textId="77777777" w:rsidR="00E74C8C" w:rsidRDefault="00000000">
            <w:r>
              <w:t>p-value</w:t>
            </w:r>
          </w:p>
        </w:tc>
      </w:tr>
      <w:tr w:rsidR="00B86A12" w14:paraId="258A0E08" w14:textId="77777777">
        <w:tc>
          <w:tcPr>
            <w:tcW w:w="2520" w:type="dxa"/>
          </w:tcPr>
          <w:p w14:paraId="4C3174D7"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205C4382" w14:textId="77777777" w:rsidR="00E74C8C" w:rsidRDefault="00000000">
            <w:r>
              <w:t>0.533***</w:t>
            </w:r>
          </w:p>
        </w:tc>
        <w:tc>
          <w:tcPr>
            <w:tcW w:w="2520" w:type="dxa"/>
          </w:tcPr>
          <w:p w14:paraId="0E969F2E" w14:textId="77777777" w:rsidR="00E74C8C" w:rsidRDefault="00000000">
            <w:r>
              <w:t>0.145</w:t>
            </w:r>
          </w:p>
        </w:tc>
        <w:tc>
          <w:tcPr>
            <w:tcW w:w="2520" w:type="dxa"/>
          </w:tcPr>
          <w:p w14:paraId="43657017" w14:textId="77777777" w:rsidR="00E74C8C" w:rsidRDefault="00000000">
            <w:r>
              <w:t>&lt; 0.001</w:t>
            </w:r>
          </w:p>
        </w:tc>
      </w:tr>
      <w:tr w:rsidR="00B86A12" w14:paraId="5E5D5B06" w14:textId="77777777">
        <w:tc>
          <w:tcPr>
            <w:tcW w:w="2520" w:type="dxa"/>
          </w:tcPr>
          <w:p w14:paraId="3C48FD0F"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5720EC1C" w14:textId="77777777" w:rsidR="00E74C8C" w:rsidRDefault="00000000">
            <w:r>
              <w:t>-1.297***</w:t>
            </w:r>
          </w:p>
        </w:tc>
        <w:tc>
          <w:tcPr>
            <w:tcW w:w="2520" w:type="dxa"/>
          </w:tcPr>
          <w:p w14:paraId="250EC8D6" w14:textId="77777777" w:rsidR="00E74C8C" w:rsidRDefault="00000000">
            <w:r>
              <w:t>0.286</w:t>
            </w:r>
          </w:p>
        </w:tc>
        <w:tc>
          <w:tcPr>
            <w:tcW w:w="2520" w:type="dxa"/>
          </w:tcPr>
          <w:p w14:paraId="433B8B57" w14:textId="77777777" w:rsidR="00E74C8C" w:rsidRDefault="00000000">
            <w:r>
              <w:t>&lt; 0.001</w:t>
            </w:r>
          </w:p>
        </w:tc>
      </w:tr>
      <w:tr w:rsidR="00B86A12" w14:paraId="2A0BF0CF" w14:textId="77777777">
        <w:tc>
          <w:tcPr>
            <w:tcW w:w="2520" w:type="dxa"/>
          </w:tcPr>
          <w:p w14:paraId="3E79EDE4"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66A80F34" w14:textId="77777777" w:rsidR="00E74C8C" w:rsidRDefault="00000000">
            <w:r>
              <w:t>-1.003***</w:t>
            </w:r>
          </w:p>
        </w:tc>
        <w:tc>
          <w:tcPr>
            <w:tcW w:w="2520" w:type="dxa"/>
          </w:tcPr>
          <w:p w14:paraId="585C33C0" w14:textId="77777777" w:rsidR="00E74C8C" w:rsidRDefault="00000000">
            <w:r>
              <w:t>0.145</w:t>
            </w:r>
          </w:p>
        </w:tc>
        <w:tc>
          <w:tcPr>
            <w:tcW w:w="2520" w:type="dxa"/>
          </w:tcPr>
          <w:p w14:paraId="643A423C" w14:textId="77777777" w:rsidR="00E74C8C" w:rsidRDefault="00000000">
            <w:r>
              <w:t>&lt; 0.001</w:t>
            </w:r>
          </w:p>
        </w:tc>
      </w:tr>
      <w:tr w:rsidR="00B86A12" w14:paraId="7E3775FC" w14:textId="77777777">
        <w:tc>
          <w:tcPr>
            <w:tcW w:w="2520" w:type="dxa"/>
          </w:tcPr>
          <w:p w14:paraId="2721F617"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5CEA8F5E" w14:textId="77777777" w:rsidR="00E74C8C" w:rsidRDefault="00000000">
            <w:r>
              <w:t>-1.136***</w:t>
            </w:r>
          </w:p>
        </w:tc>
        <w:tc>
          <w:tcPr>
            <w:tcW w:w="2520" w:type="dxa"/>
          </w:tcPr>
          <w:p w14:paraId="2D8B0023" w14:textId="77777777" w:rsidR="00E74C8C" w:rsidRDefault="00000000">
            <w:r>
              <w:t>0.162</w:t>
            </w:r>
          </w:p>
        </w:tc>
        <w:tc>
          <w:tcPr>
            <w:tcW w:w="2520" w:type="dxa"/>
          </w:tcPr>
          <w:p w14:paraId="48910346" w14:textId="77777777" w:rsidR="00E74C8C" w:rsidRDefault="00000000">
            <w:r>
              <w:t>&lt; 0.001</w:t>
            </w:r>
          </w:p>
        </w:tc>
      </w:tr>
      <w:tr w:rsidR="00B86A12" w14:paraId="07FEF274" w14:textId="77777777">
        <w:tc>
          <w:tcPr>
            <w:tcW w:w="2520" w:type="dxa"/>
          </w:tcPr>
          <w:p w14:paraId="30B6316B" w14:textId="77777777" w:rsidR="00E74C8C" w:rsidRPr="00C86F74" w:rsidRDefault="00000000">
            <w:pPr>
              <w:rPr>
                <w:rFonts w:ascii="Courier New" w:hAnsi="Courier New" w:cs="Courier New"/>
                <w:sz w:val="16"/>
                <w:szCs w:val="16"/>
                <w:highlight w:val="yellow"/>
              </w:rPr>
            </w:pPr>
            <w:commentRangeStart w:id="23"/>
            <w:r>
              <w:rPr>
                <w:rFonts w:ascii="Courier New" w:hAnsi="Courier New" w:cs="Courier New"/>
                <w:sz w:val="16"/>
                <w:szCs w:val="16"/>
                <w:highlight w:val="yellow"/>
              </w:rPr>
              <w:t>pct_bachelors_plus</w:t>
            </w:r>
          </w:p>
        </w:tc>
        <w:tc>
          <w:tcPr>
            <w:tcW w:w="2520" w:type="dxa"/>
          </w:tcPr>
          <w:p w14:paraId="5892ACDD" w14:textId="77777777" w:rsidR="00E74C8C" w:rsidRPr="00C86F74" w:rsidRDefault="00000000">
            <w:pPr>
              <w:rPr>
                <w:highlight w:val="yellow"/>
              </w:rPr>
            </w:pPr>
            <w:r>
              <w:rPr>
                <w:highlight w:val="yellow"/>
              </w:rPr>
              <w:t>-0.611***</w:t>
            </w:r>
          </w:p>
        </w:tc>
        <w:tc>
          <w:tcPr>
            <w:tcW w:w="2520" w:type="dxa"/>
          </w:tcPr>
          <w:p w14:paraId="0DFE6FB5" w14:textId="77777777" w:rsidR="00E74C8C" w:rsidRPr="00C86F74" w:rsidRDefault="00000000">
            <w:pPr>
              <w:rPr>
                <w:highlight w:val="yellow"/>
              </w:rPr>
            </w:pPr>
            <w:r>
              <w:rPr>
                <w:highlight w:val="yellow"/>
              </w:rPr>
              <w:t>0.235</w:t>
            </w:r>
          </w:p>
        </w:tc>
        <w:tc>
          <w:tcPr>
            <w:tcW w:w="2520" w:type="dxa"/>
          </w:tcPr>
          <w:p w14:paraId="751028ED" w14:textId="77777777" w:rsidR="00E74C8C" w:rsidRPr="00C86F74" w:rsidRDefault="00000000">
            <w:pPr>
              <w:rPr>
                <w:highlight w:val="yellow"/>
              </w:rPr>
            </w:pPr>
            <w:r>
              <w:rPr>
                <w:highlight w:val="yellow"/>
              </w:rPr>
              <w:t>0.009</w:t>
            </w:r>
            <w:commentRangeEnd w:id="23"/>
            <w:r w:rsidRPr="00C86F74">
              <w:rPr>
                <w:rStyle w:val="CommentReference"/>
                <w:sz w:val="22"/>
                <w:szCs w:val="22"/>
                <w:highlight w:val="yellow"/>
              </w:rPr>
              <w:commentReference w:id="23"/>
            </w:r>
          </w:p>
        </w:tc>
      </w:tr>
      <w:tr w:rsidR="00B86A12" w14:paraId="690B9970" w14:textId="77777777">
        <w:tc>
          <w:tcPr>
            <w:tcW w:w="2520" w:type="dxa"/>
          </w:tcPr>
          <w:p w14:paraId="5AA80443"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AB85A0C" w14:textId="77777777" w:rsidR="00E74C8C" w:rsidRDefault="00000000">
            <w:r>
              <w:t>1.143***</w:t>
            </w:r>
          </w:p>
        </w:tc>
        <w:tc>
          <w:tcPr>
            <w:tcW w:w="2520" w:type="dxa"/>
          </w:tcPr>
          <w:p w14:paraId="0D638B27" w14:textId="77777777" w:rsidR="00E74C8C" w:rsidRDefault="00000000">
            <w:r>
              <w:t>0.175</w:t>
            </w:r>
          </w:p>
        </w:tc>
        <w:tc>
          <w:tcPr>
            <w:tcW w:w="2520" w:type="dxa"/>
          </w:tcPr>
          <w:p w14:paraId="3EDE1655" w14:textId="77777777" w:rsidR="00E74C8C" w:rsidRDefault="00000000">
            <w:r>
              <w:t>&lt; 0.001</w:t>
            </w:r>
          </w:p>
        </w:tc>
      </w:tr>
    </w:tbl>
    <w:p w14:paraId="7D0A405D" w14:textId="77777777" w:rsidR="00B86A12" w:rsidRDefault="00B86A12"/>
    <w:p w14:paraId="0D543875" w14:textId="77777777" w:rsidR="00B86A12" w:rsidRDefault="00000000">
      <w: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p>
    <w:p w14:paraId="14C71F5B" w14:textId="77777777" w:rsidR="00F121D0" w:rsidRDefault="00A51986" w:rsidP="00F121D0">
      <w:pPr>
        <w:keepNext/>
        <w:jc w:val="center"/>
      </w:pPr>
      <w:r>
        <w:rPr>
          <w:noProof/>
        </w:rPr>
        <w:drawing>
          <wp:inline distT="0" distB="0" distL="0" distR="0" wp14:anchorId="7792669E" wp14:editId="4C0CDE96">
            <wp:extent cx="4153955" cy="4441371"/>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859"/>
                    <a:stretch>
                      <a:fillRect/>
                    </a:stretch>
                  </pic:blipFill>
                  <pic:spPr bwMode="auto">
                    <a:xfrm>
                      <a:off x="0" y="0"/>
                      <a:ext cx="4192669" cy="4482764"/>
                    </a:xfrm>
                    <a:prstGeom prst="rect">
                      <a:avLst/>
                    </a:prstGeom>
                    <a:ln>
                      <a:noFill/>
                    </a:ln>
                    <a:extLst>
                      <a:ext uri="{53640926-AAD7-44D8-BBD7-CCE9431645EC}">
                        <a14:shadowObscured xmlns:a14="http://schemas.microsoft.com/office/drawing/2010/main"/>
                      </a:ext>
                    </a:extLst>
                  </pic:spPr>
                </pic:pic>
              </a:graphicData>
            </a:graphic>
          </wp:inline>
        </w:drawing>
      </w:r>
    </w:p>
    <w:p w14:paraId="73069FF7" w14:textId="7EE39134" w:rsidR="00B86A12" w:rsidRDefault="00F121D0" w:rsidP="00F121D0">
      <w:pPr>
        <w:pStyle w:val="Caption"/>
        <w:jc w:val="center"/>
      </w:pPr>
      <w:bookmarkStart w:id="24" w:name="_Ref_fig7"/>
      <w:r>
        <w:t xml:space="preserve">Figure </w:t>
      </w:r>
      <w:r w:rsidR="00893723">
        <w:fldChar w:fldCharType="begin"/>
      </w:r>
      <w:r w:rsidR="00893723">
        <w:instrText xml:space="preserve"> SEQ Figure \* ARABIC </w:instrText>
      </w:r>
      <w:r w:rsidR="00893723">
        <w:fldChar w:fldCharType="separate"/>
      </w:r>
      <w:r w:rsidR="00893723">
        <w:rPr>
          <w:noProof/>
        </w:rPr>
        <w:t>7</w:t>
      </w:r>
      <w:r w:rsidR="00893723">
        <w:rPr>
          <w:noProof/>
        </w:rPr>
        <w:fldChar w:fldCharType="end"/>
      </w:r>
      <w:bookmarkEnd w:id="24"/>
      <w:r>
        <w:t xml:space="preserve">: Standardized robustness summary for </w:t>
      </w:r>
      <w:r>
        <w:rPr>
          <w:rFonts w:ascii="Courier New" w:hAnsi="Courier New" w:cs="Courier New"/>
        </w:rPr>
        <w:t>y_storage.</w:t>
      </w:r>
      <w:r>
        <w:t xml:space="preserve"> Read together with Figure 6 and Table 4, this figure highlights that the storage coefficients are generally larger and more persistent than the PV coefficients.</w:t>
      </w:r>
    </w:p>
    <w:p w14:paraId="3C863A74" w14:textId="77777777" w:rsidR="00B86A12" w:rsidRDefault="00000000">
      <w:pPr>
        <w:pStyle w:val="Heading2"/>
        <w:numPr>
          <w:ilvl w:val="1"/>
          <w:numId w:val="11"/>
        </w:numPr>
      </w:pPr>
      <w:r>
        <w:lastRenderedPageBreak/>
        <w:t>EV charging: aggregate disparities mask charger-type composition</w:t>
      </w:r>
    </w:p>
    <w:p w14:paraId="047D57F3" w14:textId="77777777" w:rsidR="00B86A12" w:rsidRDefault="00000000">
      <w:r>
        <w:t xml:space="preserve">The EV charging results are more complex than the PV and storage findings. As shown in </w:t>
      </w:r>
      <w:r>
        <w:fldChar w:fldCharType="begin"/>
      </w:r>
      <w:r>
        <w:instrText xml:space="preserve"> REF _Ref_fig8 \h </w:instrText>
      </w:r>
      <w:r>
        <w:fldChar w:fldCharType="separate"/>
      </w:r>
      <w:r>
        <w:t>Figure 8</w:t>
      </w:r>
      <w:r>
        <w:fldChar w:fldCharType="end"/>
      </w:r>
      <w:r>
        <w:t xml:space="preserve">, the refreshed aggregate charger baseline has a positive but not conventionally significant income coefficient, a near-zero Black-share coefficient, a negative Hispanic-share coefficient, and a positive Asian-share coefficient. At the same time, </w:t>
      </w:r>
      <w:r>
        <w:rPr>
          <w:rFonts w:ascii="Courier New" w:hAnsi="Courier New" w:cs="Courier New"/>
          <w:sz w:val="18"/>
          <w:szCs w:val="18"/>
        </w:rPr>
        <w:t>poverty_rate</w:t>
      </w:r>
      <w:r>
        <w:rPr>
          <w:sz w:val="18"/>
          <w:szCs w:val="18"/>
        </w:rPr>
        <w:t xml:space="preserve"> </w:t>
      </w:r>
      <w:r>
        <w:t>is strongly positive. That positive poverty coefficient persists across several robustness checks, including county-clustered, infrastructure-control, and demand-proxy models.</w:t>
      </w:r>
    </w:p>
    <w:p w14:paraId="3EA31968" w14:textId="516C3C8A" w:rsidR="00B86A12" w:rsidRDefault="00000000">
      <w:r>
        <w:t xml:space="preserve">The charger-type decomposition helps clarify what is going on. In the standardized baseline models, the positive aggregate association with </w:t>
      </w:r>
      <w:bookmarkStart w:id="25" w:name="OLE_LINK2"/>
      <w:r>
        <w:rPr>
          <w:rFonts w:ascii="Courier New" w:hAnsi="Courier New" w:cs="Courier New"/>
          <w:sz w:val="18"/>
          <w:szCs w:val="18"/>
        </w:rPr>
        <w:t>poverty_rate</w:t>
      </w:r>
      <w:r>
        <w:rPr>
          <w:sz w:val="18"/>
          <w:szCs w:val="18"/>
        </w:rPr>
        <w:t xml:space="preserve"> </w:t>
      </w:r>
      <w:bookmarkEnd w:id="25"/>
      <w:r>
        <w:t xml:space="preserve">is not present for </w:t>
      </w:r>
      <w:r>
        <w:rPr>
          <w:rFonts w:ascii="Courier New" w:hAnsi="Courier New" w:cs="Courier New"/>
          <w:sz w:val="18"/>
          <w:szCs w:val="18"/>
        </w:rPr>
        <w:t>y_level1_chargers</w:t>
      </w:r>
      <w:r>
        <w:t xml:space="preserve">, where the coefficient is small and statistically insignificant (0.002, p = 0.584). Instead, the aggregate pattern appears to be driven primarily by </w:t>
      </w:r>
      <w:r>
        <w:rPr>
          <w:rFonts w:ascii="Courier New" w:hAnsi="Courier New" w:cs="Courier New"/>
          <w:sz w:val="18"/>
          <w:szCs w:val="18"/>
        </w:rPr>
        <w:t>y_level2_chargers</w:t>
      </w:r>
      <w:r>
        <w:t xml:space="preserve">, where </w:t>
      </w:r>
      <w:r>
        <w:rPr>
          <w:rFonts w:ascii="Courier New" w:hAnsi="Courier New" w:cs="Courier New"/>
          <w:sz w:val="18"/>
          <w:szCs w:val="18"/>
        </w:rPr>
        <w:t>poverty_rate</w:t>
      </w:r>
      <w:r>
        <w:rPr>
          <w:sz w:val="18"/>
          <w:szCs w:val="18"/>
        </w:rPr>
        <w:t xml:space="preserve"> </w:t>
      </w:r>
      <w:r>
        <w:t xml:space="preserve">is positive and highly significant (0.166, p &lt; 0.001). For </w:t>
      </w:r>
      <w:r>
        <w:rPr>
          <w:rFonts w:ascii="Courier New" w:hAnsi="Courier New" w:cs="Courier New"/>
          <w:sz w:val="18"/>
          <w:szCs w:val="18"/>
        </w:rPr>
        <w:t>y_dc_fast_chargers</w:t>
      </w:r>
      <w:r>
        <w:t xml:space="preserve">, the coefficient on </w:t>
      </w:r>
      <w:r>
        <w:rPr>
          <w:rFonts w:ascii="Courier New" w:hAnsi="Courier New" w:cs="Courier New"/>
          <w:sz w:val="18"/>
          <w:szCs w:val="18"/>
        </w:rPr>
        <w:t>poverty_rate</w:t>
      </w:r>
      <w:r>
        <w:rPr>
          <w:sz w:val="18"/>
          <w:szCs w:val="18"/>
        </w:rPr>
        <w:t xml:space="preserve"> </w:t>
      </w:r>
      <w:r>
        <w:t xml:space="preserve">is also positive, but it is imprecisely estimated in the standardized baseline model (0.028, p = 0.187). Taken together,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xml:space="preserve"> suggest that the positive relationship between poverty rate and the aggregate charger outcome is composition-driven rather than reflecting uniformly greater charging access across all charger types.</w:t>
      </w:r>
    </w:p>
    <w:p w14:paraId="6B70D9B1" w14:textId="7693E772" w:rsidR="00B86A12" w:rsidRDefault="00000000">
      <w:r>
        <w:t xml:space="preserve">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w:t>
      </w:r>
      <w:r>
        <w:t>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w:t>
      </w:r>
      <w:r>
        <w:t>ive meaning of the result and suggests that charger composition should be treated as central, not peripheral, in future equity work.</w:t>
      </w:r>
    </w:p>
    <w:p w14:paraId="5140AB07" w14:textId="77777777" w:rsidR="00F121D0" w:rsidRDefault="00A51986" w:rsidP="00F121D0">
      <w:pPr>
        <w:keepNext/>
        <w:jc w:val="center"/>
      </w:pPr>
      <w:r>
        <w:rPr>
          <w:noProof/>
        </w:rPr>
        <w:lastRenderedPageBreak/>
        <w:drawing>
          <wp:inline distT="0" distB="0" distL="0" distR="0" wp14:anchorId="59CDCA80" wp14:editId="0156246B">
            <wp:extent cx="4160520" cy="4497859"/>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512"/>
                    <a:stretch>
                      <a:fillRect/>
                    </a:stretch>
                  </pic:blipFill>
                  <pic:spPr bwMode="auto">
                    <a:xfrm>
                      <a:off x="0" y="0"/>
                      <a:ext cx="4171511" cy="4509741"/>
                    </a:xfrm>
                    <a:prstGeom prst="rect">
                      <a:avLst/>
                    </a:prstGeom>
                    <a:ln>
                      <a:noFill/>
                    </a:ln>
                    <a:extLst>
                      <a:ext uri="{53640926-AAD7-44D8-BBD7-CCE9431645EC}">
                        <a14:shadowObscured xmlns:a14="http://schemas.microsoft.com/office/drawing/2010/main"/>
                      </a:ext>
                    </a:extLst>
                  </pic:spPr>
                </pic:pic>
              </a:graphicData>
            </a:graphic>
          </wp:inline>
        </w:drawing>
      </w:r>
    </w:p>
    <w:p w14:paraId="635C3CEE" w14:textId="650E871E" w:rsidR="00B86A12" w:rsidRDefault="00F121D0" w:rsidP="00F121D0">
      <w:pPr>
        <w:pStyle w:val="Caption"/>
        <w:jc w:val="center"/>
      </w:pPr>
      <w:bookmarkStart w:id="26" w:name="_Ref_fig8"/>
      <w:r>
        <w:t xml:space="preserve">Figure </w:t>
      </w:r>
      <w:r w:rsidR="00893723">
        <w:fldChar w:fldCharType="begin"/>
      </w:r>
      <w:r w:rsidR="00893723">
        <w:instrText xml:space="preserve"> SEQ Figure \* ARABIC </w:instrText>
      </w:r>
      <w:r w:rsidR="00893723">
        <w:fldChar w:fldCharType="separate"/>
      </w:r>
      <w:r w:rsidR="00893723">
        <w:rPr>
          <w:noProof/>
        </w:rPr>
        <w:t>8</w:t>
      </w:r>
      <w:r w:rsidR="00893723">
        <w:rPr>
          <w:noProof/>
        </w:rPr>
        <w:fldChar w:fldCharType="end"/>
      </w:r>
      <w:bookmarkEnd w:id="26"/>
      <w:r>
        <w:t>: Standardized robustness summary for aggregate y_chargers . This figure shows how the aggregate EV charging result behaves across specifications, but it does not by itself separate Level 1, Level 2, and DC fast charging.</w:t>
      </w:r>
    </w:p>
    <w:p w14:paraId="0FE40E9C"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2320FBAB" w14:textId="0666CB0D" w:rsidR="00B86A12" w:rsidRDefault="00B140D9" w:rsidP="00B140D9">
      <w:pPr>
        <w:pStyle w:val="Caption"/>
        <w:jc w:val="center"/>
      </w:pPr>
      <w:bookmarkStart w:id="27" w:name="_Ref_fig9"/>
      <w:r>
        <w:t xml:space="preserve">Figure </w:t>
      </w:r>
      <w:r w:rsidR="00893723">
        <w:fldChar w:fldCharType="begin"/>
      </w:r>
      <w:r w:rsidR="00893723">
        <w:instrText xml:space="preserve"> SEQ Figure \* ARABIC </w:instrText>
      </w:r>
      <w:r w:rsidR="00893723">
        <w:fldChar w:fldCharType="separate"/>
      </w:r>
      <w:r w:rsidR="00893723">
        <w:rPr>
          <w:noProof/>
        </w:rPr>
        <w:t>9</w:t>
      </w:r>
      <w:r w:rsidR="00893723">
        <w:rPr>
          <w:noProof/>
        </w:rPr>
        <w:fldChar w:fldCharType="end"/>
      </w:r>
      <w:bookmarkEnd w:id="27"/>
      <w:r>
        <w:t>: Baseline standardized coefficient comparison across aggregate charging, Level 1, Level 2, and DC fast. This figure shows the positive aggregate association with poverty rate is not present for Level 1 charging and is driven primarily by Level 2 charging.</w:t>
      </w:r>
    </w:p>
    <w:p w14:paraId="5FC44166" w14:textId="572D9F67" w:rsidR="00B140D9" w:rsidRDefault="00B140D9" w:rsidP="00B140D9">
      <w:pPr>
        <w:pStyle w:val="Caption"/>
        <w:keepNext/>
      </w:pPr>
      <w:bookmarkStart w:id="28" w:name="_Ref_tbl5"/>
      <w:r>
        <w:t xml:space="preserve">Table </w:t>
      </w:r>
      <w:r>
        <w:fldChar w:fldCharType="begin"/>
      </w:r>
      <w:r>
        <w:instrText xml:space="preserve"> SEQ Table \* ARABIC </w:instrText>
      </w:r>
      <w:r>
        <w:fldChar w:fldCharType="separate"/>
      </w:r>
      <w:r>
        <w:t>5</w:t>
      </w:r>
      <w:r>
        <w:fldChar w:fldCharType="end"/>
      </w:r>
      <w:bookmarkEnd w:id="28"/>
      <w:r>
        <w:t>: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7DFE37B6" w14:textId="77777777">
        <w:tc>
          <w:tcPr>
            <w:tcW w:w="2016" w:type="dxa"/>
          </w:tcPr>
          <w:p w14:paraId="43639CF9" w14:textId="77777777" w:rsidR="00E74C8C" w:rsidRPr="00E80772" w:rsidRDefault="00000000">
            <w:pPr>
              <w:rPr>
                <w:b/>
                <w:bCs/>
              </w:rPr>
            </w:pPr>
            <w:r>
              <w:rPr>
                <w:b/>
                <w:bCs/>
              </w:rPr>
              <w:t>Predictor</w:t>
            </w:r>
          </w:p>
        </w:tc>
        <w:tc>
          <w:tcPr>
            <w:tcW w:w="2016" w:type="dxa"/>
          </w:tcPr>
          <w:p w14:paraId="5F89CBBB" w14:textId="77777777" w:rsidR="00E74C8C" w:rsidRDefault="00000000">
            <w:r>
              <w:t>Aggregate</w:t>
            </w:r>
          </w:p>
        </w:tc>
        <w:tc>
          <w:tcPr>
            <w:tcW w:w="2016" w:type="dxa"/>
          </w:tcPr>
          <w:p w14:paraId="4459A584" w14:textId="77777777" w:rsidR="00E74C8C" w:rsidRDefault="00000000">
            <w:r>
              <w:t>Level 1</w:t>
            </w:r>
          </w:p>
        </w:tc>
        <w:tc>
          <w:tcPr>
            <w:tcW w:w="2016" w:type="dxa"/>
          </w:tcPr>
          <w:p w14:paraId="3E2F97F6" w14:textId="77777777" w:rsidR="00E74C8C" w:rsidRDefault="00000000">
            <w:r>
              <w:t>Level 2</w:t>
            </w:r>
          </w:p>
        </w:tc>
        <w:tc>
          <w:tcPr>
            <w:tcW w:w="2016" w:type="dxa"/>
          </w:tcPr>
          <w:p w14:paraId="42E59E7F" w14:textId="77777777" w:rsidR="00E74C8C" w:rsidRDefault="00000000">
            <w:r>
              <w:t>DC Fast</w:t>
            </w:r>
          </w:p>
        </w:tc>
      </w:tr>
      <w:tr w:rsidR="00B86A12" w14:paraId="630F2582" w14:textId="77777777">
        <w:tc>
          <w:tcPr>
            <w:tcW w:w="2016" w:type="dxa"/>
          </w:tcPr>
          <w:p w14:paraId="1CAC4F8F"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1974DFF7" w14:textId="77777777" w:rsidR="00E74C8C" w:rsidRDefault="00000000">
            <w:r>
              <w:t>0.160 (0.098)</w:t>
            </w:r>
          </w:p>
        </w:tc>
        <w:tc>
          <w:tcPr>
            <w:tcW w:w="2016" w:type="dxa"/>
          </w:tcPr>
          <w:p w14:paraId="33C0D75B" w14:textId="77777777" w:rsidR="00E74C8C" w:rsidRDefault="00000000">
            <w:r>
              <w:t>-0.010 (0.011)</w:t>
            </w:r>
          </w:p>
        </w:tc>
        <w:tc>
          <w:tcPr>
            <w:tcW w:w="2016" w:type="dxa"/>
          </w:tcPr>
          <w:p w14:paraId="0812829F" w14:textId="77777777" w:rsidR="00E74C8C" w:rsidRDefault="00000000">
            <w:r>
              <w:t>0.199** (0.088)</w:t>
            </w:r>
          </w:p>
        </w:tc>
        <w:tc>
          <w:tcPr>
            <w:tcW w:w="2016" w:type="dxa"/>
          </w:tcPr>
          <w:p w14:paraId="4929C8F4" w14:textId="77777777" w:rsidR="00E74C8C" w:rsidRDefault="00000000">
            <w:r>
              <w:t>0.045 (0.056)</w:t>
            </w:r>
          </w:p>
        </w:tc>
      </w:tr>
      <w:tr w:rsidR="00B86A12" w14:paraId="53CD6D7D" w14:textId="77777777">
        <w:tc>
          <w:tcPr>
            <w:tcW w:w="2016" w:type="dxa"/>
          </w:tcPr>
          <w:p w14:paraId="571EE981"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57F0EEAD" w14:textId="77777777" w:rsidR="00E74C8C" w:rsidRDefault="00000000">
            <w:r>
              <w:t>-0.009 (0.343)</w:t>
            </w:r>
          </w:p>
        </w:tc>
        <w:tc>
          <w:tcPr>
            <w:tcW w:w="2016" w:type="dxa"/>
          </w:tcPr>
          <w:p w14:paraId="51014381" w14:textId="77777777" w:rsidR="00E74C8C" w:rsidRDefault="00000000">
            <w:r>
              <w:t>-0.004 (0.018)</w:t>
            </w:r>
          </w:p>
        </w:tc>
        <w:tc>
          <w:tcPr>
            <w:tcW w:w="2016" w:type="dxa"/>
          </w:tcPr>
          <w:p w14:paraId="388791D7" w14:textId="77777777" w:rsidR="00E74C8C" w:rsidRDefault="00000000">
            <w:r>
              <w:t>0.087 (0.323)</w:t>
            </w:r>
          </w:p>
        </w:tc>
        <w:tc>
          <w:tcPr>
            <w:tcW w:w="2016" w:type="dxa"/>
          </w:tcPr>
          <w:p w14:paraId="43F2C71D" w14:textId="77777777" w:rsidR="00E74C8C" w:rsidRDefault="00000000">
            <w:r>
              <w:t>-0.149 (0.155)</w:t>
            </w:r>
          </w:p>
        </w:tc>
      </w:tr>
      <w:tr w:rsidR="00B86A12" w14:paraId="067325E1" w14:textId="77777777">
        <w:tc>
          <w:tcPr>
            <w:tcW w:w="2016" w:type="dxa"/>
          </w:tcPr>
          <w:p w14:paraId="0AEE38F8"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700C2C6D" w14:textId="77777777" w:rsidR="00E74C8C" w:rsidRDefault="00000000">
            <w:r>
              <w:t>-0.403*** (0.105)</w:t>
            </w:r>
          </w:p>
        </w:tc>
        <w:tc>
          <w:tcPr>
            <w:tcW w:w="2016" w:type="dxa"/>
          </w:tcPr>
          <w:p w14:paraId="1E11437E" w14:textId="77777777" w:rsidR="00E74C8C" w:rsidRDefault="00000000">
            <w:r>
              <w:t>-0.018 (0.012)</w:t>
            </w:r>
          </w:p>
        </w:tc>
        <w:tc>
          <w:tcPr>
            <w:tcW w:w="2016" w:type="dxa"/>
          </w:tcPr>
          <w:p w14:paraId="1756EFD9" w14:textId="77777777" w:rsidR="00E74C8C" w:rsidRDefault="00000000">
            <w:r>
              <w:t>-0.480*** (0.089)</w:t>
            </w:r>
          </w:p>
        </w:tc>
        <w:tc>
          <w:tcPr>
            <w:tcW w:w="2016" w:type="dxa"/>
          </w:tcPr>
          <w:p w14:paraId="7D3C1EB6" w14:textId="77777777" w:rsidR="00E74C8C" w:rsidRDefault="00000000">
            <w:r>
              <w:t>0.011 (0.071)</w:t>
            </w:r>
          </w:p>
        </w:tc>
      </w:tr>
      <w:tr w:rsidR="00B86A12" w14:paraId="2F1CB1E1" w14:textId="77777777">
        <w:tc>
          <w:tcPr>
            <w:tcW w:w="2016" w:type="dxa"/>
          </w:tcPr>
          <w:p w14:paraId="0A80E2A9"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0D843089" w14:textId="77777777" w:rsidR="00E74C8C" w:rsidRDefault="00000000">
            <w:r>
              <w:t>0.413*** (0.147)</w:t>
            </w:r>
          </w:p>
        </w:tc>
        <w:tc>
          <w:tcPr>
            <w:tcW w:w="2016" w:type="dxa"/>
          </w:tcPr>
          <w:p w14:paraId="2346A1A8" w14:textId="77777777" w:rsidR="00E74C8C" w:rsidRDefault="00000000">
            <w:r>
              <w:t>0.006 (0.006)</w:t>
            </w:r>
          </w:p>
        </w:tc>
        <w:tc>
          <w:tcPr>
            <w:tcW w:w="2016" w:type="dxa"/>
          </w:tcPr>
          <w:p w14:paraId="67B4721C" w14:textId="77777777" w:rsidR="00E74C8C" w:rsidRDefault="00000000">
            <w:r>
              <w:t>0.344** (0.142)</w:t>
            </w:r>
          </w:p>
        </w:tc>
        <w:tc>
          <w:tcPr>
            <w:tcW w:w="2016" w:type="dxa"/>
          </w:tcPr>
          <w:p w14:paraId="108A9256" w14:textId="77777777" w:rsidR="00E74C8C" w:rsidRDefault="00000000">
            <w:r>
              <w:t>0.135** (0.068)</w:t>
            </w:r>
          </w:p>
        </w:tc>
      </w:tr>
      <w:tr w:rsidR="00B86A12" w14:paraId="415C1D96" w14:textId="77777777">
        <w:tc>
          <w:tcPr>
            <w:tcW w:w="2016" w:type="dxa"/>
          </w:tcPr>
          <w:p w14:paraId="7AE0C6E6"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1C3B4E4F" w14:textId="77777777" w:rsidR="00E74C8C" w:rsidRDefault="00000000">
            <w:r>
              <w:t>2.004*** (0.497)</w:t>
            </w:r>
          </w:p>
        </w:tc>
        <w:tc>
          <w:tcPr>
            <w:tcW w:w="2016" w:type="dxa"/>
          </w:tcPr>
          <w:p w14:paraId="2A37DDA1" w14:textId="77777777" w:rsidR="00E74C8C" w:rsidRDefault="00000000">
            <w:r>
              <w:t>0.031 (0.056)</w:t>
            </w:r>
          </w:p>
        </w:tc>
        <w:tc>
          <w:tcPr>
            <w:tcW w:w="2016" w:type="dxa"/>
          </w:tcPr>
          <w:p w14:paraId="3C3E346B" w14:textId="77777777" w:rsidR="00E74C8C" w:rsidRDefault="00000000">
            <w:r>
              <w:t>2.234*** (0.444)</w:t>
            </w:r>
          </w:p>
        </w:tc>
        <w:tc>
          <w:tcPr>
            <w:tcW w:w="2016" w:type="dxa"/>
          </w:tcPr>
          <w:p w14:paraId="396DB8ED" w14:textId="77777777" w:rsidR="00E74C8C" w:rsidRDefault="00000000">
            <w:r>
              <w:t>0.377 (0.285)</w:t>
            </w:r>
          </w:p>
        </w:tc>
      </w:tr>
      <w:tr w:rsidR="00B86A12" w14:paraId="7DFF5A7B" w14:textId="77777777">
        <w:tc>
          <w:tcPr>
            <w:tcW w:w="2016" w:type="dxa"/>
          </w:tcPr>
          <w:p w14:paraId="05E7D3E5" w14:textId="0FE5FF51" w:rsidR="00E74C8C" w:rsidRPr="00E80772" w:rsidRDefault="00E80772" w:rsidP="00E80772">
            <m:oMathPara>
              <m:oMathParaPr>
                <m:jc m:val="left"/>
              </m:oMathParaPr>
              <m:oMath>
                <m:r>
                  <w:rPr>
                    <w:rFonts w:ascii="Cambria Math" w:hAnsi="Cambria Math"/>
                  </w:rPr>
                  <m:t>N</m:t>
                </m:r>
              </m:oMath>
            </m:oMathPara>
          </w:p>
        </w:tc>
        <w:tc>
          <w:tcPr>
            <w:tcW w:w="2016" w:type="dxa"/>
          </w:tcPr>
          <w:p w14:paraId="29B8A7D9" w14:textId="77777777" w:rsidR="00E74C8C" w:rsidRDefault="00000000">
            <w:r>
              <w:t>1,386</w:t>
            </w:r>
          </w:p>
        </w:tc>
        <w:tc>
          <w:tcPr>
            <w:tcW w:w="2016" w:type="dxa"/>
          </w:tcPr>
          <w:p w14:paraId="2C0BF764" w14:textId="77777777" w:rsidR="00E74C8C" w:rsidRDefault="00000000">
            <w:r>
              <w:t>1,386</w:t>
            </w:r>
          </w:p>
        </w:tc>
        <w:tc>
          <w:tcPr>
            <w:tcW w:w="2016" w:type="dxa"/>
          </w:tcPr>
          <w:p w14:paraId="621E7CB6" w14:textId="77777777" w:rsidR="00E74C8C" w:rsidRDefault="00000000">
            <w:r>
              <w:t>1,386</w:t>
            </w:r>
          </w:p>
        </w:tc>
        <w:tc>
          <w:tcPr>
            <w:tcW w:w="2016" w:type="dxa"/>
          </w:tcPr>
          <w:p w14:paraId="46A33399" w14:textId="77777777" w:rsidR="00E74C8C" w:rsidRDefault="00000000">
            <w:r>
              <w:t>1,386</w:t>
            </w:r>
          </w:p>
        </w:tc>
      </w:tr>
      <w:tr w:rsidR="00B86A12" w14:paraId="26432108" w14:textId="77777777">
        <w:tc>
          <w:tcPr>
            <w:tcW w:w="2016" w:type="dxa"/>
          </w:tcPr>
          <w:p w14:paraId="483F2216" w14:textId="5AD0C6E9" w:rsidR="00E74C8C" w:rsidRPr="00E80772" w:rsidRDefault="00000000" w:rsidP="00E80772">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016" w:type="dxa"/>
          </w:tcPr>
          <w:p w14:paraId="390B7425" w14:textId="77777777" w:rsidR="00E74C8C" w:rsidRDefault="00000000">
            <w:r>
              <w:t>0.079</w:t>
            </w:r>
          </w:p>
        </w:tc>
        <w:tc>
          <w:tcPr>
            <w:tcW w:w="2016" w:type="dxa"/>
          </w:tcPr>
          <w:p w14:paraId="0773743B" w14:textId="77777777" w:rsidR="00E74C8C" w:rsidRDefault="00000000">
            <w:r>
              <w:t>0.006</w:t>
            </w:r>
          </w:p>
        </w:tc>
        <w:tc>
          <w:tcPr>
            <w:tcW w:w="2016" w:type="dxa"/>
          </w:tcPr>
          <w:p w14:paraId="733EA52A" w14:textId="77777777" w:rsidR="00E74C8C" w:rsidRDefault="00000000">
            <w:r>
              <w:t>0.117</w:t>
            </w:r>
          </w:p>
        </w:tc>
        <w:tc>
          <w:tcPr>
            <w:tcW w:w="2016" w:type="dxa"/>
          </w:tcPr>
          <w:p w14:paraId="45534321" w14:textId="77777777" w:rsidR="00E74C8C" w:rsidRDefault="00000000">
            <w:r>
              <w:t>0.012</w:t>
            </w:r>
          </w:p>
        </w:tc>
      </w:tr>
    </w:tbl>
    <w:p w14:paraId="7856F3CA" w14:textId="77777777" w:rsidR="00B86A12" w:rsidRDefault="00B86A12"/>
    <w:p w14:paraId="3AD37BF4" w14:textId="77777777" w:rsidR="00B86A12" w:rsidRDefault="00000000">
      <w:pPr>
        <w:pStyle w:val="Heading2"/>
        <w:numPr>
          <w:ilvl w:val="1"/>
          <w:numId w:val="11"/>
        </w:numPr>
      </w:pPr>
      <w:commentRangeStart w:id="29"/>
      <w:commentRangeStart w:id="30"/>
      <w:r>
        <w:t>Energy burden outcome results</w:t>
      </w:r>
      <w:commentRangeEnd w:id="29"/>
      <w:r>
        <w:rPr>
          <w:rStyle w:val="CommentReference"/>
          <w:sz w:val="26"/>
          <w:szCs w:val="26"/>
        </w:rPr>
        <w:commentReference w:id="29"/>
      </w:r>
      <w:commentRangeEnd w:id="30"/>
      <w:r>
        <w:rPr>
          <w:rStyle w:val="CommentReference"/>
          <w:sz w:val="26"/>
          <w:szCs w:val="26"/>
        </w:rPr>
        <w:commentReference w:id="30"/>
      </w:r>
    </w:p>
    <w:p w14:paraId="5E4704F3" w14:textId="1721713D" w:rsidR="0014040F" w:rsidRDefault="00000000">
      <w:r>
        <w:t xml:space="preserve">The energy-burden outcomes provide affordability context for the DER results. In the matched burden sample, mean </w:t>
      </w:r>
      <w:bookmarkStart w:id="31" w:name="OLE_LINK3"/>
      <w:r>
        <w:rPr>
          <w:rFonts w:ascii="Courier New" w:hAnsi="Courier New" w:cs="Courier New"/>
          <w:sz w:val="18"/>
          <w:szCs w:val="18"/>
        </w:rPr>
        <w:t>energy_burden_pct</w:t>
      </w:r>
      <w:r>
        <w:rPr>
          <w:sz w:val="18"/>
          <w:szCs w:val="18"/>
        </w:rPr>
        <w:t xml:space="preserve"> </w:t>
      </w:r>
      <w:bookmarkEnd w:id="31"/>
      <w:r>
        <w:t xml:space="preserve">is about 2.2% and the interquartile range runs from roughly 1.5% to 2.8%, while </w:t>
      </w:r>
      <w:r>
        <w:rPr>
          <w:rFonts w:ascii="Courier New" w:hAnsi="Courier New" w:cs="Courier New"/>
          <w:sz w:val="18"/>
          <w:szCs w:val="18"/>
        </w:rPr>
        <w:t>energy_burden_pct</w:t>
      </w:r>
      <w:r>
        <w:rPr>
          <w:sz w:val="18"/>
          <w:szCs w:val="18"/>
        </w:rPr>
        <w:t xml:space="preserve"> </w:t>
      </w:r>
      <w:r>
        <w:t xml:space="preserve">is strongly negatively correlated with </w:t>
      </w:r>
      <w:bookmarkStart w:id="32" w:name="OLE_LINK4"/>
      <w:r>
        <w:rPr>
          <w:rFonts w:ascii="Courier New" w:hAnsi="Courier New" w:cs="Courier New"/>
          <w:sz w:val="18"/>
          <w:szCs w:val="18"/>
        </w:rPr>
        <w:t>log_median_household_income</w:t>
      </w:r>
      <w:r>
        <w:rPr>
          <w:sz w:val="18"/>
          <w:szCs w:val="18"/>
        </w:rPr>
        <w:t xml:space="preserve"> </w:t>
      </w:r>
      <w:bookmarkEnd w:id="32"/>
      <w:r>
        <w:t xml:space="preserve">(-0.746) and positively correlated with </w:t>
      </w:r>
      <w:r>
        <w:rPr>
          <w:rFonts w:ascii="Courier New" w:hAnsi="Courier New" w:cs="Courier New"/>
          <w:sz w:val="18"/>
          <w:szCs w:val="18"/>
        </w:rPr>
        <w:t>poverty_rate</w:t>
      </w:r>
      <w:r>
        <w:rPr>
          <w:sz w:val="18"/>
          <w:szCs w:val="18"/>
        </w:rPr>
        <w:t xml:space="preserve"> </w:t>
      </w:r>
      <w:r>
        <w:t>(0.545). The burden variables are therefore best read as a related affordability-stress layer rather than as cleanly orthogonal controls.</w:t>
      </w:r>
    </w:p>
    <w:p w14:paraId="6595B8CA" w14:textId="6AC51D61" w:rsidR="0014040F" w:rsidRDefault="00000000">
      <w:r>
        <w:t xml:space="preserve">In the baseline model with </w:t>
      </w:r>
      <w:r>
        <w:rPr>
          <w:rFonts w:ascii="Courier New" w:hAnsi="Courier New" w:cs="Courier New"/>
          <w:sz w:val="18"/>
          <w:szCs w:val="18"/>
        </w:rPr>
        <w:t>energy_burden_pct</w:t>
      </w:r>
      <w:r>
        <w:rPr>
          <w:sz w:val="18"/>
          <w:szCs w:val="18"/>
        </w:rPr>
        <w:t xml:space="preserve"> </w:t>
      </w:r>
      <w:r>
        <w:t xml:space="preserve">as the outcome, </w:t>
      </w:r>
      <w:r>
        <w:rPr>
          <w:rFonts w:ascii="Courier New" w:hAnsi="Courier New" w:cs="Courier New"/>
          <w:sz w:val="18"/>
          <w:szCs w:val="18"/>
        </w:rPr>
        <w:t>log_median_household_income</w:t>
      </w:r>
      <w:r>
        <w:rPr>
          <w:sz w:val="18"/>
          <w:szCs w:val="18"/>
        </w:rPr>
        <w:t xml:space="preserve"> </w:t>
      </w:r>
      <w:r>
        <w:t>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w:t>
      </w:r>
    </w:p>
    <w:p w14:paraId="3BDF0768" w14:textId="4681DD95" w:rsidR="0014040F" w:rsidRDefault="00000000">
      <w:r>
        <w:t xml:space="preserve">These results reinforce the paper’s broader interpretation: affordability stress is itself spatially and demographically structured, but it does not make the DER outcomes interchangeable. PV and storage remain tied </w:t>
      </w:r>
      <w:r>
        <w:lastRenderedPageBreak/>
        <w:t>to different race and income patterns than aggregate charging, and the charging result still appears to reflect a mix of infrastructure siting and household-serving access rather than a single uniform affordability channel.</w:t>
      </w:r>
    </w:p>
    <w:p w14:paraId="762BFB71" w14:textId="77777777" w:rsidR="00157F04" w:rsidRDefault="00157F04">
      <w:commentRangeStart w:id="33"/>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commentRangeEnd w:id="33"/>
      <w:r>
        <w:rPr>
          <w:rStyle w:val="CommentReference"/>
          <w:noProof/>
          <w:sz w:val="22"/>
          <w:szCs w:val="22"/>
        </w:rPr>
        <w:commentReference w:id="33"/>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14:paraId="015403E3" w14:textId="1361169A" w:rsidR="00537512" w:rsidRDefault="00000000">
      <w:pPr>
        <w:pStyle w:val="Caption"/>
        <w:keepNext/>
      </w:pPr>
      <w:bookmarkStart w:id="34" w:name="_Ref_newfig99"/>
      <w:r>
        <w:lastRenderedPageBreak/>
        <w:t xml:space="preserve">Figure </w:t>
      </w:r>
      <w:r>
        <w:fldChar w:fldCharType="begin"/>
      </w:r>
      <w:r>
        <w:instrText xml:space="preserve"> SEQ Figure \* ARABIC </w:instrText>
      </w:r>
      <w:r>
        <w:fldChar w:fldCharType="separate"/>
      </w:r>
      <w:r w:rsidR="00893723">
        <w:rPr>
          <w:noProof/>
        </w:rPr>
        <w:t>10</w:t>
      </w:r>
      <w:r>
        <w:fldChar w:fldCharType="end"/>
      </w:r>
      <w:bookmarkEnd w:id="34"/>
      <w:r>
        <w:t>: Descriptive LOWESS gradients between neighbo</w:t>
      </w:r>
      <w:r w:rsidR="00893723">
        <w:t>r</w:t>
      </w:r>
      <w:r>
        <w:t>hood characteristics and the two energy-affordability outcomes. Curves are deterministic LOWESS fits with seeded bootstrap 95% confidence intervals.</w:t>
      </w:r>
    </w:p>
    <w:p w14:paraId="50F94D03" w14:textId="77777777" w:rsidR="00893723" w:rsidRDefault="00785640" w:rsidP="00893723">
      <w:pPr>
        <w:keepNext/>
      </w:pPr>
      <w:commentRangeStart w:id="35"/>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commentRangeEnd w:id="35"/>
      <w:r>
        <w:rPr>
          <w:rStyle w:val="CommentReference"/>
          <w:sz w:val="22"/>
          <w:szCs w:val="22"/>
        </w:rPr>
        <w:commentReference w:id="35"/>
      </w:r>
    </w:p>
    <w:p w14:paraId="4A12D37D" w14:textId="01B092A9" w:rsidR="00785640" w:rsidRDefault="00893723" w:rsidP="00893723">
      <w:pPr>
        <w:pStyle w:val="Caption"/>
        <w:jc w:val="center"/>
      </w:pPr>
      <w:r>
        <w:t xml:space="preserve">Figure </w:t>
      </w:r>
      <w:r>
        <w:fldChar w:fldCharType="begin"/>
      </w:r>
      <w:r>
        <w:instrText xml:space="preserve"> SEQ Figure \* ARABIC </w:instrText>
      </w:r>
      <w:r>
        <w:fldChar w:fldCharType="separate"/>
      </w:r>
      <w:r>
        <w:rPr>
          <w:noProof/>
        </w:rPr>
        <w:t>11</w:t>
      </w:r>
      <w:r>
        <w:rPr>
          <w:noProof/>
        </w:rPr>
        <w:fldChar w:fldCharType="end"/>
      </w:r>
      <w:r>
        <w:t xml:space="preserve">: </w:t>
      </w:r>
      <w:r w:rsidRPr="004B59BF">
        <w:t>DER predictors in the energy-burden and affordability-gap models (Model 9). Points are coefficient estimates and horizontal lines are 95% confidence intervals.</w:t>
      </w:r>
    </w:p>
    <w:p w14:paraId="1FC0C5FF" w14:textId="5F250795" w:rsidR="00785640" w:rsidRDefault="00785640">
      <w:commentRangeStart w:id="36"/>
      <w:commentRangeStart w:id="37"/>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commentRangeEnd w:id="36"/>
      <w:r>
        <w:rPr>
          <w:rStyle w:val="CommentReference"/>
          <w:sz w:val="22"/>
          <w:szCs w:val="22"/>
        </w:rPr>
        <w:commentReference w:id="36"/>
      </w:r>
      <w:commentRangeEnd w:id="37"/>
      <w:r>
        <w:rPr>
          <w:rStyle w:val="CommentReference"/>
          <w:sz w:val="22"/>
          <w:szCs w:val="22"/>
        </w:rPr>
        <w:commentReference w:id="37"/>
      </w:r>
    </w:p>
    <w:p w14:paraId="5B8021E0" w14:textId="03A07B56" w:rsidR="00537512" w:rsidRDefault="00000000">
      <w:pPr>
        <w:pStyle w:val="Caption"/>
        <w:keepNext/>
      </w:pPr>
      <w:bookmarkStart w:id="38" w:name="_Ref_newfig101"/>
      <w:r>
        <w:t xml:space="preserve">Figure </w:t>
      </w:r>
      <w:r>
        <w:fldChar w:fldCharType="begin"/>
      </w:r>
      <w:r>
        <w:instrText xml:space="preserve"> SEQ Figure \* ARABIC </w:instrText>
      </w:r>
      <w:r>
        <w:fldChar w:fldCharType="separate"/>
      </w:r>
      <w:r w:rsidR="00893723">
        <w:rPr>
          <w:noProof/>
        </w:rPr>
        <w:t>12</w:t>
      </w:r>
      <w:r>
        <w:fldChar w:fldCharType="end"/>
      </w:r>
      <w:bookmarkEnd w:id="38"/>
      <w:r>
        <w:t>: Coefficient stability for the energy-burden and affordability-gap outcomes across the model ladder.</w:t>
      </w:r>
    </w:p>
    <w:p w14:paraId="105A1604" w14:textId="77777777" w:rsidR="0014040F" w:rsidRDefault="00000000">
      <w:pPr>
        <w:pStyle w:val="Heading2"/>
        <w:numPr>
          <w:ilvl w:val="1"/>
          <w:numId w:val="11"/>
        </w:numPr>
      </w:pPr>
      <w:r>
        <w:t>Descriptive nonlinear gradients</w:t>
      </w:r>
    </w:p>
    <w:p w14:paraId="6B0B4395" w14:textId="41EA00CE" w:rsidR="00B86A12" w:rsidRDefault="00000000">
      <w:r>
        <w:t xml:space="preserve">The regression tables summarize conditional associations, but the raw outcome gradients are also informative. </w:t>
      </w:r>
      <w:r>
        <w:fldChar w:fldCharType="begin"/>
      </w:r>
      <w:r>
        <w:instrText xml:space="preserve"> REF _Ref_fig10 \h </w:instrText>
      </w:r>
      <w:r>
        <w:fldChar w:fldCharType="separate"/>
      </w:r>
      <w:r>
        <w:t>Figure 10</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w:t>
      </w:r>
      <w:r>
        <w:t>rce the regression finding that more heavily non-white ZIP/ZCTAs tend to be less served across multiple DER outcomes.</w:t>
      </w:r>
    </w:p>
    <w:p w14:paraId="2A2CAACF" w14:textId="1F2D757B" w:rsidR="00B86A12" w:rsidRDefault="00000000">
      <w:r>
        <w:fldChar w:fldCharType="begin"/>
      </w:r>
      <w:r>
        <w:instrText xml:space="preserve"> REF _Ref_fig11 \h </w:instrText>
      </w:r>
      <w:r>
        <w:fldChar w:fldCharType="separate"/>
      </w:r>
      <w:r>
        <w:t>Figure 11</w:t>
      </w:r>
      <w:r>
        <w:fldChar w:fldCharType="end"/>
      </w:r>
      <w:r>
        <w:t xml:space="preserve"> provides the corresponding education view using </w:t>
      </w:r>
      <w:r>
        <w:rPr>
          <w:rFonts w:ascii="Courier New" w:hAnsi="Courier New" w:cs="Courier New"/>
          <w:sz w:val="18"/>
          <w:szCs w:val="18"/>
        </w:rPr>
        <w:t>pct_bachelors_plus</w:t>
      </w:r>
      <w:r>
        <w:t xml:space="preserve">. The regenerated deterministic LOWESS audit shows a mildly negative unconditional gradient for PV (-0.06) but </w:t>
      </w:r>
      <w:r>
        <w:rPr>
          <w:highlight w:val="yellow"/>
        </w:rPr>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w:t>
      </w:r>
    </w:p>
    <w:p w14:paraId="2F08F309"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14:paraId="0EA18E76" w14:textId="0F90500D" w:rsidR="00B86A12" w:rsidRDefault="00B87FB7" w:rsidP="00B140D9">
      <w:pPr>
        <w:pStyle w:val="Caption"/>
        <w:jc w:val="center"/>
      </w:pPr>
      <w:bookmarkStart w:id="39" w:name="_Ref_fig10"/>
      <w:r>
        <w:t xml:space="preserve">Figure </w:t>
      </w:r>
      <w:r w:rsidR="00893723">
        <w:fldChar w:fldCharType="begin"/>
      </w:r>
      <w:r w:rsidR="00893723">
        <w:instrText xml:space="preserve"> SEQ Figure \* ARABIC </w:instrText>
      </w:r>
      <w:r w:rsidR="00893723">
        <w:fldChar w:fldCharType="separate"/>
      </w:r>
      <w:r w:rsidR="00893723">
        <w:rPr>
          <w:noProof/>
        </w:rPr>
        <w:t>13</w:t>
      </w:r>
      <w:r w:rsidR="00893723">
        <w:rPr>
          <w:noProof/>
        </w:rPr>
        <w:fldChar w:fldCharType="end"/>
      </w:r>
      <w:bookmarkEnd w:id="39"/>
      <w:r>
        <w:t>: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0B433B08"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14:paraId="2ADFCAD8" w14:textId="3121EEBA" w:rsidR="00B86A12" w:rsidRDefault="00B140D9" w:rsidP="00B140D9">
      <w:pPr>
        <w:pStyle w:val="Caption"/>
        <w:jc w:val="center"/>
      </w:pPr>
      <w:bookmarkStart w:id="40" w:name="_Ref_fig11"/>
      <w:r>
        <w:t xml:space="preserve">Figure </w:t>
      </w:r>
      <w:r w:rsidR="00893723">
        <w:fldChar w:fldCharType="begin"/>
      </w:r>
      <w:r w:rsidR="00893723">
        <w:instrText xml:space="preserve"> SEQ Figure \* ARABIC </w:instrText>
      </w:r>
      <w:r w:rsidR="00893723">
        <w:fldChar w:fldCharType="separate"/>
      </w:r>
      <w:r w:rsidR="00893723">
        <w:rPr>
          <w:noProof/>
        </w:rPr>
        <w:t>14</w:t>
      </w:r>
      <w:r w:rsidR="00893723">
        <w:rPr>
          <w:noProof/>
        </w:rPr>
        <w:fldChar w:fldCharType="end"/>
      </w:r>
      <w:bookmarkEnd w:id="40"/>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4832A5A" w14:textId="77777777" w:rsidR="00B86A12" w:rsidRDefault="00000000">
      <w:pPr>
        <w:pStyle w:val="Heading2"/>
        <w:numPr>
          <w:ilvl w:val="1"/>
          <w:numId w:val="11"/>
        </w:numPr>
      </w:pPr>
      <w:r>
        <w:t>Exploratory clustering of ZIP/ZCTA types</w:t>
      </w:r>
    </w:p>
    <w:p w14:paraId="528BBBEA" w14:textId="693F0BF4" w:rsidR="00B86A12" w:rsidRDefault="00000000">
      <w:r>
        <w:t xml:space="preserve">In addition to the regression ladder, we use unsupervised machine learning methods, namely principal component analysis (PCA) and k-means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 The cluster map in </w:t>
      </w:r>
      <w:r>
        <w:fldChar w:fldCharType="begin"/>
      </w:r>
      <w:r>
        <w:instrText xml:space="preserve"> REF _Ref_fig12 \h </w:instrText>
      </w:r>
      <w:r>
        <w:fldChar w:fldCharType="separate"/>
      </w:r>
      <w:r>
        <w:t>Figure 12</w:t>
      </w:r>
      <w:r>
        <w:fldChar w:fldCharType="end"/>
      </w:r>
      <w:r>
        <w:t xml:space="preserve"> shows that these profiles are spatially coherent rather than randomly scattered. </w:t>
      </w:r>
      <w:r>
        <w:fldChar w:fldCharType="begin"/>
      </w:r>
      <w:r>
        <w:instrText xml:space="preserve"> REF _Ref_tbl6 \h </w:instrText>
      </w:r>
      <w:r>
        <w:fldChar w:fldCharType="separate"/>
      </w:r>
      <w:r>
        <w:t>Table 6</w:t>
      </w:r>
      <w:r>
        <w:fldChar w:fldCharType="end"/>
      </w:r>
      <w:r>
        <w:t xml:space="preserve"> indicates that the clusters differ along multiple dimensions at once: cluster 2 is affluent with a large Asian share and relatively strong charging outcomes; cluster 3 has the highest Hispanic and combined non-white shares together with the highest poverty rate and the weakest charging deployment; and cluster 1 combines comparatively strong PV, storage, and charging outcomes with a larger residual white/other share. These differences are consistent with the broader paper argument that technology access is </w:t>
      </w:r>
      <w:r>
        <w:t>shaped by bundles of demographic, economic, and infrastructural conditions rather than by one variable in isolation.</w:t>
      </w:r>
    </w:p>
    <w:p w14:paraId="6784D878" w14:textId="77777777" w:rsidR="004C7FF5" w:rsidRDefault="004C7FF5" w:rsidP="004C7FF5">
      <w:r>
        <w:t>Add some comments on clusters 4 /5 too. Anomaly in clusters 2 (bay) and 4 (LA) may be due to dense urban areas with more renters and/or multi-family homes. Cluster 5 more rural and less interested in adoption of renewable technologies, social diffusion effect.</w:t>
      </w:r>
    </w:p>
    <w:p w14:paraId="35F733A4" w14:textId="77777777" w:rsidR="004C7FF5" w:rsidRDefault="004C7FF5"/>
    <w:p w14:paraId="1604A1F1" w14:textId="77777777" w:rsidR="00B140D9" w:rsidRDefault="00000000" w:rsidP="00B140D9">
      <w:pPr>
        <w:keepNext/>
        <w:jc w:val="center"/>
      </w:pPr>
      <w:r>
        <w:rPr>
          <w:noProof/>
        </w:rPr>
        <w:lastRenderedPageBreak/>
        <w:drawing>
          <wp:inline distT="0" distB="0" distL="0" distR="0" wp14:anchorId="0CD15F92" wp14:editId="46C2F324">
            <wp:extent cx="4469258" cy="5298649"/>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6"/>
                    <a:stretch>
                      <a:fillRect/>
                    </a:stretch>
                  </pic:blipFill>
                  <pic:spPr>
                    <a:xfrm>
                      <a:off x="0" y="0"/>
                      <a:ext cx="4471901" cy="5301782"/>
                    </a:xfrm>
                    <a:prstGeom prst="rect">
                      <a:avLst/>
                    </a:prstGeom>
                  </pic:spPr>
                </pic:pic>
              </a:graphicData>
            </a:graphic>
          </wp:inline>
        </w:drawing>
      </w:r>
    </w:p>
    <w:p w14:paraId="55B4F45F" w14:textId="7D2FAA1F" w:rsidR="00B86A12" w:rsidRDefault="00B140D9" w:rsidP="00B140D9">
      <w:pPr>
        <w:pStyle w:val="Caption"/>
        <w:jc w:val="center"/>
      </w:pPr>
      <w:bookmarkStart w:id="41" w:name="_Ref_fig12"/>
      <w:r>
        <w:t xml:space="preserve">Figure </w:t>
      </w:r>
      <w:r w:rsidR="00893723">
        <w:fldChar w:fldCharType="begin"/>
      </w:r>
      <w:r w:rsidR="00893723">
        <w:instrText xml:space="preserve"> SEQ Figure \* ARABIC </w:instrText>
      </w:r>
      <w:r w:rsidR="00893723">
        <w:fldChar w:fldCharType="separate"/>
      </w:r>
      <w:r w:rsidR="00893723">
        <w:rPr>
          <w:noProof/>
        </w:rPr>
        <w:t>15</w:t>
      </w:r>
      <w:r w:rsidR="00893723">
        <w:rPr>
          <w:noProof/>
        </w:rPr>
        <w:fldChar w:fldCharType="end"/>
      </w:r>
      <w:bookmarkEnd w:id="41"/>
      <w:r>
        <w:t>: California ZIP/ZCTA clusters from the exploratory PCA plus K-means analysis. The cluster labels are arbitrary identifiers, but the map shows that the resulting neighborhood profiles are geographically structured rather than random.</w:t>
      </w:r>
    </w:p>
    <w:p w14:paraId="68EE3A8C" w14:textId="1B064AB4" w:rsidR="00B86A12" w:rsidRDefault="00B86A12"/>
    <w:p w14:paraId="38D43115" w14:textId="2F1D35E9" w:rsidR="00B140D9" w:rsidRDefault="002808A9" w:rsidP="00B140D9">
      <w:pPr>
        <w:pStyle w:val="Caption"/>
        <w:keepNext/>
      </w:pPr>
      <w:bookmarkStart w:id="42" w:name="_Ref_tbl6"/>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758E1C48" w14:textId="77777777" w:rsidTr="00D40A32">
        <w:tc>
          <w:tcPr>
            <w:tcW w:w="1075" w:type="dxa"/>
          </w:tcPr>
          <w:p w14:paraId="1648EC9F" w14:textId="77777777" w:rsidR="00B86A12" w:rsidRPr="00D40A32" w:rsidRDefault="00000000">
            <w:pPr>
              <w:rPr>
                <w:sz w:val="20"/>
                <w:szCs w:val="20"/>
              </w:rPr>
            </w:pPr>
            <w:r>
              <w:rPr>
                <w:b/>
                <w:sz w:val="20"/>
                <w:szCs w:val="20"/>
              </w:rPr>
              <w:t>Cluster</w:t>
            </w:r>
          </w:p>
        </w:tc>
        <w:tc>
          <w:tcPr>
            <w:tcW w:w="720" w:type="dxa"/>
          </w:tcPr>
          <w:p w14:paraId="06AA487C" w14:textId="77777777" w:rsidR="00B86A12" w:rsidRPr="00D40A32" w:rsidRDefault="00000000">
            <w:pPr>
              <w:rPr>
                <w:sz w:val="20"/>
                <w:szCs w:val="20"/>
              </w:rPr>
            </w:pPr>
            <w:r>
              <w:rPr>
                <w:b/>
                <w:sz w:val="20"/>
                <w:szCs w:val="20"/>
              </w:rPr>
              <w:t>N ZIPs</w:t>
            </w:r>
          </w:p>
        </w:tc>
        <w:tc>
          <w:tcPr>
            <w:tcW w:w="990" w:type="dxa"/>
          </w:tcPr>
          <w:p w14:paraId="4DAB83C7" w14:textId="77777777" w:rsidR="00B86A12" w:rsidRPr="00D40A32" w:rsidRDefault="00000000">
            <w:pPr>
              <w:rPr>
                <w:sz w:val="20"/>
                <w:szCs w:val="20"/>
              </w:rPr>
            </w:pPr>
            <w:r>
              <w:rPr>
                <w:b/>
                <w:sz w:val="20"/>
                <w:szCs w:val="20"/>
              </w:rPr>
              <w:t>Income</w:t>
            </w:r>
          </w:p>
        </w:tc>
        <w:tc>
          <w:tcPr>
            <w:tcW w:w="900" w:type="dxa"/>
          </w:tcPr>
          <w:p w14:paraId="47EB551D" w14:textId="77777777" w:rsidR="00B86A12" w:rsidRPr="00D40A32" w:rsidRDefault="00000000">
            <w:pPr>
              <w:rPr>
                <w:sz w:val="20"/>
                <w:szCs w:val="20"/>
              </w:rPr>
            </w:pPr>
            <w:r>
              <w:rPr>
                <w:b/>
                <w:sz w:val="20"/>
                <w:szCs w:val="20"/>
              </w:rPr>
              <w:t>Poverty</w:t>
            </w:r>
          </w:p>
        </w:tc>
        <w:tc>
          <w:tcPr>
            <w:tcW w:w="720" w:type="dxa"/>
          </w:tcPr>
          <w:p w14:paraId="2A2D21FD" w14:textId="77777777" w:rsidR="00B86A12" w:rsidRPr="00D40A32" w:rsidRDefault="00000000">
            <w:pPr>
              <w:rPr>
                <w:sz w:val="20"/>
                <w:szCs w:val="20"/>
              </w:rPr>
            </w:pPr>
            <w:r>
              <w:rPr>
                <w:b/>
                <w:sz w:val="20"/>
                <w:szCs w:val="20"/>
              </w:rPr>
              <w:t>Black</w:t>
            </w:r>
          </w:p>
        </w:tc>
        <w:tc>
          <w:tcPr>
            <w:tcW w:w="990" w:type="dxa"/>
          </w:tcPr>
          <w:p w14:paraId="207DA255" w14:textId="77777777" w:rsidR="00B86A12" w:rsidRPr="00D40A32" w:rsidRDefault="00000000">
            <w:pPr>
              <w:rPr>
                <w:sz w:val="20"/>
                <w:szCs w:val="20"/>
              </w:rPr>
            </w:pPr>
            <w:r>
              <w:rPr>
                <w:b/>
                <w:sz w:val="20"/>
                <w:szCs w:val="20"/>
              </w:rPr>
              <w:t>Hispanic</w:t>
            </w:r>
          </w:p>
        </w:tc>
        <w:tc>
          <w:tcPr>
            <w:tcW w:w="810" w:type="dxa"/>
          </w:tcPr>
          <w:p w14:paraId="0EC94BEE" w14:textId="77777777" w:rsidR="00B86A12" w:rsidRPr="00D40A32" w:rsidRDefault="00000000">
            <w:pPr>
              <w:rPr>
                <w:sz w:val="20"/>
                <w:szCs w:val="20"/>
              </w:rPr>
            </w:pPr>
            <w:r>
              <w:rPr>
                <w:b/>
                <w:sz w:val="20"/>
                <w:szCs w:val="20"/>
              </w:rPr>
              <w:t>Asian</w:t>
            </w:r>
          </w:p>
        </w:tc>
        <w:tc>
          <w:tcPr>
            <w:tcW w:w="1260" w:type="dxa"/>
          </w:tcPr>
          <w:p w14:paraId="5B72B403" w14:textId="77777777" w:rsidR="00B86A12" w:rsidRPr="00D40A32" w:rsidRDefault="00000000">
            <w:pPr>
              <w:rPr>
                <w:sz w:val="20"/>
                <w:szCs w:val="20"/>
              </w:rPr>
            </w:pPr>
            <w:r>
              <w:rPr>
                <w:b/>
                <w:sz w:val="20"/>
                <w:szCs w:val="20"/>
              </w:rPr>
              <w:t>Residual white/other share</w:t>
            </w:r>
          </w:p>
        </w:tc>
        <w:tc>
          <w:tcPr>
            <w:tcW w:w="630" w:type="dxa"/>
          </w:tcPr>
          <w:p w14:paraId="5A70CD07" w14:textId="77777777" w:rsidR="00B86A12" w:rsidRPr="00D40A32" w:rsidRDefault="00000000">
            <w:pPr>
              <w:rPr>
                <w:sz w:val="20"/>
                <w:szCs w:val="20"/>
              </w:rPr>
            </w:pPr>
            <w:r>
              <w:rPr>
                <w:b/>
                <w:sz w:val="20"/>
                <w:szCs w:val="20"/>
              </w:rPr>
              <w:t>PV / 1k</w:t>
            </w:r>
          </w:p>
        </w:tc>
        <w:tc>
          <w:tcPr>
            <w:tcW w:w="900" w:type="dxa"/>
          </w:tcPr>
          <w:p w14:paraId="34765BA3" w14:textId="77777777" w:rsidR="00B86A12" w:rsidRPr="00D40A32" w:rsidRDefault="00000000">
            <w:pPr>
              <w:rPr>
                <w:sz w:val="20"/>
                <w:szCs w:val="20"/>
              </w:rPr>
            </w:pPr>
            <w:r>
              <w:rPr>
                <w:b/>
                <w:sz w:val="20"/>
                <w:szCs w:val="20"/>
              </w:rPr>
              <w:t>Storage / 100k</w:t>
            </w:r>
          </w:p>
        </w:tc>
        <w:tc>
          <w:tcPr>
            <w:tcW w:w="1075" w:type="dxa"/>
          </w:tcPr>
          <w:p w14:paraId="3BA64ABE" w14:textId="77777777" w:rsidR="00B86A12" w:rsidRPr="00D40A32" w:rsidRDefault="00000000">
            <w:pPr>
              <w:rPr>
                <w:sz w:val="20"/>
                <w:szCs w:val="20"/>
              </w:rPr>
            </w:pPr>
            <w:r>
              <w:rPr>
                <w:b/>
                <w:sz w:val="20"/>
                <w:szCs w:val="20"/>
              </w:rPr>
              <w:t>Chargers / 1k</w:t>
            </w:r>
          </w:p>
        </w:tc>
      </w:tr>
      <w:tr w:rsidR="00B86A12" w14:paraId="325FEC98" w14:textId="77777777" w:rsidTr="00D40A32">
        <w:tc>
          <w:tcPr>
            <w:tcW w:w="1075" w:type="dxa"/>
          </w:tcPr>
          <w:p w14:paraId="67DFFE60" w14:textId="77777777" w:rsidR="00B86A12" w:rsidRDefault="00000000">
            <w:del w:id="43" w:author="Claude (pipeline audit)" w:date="2026-08-03T00:00:00Z">
              <w:r>
                <w:delText>Blue (1)</w:delText>
              </w:r>
            </w:del>
            <w:ins w:id="44" w:author="Claude (pipeline audit)" w:date="2026-08-03T00:00:00Z">
              <w:r>
                <w:t>Cluster 1</w:t>
              </w:r>
            </w:ins>
          </w:p>
        </w:tc>
        <w:tc>
          <w:tcPr>
            <w:tcW w:w="720" w:type="dxa"/>
          </w:tcPr>
          <w:p w14:paraId="172E8B42" w14:textId="77777777" w:rsidR="00B86A12" w:rsidRDefault="00000000">
            <w:del w:id="45" w:author="Claude (pipeline audit)" w:date="2026-08-03T00:00:00Z">
              <w:r>
                <w:delText>1,218</w:delText>
              </w:r>
            </w:del>
            <w:ins w:id="46" w:author="Claude (pipeline audit)" w:date="2026-08-03T00:00:00Z">
              <w:r>
                <w:t>258</w:t>
              </w:r>
            </w:ins>
          </w:p>
        </w:tc>
        <w:tc>
          <w:tcPr>
            <w:tcW w:w="990" w:type="dxa"/>
          </w:tcPr>
          <w:p w14:paraId="6FA12968" w14:textId="77777777" w:rsidR="00B86A12" w:rsidRDefault="00000000">
            <w:del w:id="47" w:author="Claude (pipeline audit)" w:date="2026-08-03T00:00:00Z">
              <w:r>
                <w:delText>$87.5k</w:delText>
              </w:r>
            </w:del>
            <w:ins w:id="48" w:author="Claude (pipeline audit)" w:date="2026-08-03T00:00:00Z">
              <w:r>
                <w:t>$86.4k</w:t>
              </w:r>
            </w:ins>
          </w:p>
        </w:tc>
        <w:tc>
          <w:tcPr>
            <w:tcW w:w="900" w:type="dxa"/>
          </w:tcPr>
          <w:p w14:paraId="14BE7119" w14:textId="77777777" w:rsidR="00B86A12" w:rsidRDefault="00000000">
            <w:del w:id="49" w:author="Claude (pipeline audit)" w:date="2026-08-03T00:00:00Z">
              <w:r>
                <w:delText>12.9%</w:delText>
              </w:r>
            </w:del>
            <w:ins w:id="50" w:author="Claude (pipeline audit)" w:date="2026-08-03T00:00:00Z">
              <w:r>
                <w:t>11.2%</w:t>
              </w:r>
            </w:ins>
          </w:p>
        </w:tc>
        <w:tc>
          <w:tcPr>
            <w:tcW w:w="720" w:type="dxa"/>
          </w:tcPr>
          <w:p w14:paraId="6905785D" w14:textId="77777777" w:rsidR="00B86A12" w:rsidRDefault="00000000">
            <w:del w:id="51" w:author="Claude (pipeline audit)" w:date="2026-08-03T00:00:00Z">
              <w:r>
                <w:delText>2.5%</w:delText>
              </w:r>
            </w:del>
            <w:ins w:id="52" w:author="Claude (pipeline audit)" w:date="2026-08-03T00:00:00Z">
              <w:r>
                <w:t>1.3%</w:t>
              </w:r>
            </w:ins>
          </w:p>
        </w:tc>
        <w:tc>
          <w:tcPr>
            <w:tcW w:w="990" w:type="dxa"/>
          </w:tcPr>
          <w:p w14:paraId="11E76F0A" w14:textId="77777777" w:rsidR="00B86A12" w:rsidRDefault="00000000">
            <w:del w:id="53" w:author="Claude (pipeline audit)" w:date="2026-08-03T00:00:00Z">
              <w:r>
                <w:delText>30.1%</w:delText>
              </w:r>
            </w:del>
            <w:ins w:id="54" w:author="Claude (pipeline audit)" w:date="2026-08-03T00:00:00Z">
              <w:r>
                <w:t>22.1%</w:t>
              </w:r>
            </w:ins>
          </w:p>
        </w:tc>
        <w:tc>
          <w:tcPr>
            <w:tcW w:w="810" w:type="dxa"/>
          </w:tcPr>
          <w:p w14:paraId="769B91A5" w14:textId="77777777" w:rsidR="00B86A12" w:rsidRDefault="00000000">
            <w:del w:id="55" w:author="Claude (pipeline audit)" w:date="2026-08-03T00:00:00Z">
              <w:r>
                <w:delText>4.1%</w:delText>
              </w:r>
            </w:del>
            <w:ins w:id="56" w:author="Claude (pipeline audit)" w:date="2026-08-03T00:00:00Z">
              <w:r>
                <w:t>2.3%</w:t>
              </w:r>
            </w:ins>
          </w:p>
        </w:tc>
        <w:tc>
          <w:tcPr>
            <w:tcW w:w="1260" w:type="dxa"/>
          </w:tcPr>
          <w:p w14:paraId="492F5DED" w14:textId="77777777" w:rsidR="00B86A12" w:rsidRDefault="00000000">
            <w:del w:id="57" w:author="Claude (pipeline audit)" w:date="2026-08-03T00:00:00Z">
              <w:r>
                <w:delText>63.3%</w:delText>
              </w:r>
            </w:del>
            <w:ins w:id="58" w:author="Claude (pipeline audit)" w:date="2026-08-03T00:00:00Z">
              <w:r>
                <w:t>74.3%</w:t>
              </w:r>
            </w:ins>
          </w:p>
        </w:tc>
        <w:tc>
          <w:tcPr>
            <w:tcW w:w="630" w:type="dxa"/>
          </w:tcPr>
          <w:p w14:paraId="39333805" w14:textId="77777777" w:rsidR="00B86A12" w:rsidRDefault="00000000">
            <w:del w:id="59" w:author="Claude (pipeline audit)" w:date="2026-08-03T00:00:00Z">
              <w:r>
                <w:delText>0.89</w:delText>
              </w:r>
            </w:del>
            <w:ins w:id="60" w:author="Claude (pipeline audit)" w:date="2026-08-03T00:00:00Z">
              <w:r>
                <w:t>0.86</w:t>
              </w:r>
            </w:ins>
          </w:p>
        </w:tc>
        <w:tc>
          <w:tcPr>
            <w:tcW w:w="900" w:type="dxa"/>
          </w:tcPr>
          <w:p w14:paraId="7CF8F95F" w14:textId="77777777" w:rsidR="00B86A12" w:rsidRDefault="00000000">
            <w:del w:id="61" w:author="Claude (pipeline audit)" w:date="2026-08-03T00:00:00Z">
              <w:r>
                <w:delText>11.00</w:delText>
              </w:r>
            </w:del>
            <w:ins w:id="62" w:author="Claude (pipeline audit)" w:date="2026-08-03T00:00:00Z">
              <w:r>
                <w:t>12.95</w:t>
              </w:r>
            </w:ins>
          </w:p>
        </w:tc>
        <w:tc>
          <w:tcPr>
            <w:tcW w:w="1075" w:type="dxa"/>
          </w:tcPr>
          <w:p w14:paraId="76839E61" w14:textId="77777777" w:rsidR="00B86A12" w:rsidRDefault="00000000">
            <w:del w:id="63" w:author="Claude (pipeline audit)" w:date="2026-08-03T00:00:00Z">
              <w:r>
                <w:delText>13.66</w:delText>
              </w:r>
            </w:del>
            <w:ins w:id="64" w:author="Claude (pipeline audit)" w:date="2026-08-03T00:00:00Z">
              <w:r>
                <w:t>1.59</w:t>
              </w:r>
            </w:ins>
          </w:p>
        </w:tc>
      </w:tr>
      <w:tr w:rsidR="00B86A12" w14:paraId="110F5E7D" w14:textId="77777777" w:rsidTr="00D40A32">
        <w:tc>
          <w:tcPr>
            <w:tcW w:w="1075" w:type="dxa"/>
          </w:tcPr>
          <w:p w14:paraId="250458B7" w14:textId="77777777" w:rsidR="00B86A12" w:rsidRDefault="00000000">
            <w:del w:id="65" w:author="Claude (pipeline audit)" w:date="2026-08-03T00:00:00Z">
              <w:r>
                <w:delText>Orange (2)</w:delText>
              </w:r>
            </w:del>
            <w:ins w:id="66" w:author="Claude (pipeline audit)" w:date="2026-08-03T00:00:00Z">
              <w:r>
                <w:t>Cluster 2</w:t>
              </w:r>
            </w:ins>
          </w:p>
        </w:tc>
        <w:tc>
          <w:tcPr>
            <w:tcW w:w="720" w:type="dxa"/>
          </w:tcPr>
          <w:p w14:paraId="32CC21A0" w14:textId="77777777" w:rsidR="00B86A12" w:rsidRDefault="00000000">
            <w:del w:id="67" w:author="Claude (pipeline audit)" w:date="2026-08-03T00:00:00Z">
              <w:r>
                <w:delText>279</w:delText>
              </w:r>
            </w:del>
            <w:ins w:id="68" w:author="Claude (pipeline audit)" w:date="2026-08-03T00:00:00Z">
              <w:r>
                <w:t>218</w:t>
              </w:r>
            </w:ins>
          </w:p>
        </w:tc>
        <w:tc>
          <w:tcPr>
            <w:tcW w:w="990" w:type="dxa"/>
          </w:tcPr>
          <w:p w14:paraId="5C32B2FE" w14:textId="77777777" w:rsidR="00B86A12" w:rsidRDefault="00000000">
            <w:del w:id="69" w:author="Claude (pipeline audit)" w:date="2026-08-03T00:00:00Z">
              <w:r>
                <w:delText>$159.6k</w:delText>
              </w:r>
            </w:del>
            <w:ins w:id="70" w:author="Claude (pipeline audit)" w:date="2026-08-03T00:00:00Z">
              <w:r>
                <w:t>$60.9k</w:t>
              </w:r>
            </w:ins>
          </w:p>
        </w:tc>
        <w:tc>
          <w:tcPr>
            <w:tcW w:w="900" w:type="dxa"/>
          </w:tcPr>
          <w:p w14:paraId="20099923" w14:textId="77777777" w:rsidR="00B86A12" w:rsidRDefault="00000000">
            <w:del w:id="71" w:author="Claude (pipeline audit)" w:date="2026-08-03T00:00:00Z">
              <w:r>
                <w:delText>7.8%</w:delText>
              </w:r>
            </w:del>
            <w:ins w:id="72" w:author="Claude (pipeline audit)" w:date="2026-08-03T00:00:00Z">
              <w:r>
                <w:t>20.6%</w:t>
              </w:r>
            </w:ins>
          </w:p>
        </w:tc>
        <w:tc>
          <w:tcPr>
            <w:tcW w:w="720" w:type="dxa"/>
          </w:tcPr>
          <w:p w14:paraId="2B44858B" w14:textId="77777777" w:rsidR="00B86A12" w:rsidRDefault="00000000">
            <w:del w:id="73" w:author="Claude (pipeline audit)" w:date="2026-08-03T00:00:00Z">
              <w:r>
                <w:delText>3.3%</w:delText>
              </w:r>
            </w:del>
            <w:ins w:id="74" w:author="Claude (pipeline audit)" w:date="2026-08-03T00:00:00Z">
              <w:r>
                <w:t>3.6%</w:t>
              </w:r>
            </w:ins>
          </w:p>
        </w:tc>
        <w:tc>
          <w:tcPr>
            <w:tcW w:w="990" w:type="dxa"/>
          </w:tcPr>
          <w:p w14:paraId="7EC3F750" w14:textId="77777777" w:rsidR="00B86A12" w:rsidRDefault="00000000">
            <w:del w:id="75" w:author="Claude (pipeline audit)" w:date="2026-08-03T00:00:00Z">
              <w:r>
                <w:delText>15.9%</w:delText>
              </w:r>
            </w:del>
            <w:ins w:id="76" w:author="Claude (pipeline audit)" w:date="2026-08-03T00:00:00Z">
              <w:r>
                <w:t>60.3%</w:t>
              </w:r>
            </w:ins>
          </w:p>
        </w:tc>
        <w:tc>
          <w:tcPr>
            <w:tcW w:w="810" w:type="dxa"/>
          </w:tcPr>
          <w:p w14:paraId="3EF3C5C1" w14:textId="77777777" w:rsidR="00B86A12" w:rsidRDefault="00000000">
            <w:del w:id="77" w:author="Claude (pipeline audit)" w:date="2026-08-03T00:00:00Z">
              <w:r>
                <w:delText>24.0%</w:delText>
              </w:r>
            </w:del>
            <w:ins w:id="78" w:author="Claude (pipeline audit)" w:date="2026-08-03T00:00:00Z">
              <w:r>
                <w:t>3.7%</w:t>
              </w:r>
            </w:ins>
          </w:p>
        </w:tc>
        <w:tc>
          <w:tcPr>
            <w:tcW w:w="1260" w:type="dxa"/>
          </w:tcPr>
          <w:p w14:paraId="28F6432C" w14:textId="77777777" w:rsidR="00B86A12" w:rsidRDefault="00000000">
            <w:del w:id="79" w:author="Claude (pipeline audit)" w:date="2026-08-03T00:00:00Z">
              <w:r>
                <w:delText>56.8%</w:delText>
              </w:r>
            </w:del>
            <w:ins w:id="80" w:author="Claude (pipeline audit)" w:date="2026-08-03T00:00:00Z">
              <w:r>
                <w:t>32.4%</w:t>
              </w:r>
            </w:ins>
          </w:p>
        </w:tc>
        <w:tc>
          <w:tcPr>
            <w:tcW w:w="630" w:type="dxa"/>
          </w:tcPr>
          <w:p w14:paraId="0A7BC275" w14:textId="77777777" w:rsidR="00B86A12" w:rsidRDefault="00000000">
            <w:del w:id="81" w:author="Claude (pipeline audit)" w:date="2026-08-03T00:00:00Z">
              <w:r>
                <w:delText>0.52</w:delText>
              </w:r>
            </w:del>
            <w:ins w:id="82" w:author="Claude (pipeline audit)" w:date="2026-08-03T00:00:00Z">
              <w:r>
                <w:t>1.02</w:t>
              </w:r>
            </w:ins>
          </w:p>
        </w:tc>
        <w:tc>
          <w:tcPr>
            <w:tcW w:w="900" w:type="dxa"/>
          </w:tcPr>
          <w:p w14:paraId="48DFC351" w14:textId="77777777" w:rsidR="00B86A12" w:rsidRDefault="00000000">
            <w:del w:id="83" w:author="Claude (pipeline audit)" w:date="2026-08-03T00:00:00Z">
              <w:r>
                <w:delText>10.66</w:delText>
              </w:r>
            </w:del>
            <w:ins w:id="84" w:author="Claude (pipeline audit)" w:date="2026-08-03T00:00:00Z">
              <w:r>
                <w:t>5.26</w:t>
              </w:r>
            </w:ins>
          </w:p>
        </w:tc>
        <w:tc>
          <w:tcPr>
            <w:tcW w:w="1075" w:type="dxa"/>
          </w:tcPr>
          <w:p w14:paraId="4B54D8D6" w14:textId="77777777" w:rsidR="00B86A12" w:rsidRDefault="00000000">
            <w:del w:id="85" w:author="Claude (pipeline audit)" w:date="2026-08-03T00:00:00Z">
              <w:r>
                <w:delText>10.83</w:delText>
              </w:r>
            </w:del>
            <w:ins w:id="86" w:author="Claude (pipeline audit)" w:date="2026-08-03T00:00:00Z">
              <w:r>
                <w:t>1.35</w:t>
              </w:r>
            </w:ins>
          </w:p>
        </w:tc>
      </w:tr>
      <w:tr w:rsidR="00B86A12" w14:paraId="7B3AF64D" w14:textId="77777777" w:rsidTr="00D40A32">
        <w:tc>
          <w:tcPr>
            <w:tcW w:w="1075" w:type="dxa"/>
          </w:tcPr>
          <w:p w14:paraId="15A8A599" w14:textId="77777777" w:rsidR="00B86A12" w:rsidRDefault="00000000">
            <w:del w:id="87" w:author="Claude (pipeline audit)" w:date="2026-08-03T00:00:00Z">
              <w:r>
                <w:delText>Green (3)</w:delText>
              </w:r>
            </w:del>
            <w:ins w:id="88" w:author="Claude (pipeline audit)" w:date="2026-08-03T00:00:00Z">
              <w:r>
                <w:t>Cluster 3</w:t>
              </w:r>
            </w:ins>
          </w:p>
        </w:tc>
        <w:tc>
          <w:tcPr>
            <w:tcW w:w="720" w:type="dxa"/>
          </w:tcPr>
          <w:p w14:paraId="01E59D4D" w14:textId="77777777" w:rsidR="00B86A12" w:rsidRDefault="00000000">
            <w:del w:id="89" w:author="Claude (pipeline audit)" w:date="2026-08-03T00:00:00Z">
              <w:r>
                <w:delText>323</w:delText>
              </w:r>
            </w:del>
            <w:ins w:id="90" w:author="Claude (pipeline audit)" w:date="2026-08-03T00:00:00Z">
              <w:r>
                <w:t>177</w:t>
              </w:r>
            </w:ins>
          </w:p>
        </w:tc>
        <w:tc>
          <w:tcPr>
            <w:tcW w:w="990" w:type="dxa"/>
          </w:tcPr>
          <w:p w14:paraId="60D047B8" w14:textId="77777777" w:rsidR="00B86A12" w:rsidRDefault="00000000">
            <w:del w:id="91" w:author="Claude (pipeline audit)" w:date="2026-08-03T00:00:00Z">
              <w:r>
                <w:delText>$64.2k</w:delText>
              </w:r>
            </w:del>
            <w:ins w:id="92" w:author="Claude (pipeline audit)" w:date="2026-08-03T00:00:00Z">
              <w:r>
                <w:t>$133.5k</w:t>
              </w:r>
            </w:ins>
          </w:p>
        </w:tc>
        <w:tc>
          <w:tcPr>
            <w:tcW w:w="900" w:type="dxa"/>
          </w:tcPr>
          <w:p w14:paraId="315C5941" w14:textId="77777777" w:rsidR="00B86A12" w:rsidRDefault="00000000">
            <w:del w:id="93" w:author="Claude (pipeline audit)" w:date="2026-08-03T00:00:00Z">
              <w:r>
                <w:delText>20.2%</w:delText>
              </w:r>
            </w:del>
            <w:ins w:id="94" w:author="Claude (pipeline audit)" w:date="2026-08-03T00:00:00Z">
              <w:r>
                <w:t>9.5%</w:t>
              </w:r>
            </w:ins>
          </w:p>
        </w:tc>
        <w:tc>
          <w:tcPr>
            <w:tcW w:w="720" w:type="dxa"/>
          </w:tcPr>
          <w:p w14:paraId="3ED8E350" w14:textId="77777777" w:rsidR="00B86A12" w:rsidRDefault="00000000">
            <w:del w:id="95" w:author="Claude (pipeline audit)" w:date="2026-08-03T00:00:00Z">
              <w:r>
                <w:delText>5.6%</w:delText>
              </w:r>
            </w:del>
            <w:ins w:id="96" w:author="Claude (pipeline audit)" w:date="2026-08-03T00:00:00Z">
              <w:r>
                <w:t>4.8%</w:t>
              </w:r>
            </w:ins>
          </w:p>
        </w:tc>
        <w:tc>
          <w:tcPr>
            <w:tcW w:w="990" w:type="dxa"/>
          </w:tcPr>
          <w:p w14:paraId="21953F98" w14:textId="77777777" w:rsidR="00B86A12" w:rsidRDefault="00000000">
            <w:del w:id="97" w:author="Claude (pipeline audit)" w:date="2026-08-03T00:00:00Z">
              <w:r>
                <w:delText>63.4%</w:delText>
              </w:r>
            </w:del>
            <w:ins w:id="98" w:author="Claude (pipeline audit)" w:date="2026-08-03T00:00:00Z">
              <w:r>
                <w:t>17.9%</w:t>
              </w:r>
            </w:ins>
          </w:p>
        </w:tc>
        <w:tc>
          <w:tcPr>
            <w:tcW w:w="810" w:type="dxa"/>
          </w:tcPr>
          <w:p w14:paraId="75B5614A" w14:textId="77777777" w:rsidR="00B86A12" w:rsidRDefault="00000000">
            <w:del w:id="99" w:author="Claude (pipeline audit)" w:date="2026-08-03T00:00:00Z">
              <w:r>
                <w:delText>4.7%</w:delText>
              </w:r>
            </w:del>
            <w:ins w:id="100" w:author="Claude (pipeline audit)" w:date="2026-08-03T00:00:00Z">
              <w:r>
                <w:t>26.1%</w:t>
              </w:r>
            </w:ins>
          </w:p>
        </w:tc>
        <w:tc>
          <w:tcPr>
            <w:tcW w:w="1260" w:type="dxa"/>
          </w:tcPr>
          <w:p w14:paraId="4A624121" w14:textId="77777777" w:rsidR="00B86A12" w:rsidRDefault="00000000">
            <w:del w:id="101" w:author="Claude (pipeline audit)" w:date="2026-08-03T00:00:00Z">
              <w:r>
                <w:delText>26.3%</w:delText>
              </w:r>
            </w:del>
            <w:ins w:id="102" w:author="Claude (pipeline audit)" w:date="2026-08-03T00:00:00Z">
              <w:r>
                <w:t>51.2%</w:t>
              </w:r>
            </w:ins>
          </w:p>
        </w:tc>
        <w:tc>
          <w:tcPr>
            <w:tcW w:w="630" w:type="dxa"/>
          </w:tcPr>
          <w:p w14:paraId="36696262" w14:textId="77777777" w:rsidR="00B86A12" w:rsidRDefault="00000000">
            <w:del w:id="103" w:author="Claude (pipeline audit)" w:date="2026-08-03T00:00:00Z">
              <w:r>
                <w:delText>0.92</w:delText>
              </w:r>
            </w:del>
            <w:ins w:id="104" w:author="Claude (pipeline audit)" w:date="2026-08-03T00:00:00Z">
              <w:r>
                <w:t>0.26</w:t>
              </w:r>
            </w:ins>
          </w:p>
        </w:tc>
        <w:tc>
          <w:tcPr>
            <w:tcW w:w="900" w:type="dxa"/>
          </w:tcPr>
          <w:p w14:paraId="03F029D0" w14:textId="77777777" w:rsidR="00B86A12" w:rsidRDefault="00000000">
            <w:del w:id="105" w:author="Claude (pipeline audit)" w:date="2026-08-03T00:00:00Z">
              <w:r>
                <w:delText>5.62</w:delText>
              </w:r>
            </w:del>
            <w:ins w:id="106" w:author="Claude (pipeline audit)" w:date="2026-08-03T00:00:00Z">
              <w:r>
                <w:t>4.09</w:t>
              </w:r>
            </w:ins>
          </w:p>
        </w:tc>
        <w:tc>
          <w:tcPr>
            <w:tcW w:w="1075" w:type="dxa"/>
          </w:tcPr>
          <w:p w14:paraId="2F80CCBB" w14:textId="77777777" w:rsidR="00B86A12" w:rsidRDefault="00000000">
            <w:del w:id="107" w:author="Claude (pipeline audit)" w:date="2026-08-03T00:00:00Z">
              <w:r>
                <w:delText>2.81</w:delText>
              </w:r>
            </w:del>
            <w:ins w:id="108" w:author="Claude (pipeline audit)" w:date="2026-08-03T00:00:00Z">
              <w:r>
                <w:t>4.56</w:t>
              </w:r>
            </w:ins>
          </w:p>
        </w:tc>
      </w:tr>
      <w:tr w:rsidR="00B86A12" w14:paraId="7361E314" w14:textId="77777777" w:rsidTr="00D40A32">
        <w:tc>
          <w:tcPr>
            <w:tcW w:w="1075" w:type="dxa"/>
          </w:tcPr>
          <w:p w14:paraId="2007D60B" w14:textId="77777777" w:rsidR="00B86A12" w:rsidRDefault="00000000">
            <w:del w:id="109" w:author="Claude (pipeline audit)" w:date="2026-08-03T00:00:00Z">
              <w:r>
                <w:delText>Red (4)</w:delText>
              </w:r>
            </w:del>
            <w:ins w:id="110" w:author="Claude (pipeline audit)" w:date="2026-08-03T00:00:00Z">
              <w:r>
                <w:t>Cluster 4</w:t>
              </w:r>
            </w:ins>
          </w:p>
        </w:tc>
        <w:tc>
          <w:tcPr>
            <w:tcW w:w="720" w:type="dxa"/>
          </w:tcPr>
          <w:p w14:paraId="67AB3764" w14:textId="77777777" w:rsidR="00B86A12" w:rsidRDefault="00000000">
            <w:del w:id="111" w:author="Claude (pipeline audit)" w:date="2026-08-03T00:00:00Z">
              <w:r>
                <w:delText>488</w:delText>
              </w:r>
            </w:del>
            <w:ins w:id="112" w:author="Claude (pipeline audit)" w:date="2026-08-03T00:00:00Z">
              <w:r>
                <w:t>352</w:t>
              </w:r>
            </w:ins>
          </w:p>
        </w:tc>
        <w:tc>
          <w:tcPr>
            <w:tcW w:w="990" w:type="dxa"/>
          </w:tcPr>
          <w:p w14:paraId="2E78D78A" w14:textId="77777777" w:rsidR="00B86A12" w:rsidRDefault="00000000">
            <w:r>
              <w:t>$104.9k</w:t>
            </w:r>
          </w:p>
        </w:tc>
        <w:tc>
          <w:tcPr>
            <w:tcW w:w="900" w:type="dxa"/>
          </w:tcPr>
          <w:p w14:paraId="6CF1854C" w14:textId="77777777" w:rsidR="00B86A12" w:rsidRDefault="00000000">
            <w:del w:id="113" w:author="Claude (pipeline audit)" w:date="2026-08-03T00:00:00Z">
              <w:r>
                <w:delText>10.4%</w:delText>
              </w:r>
            </w:del>
            <w:ins w:id="114" w:author="Claude (pipeline audit)" w:date="2026-08-03T00:00:00Z">
              <w:r>
                <w:t>9.5%</w:t>
              </w:r>
            </w:ins>
          </w:p>
        </w:tc>
        <w:tc>
          <w:tcPr>
            <w:tcW w:w="720" w:type="dxa"/>
          </w:tcPr>
          <w:p w14:paraId="0893AF58" w14:textId="77777777" w:rsidR="00B86A12" w:rsidRDefault="00000000">
            <w:del w:id="115" w:author="Claude (pipeline audit)" w:date="2026-08-03T00:00:00Z">
              <w:r>
                <w:delText>6.0%</w:delText>
              </w:r>
            </w:del>
            <w:ins w:id="116" w:author="Claude (pipeline audit)" w:date="2026-08-03T00:00:00Z">
              <w:r>
                <w:t>5.0%</w:t>
              </w:r>
            </w:ins>
          </w:p>
        </w:tc>
        <w:tc>
          <w:tcPr>
            <w:tcW w:w="990" w:type="dxa"/>
          </w:tcPr>
          <w:p w14:paraId="24BA8AAD" w14:textId="77777777" w:rsidR="00B86A12" w:rsidRDefault="00000000">
            <w:r>
              <w:t>33.9%</w:t>
            </w:r>
          </w:p>
        </w:tc>
        <w:tc>
          <w:tcPr>
            <w:tcW w:w="810" w:type="dxa"/>
          </w:tcPr>
          <w:p w14:paraId="2366E22C" w14:textId="77777777" w:rsidR="00B86A12" w:rsidRDefault="00000000">
            <w:del w:id="117" w:author="Claude (pipeline audit)" w:date="2026-08-03T00:00:00Z">
              <w:r>
                <w:delText>16.8%</w:delText>
              </w:r>
            </w:del>
            <w:ins w:id="118" w:author="Claude (pipeline audit)" w:date="2026-08-03T00:00:00Z">
              <w:r>
                <w:t>14.7%</w:t>
              </w:r>
            </w:ins>
          </w:p>
        </w:tc>
        <w:tc>
          <w:tcPr>
            <w:tcW w:w="1260" w:type="dxa"/>
          </w:tcPr>
          <w:p w14:paraId="3CFF64DC" w14:textId="77777777" w:rsidR="00B86A12" w:rsidRDefault="00000000">
            <w:del w:id="119" w:author="Claude (pipeline audit)" w:date="2026-08-03T00:00:00Z">
              <w:r>
                <w:delText>43.3%</w:delText>
              </w:r>
            </w:del>
            <w:ins w:id="120" w:author="Claude (pipeline audit)" w:date="2026-08-03T00:00:00Z">
              <w:r>
                <w:t>46.4%</w:t>
              </w:r>
            </w:ins>
          </w:p>
        </w:tc>
        <w:tc>
          <w:tcPr>
            <w:tcW w:w="630" w:type="dxa"/>
          </w:tcPr>
          <w:p w14:paraId="2CCD3293" w14:textId="77777777" w:rsidR="00B86A12" w:rsidRDefault="00000000">
            <w:del w:id="121" w:author="Claude (pipeline audit)" w:date="2026-08-03T00:00:00Z">
              <w:r>
                <w:delText>0.43</w:delText>
              </w:r>
            </w:del>
            <w:ins w:id="122" w:author="Claude (pipeline audit)" w:date="2026-08-03T00:00:00Z">
              <w:r>
                <w:t>0.49</w:t>
              </w:r>
            </w:ins>
          </w:p>
        </w:tc>
        <w:tc>
          <w:tcPr>
            <w:tcW w:w="900" w:type="dxa"/>
          </w:tcPr>
          <w:p w14:paraId="571A0565" w14:textId="77777777" w:rsidR="00B86A12" w:rsidRDefault="00000000">
            <w:del w:id="123" w:author="Claude (pipeline audit)" w:date="2026-08-03T00:00:00Z">
              <w:r>
                <w:delText>5.13</w:delText>
              </w:r>
            </w:del>
            <w:ins w:id="124" w:author="Claude (pipeline audit)" w:date="2026-08-03T00:00:00Z">
              <w:r>
                <w:t>5.73</w:t>
              </w:r>
            </w:ins>
          </w:p>
        </w:tc>
        <w:tc>
          <w:tcPr>
            <w:tcW w:w="1075" w:type="dxa"/>
          </w:tcPr>
          <w:p w14:paraId="1C4DE549" w14:textId="77777777" w:rsidR="00B86A12" w:rsidRDefault="00000000">
            <w:del w:id="125" w:author="Claude (pipeline audit)" w:date="2026-08-03T00:00:00Z">
              <w:r>
                <w:delText>2.39</w:delText>
              </w:r>
            </w:del>
            <w:ins w:id="126" w:author="Claude (pipeline audit)" w:date="2026-08-03T00:00:00Z">
              <w:r>
                <w:t>1.09</w:t>
              </w:r>
            </w:ins>
          </w:p>
        </w:tc>
      </w:tr>
      <w:tr w:rsidR="00B86A12" w14:paraId="62944C25" w14:textId="77777777" w:rsidTr="00D40A32">
        <w:tc>
          <w:tcPr>
            <w:tcW w:w="1075" w:type="dxa"/>
          </w:tcPr>
          <w:p w14:paraId="0D517400" w14:textId="77777777" w:rsidR="00B86A12" w:rsidRDefault="00000000">
            <w:del w:id="127" w:author="Claude (pipeline audit)" w:date="2026-08-03T00:00:00Z">
              <w:r>
                <w:delText>Purple (5)</w:delText>
              </w:r>
            </w:del>
            <w:ins w:id="128" w:author="Claude (pipeline audit)" w:date="2026-08-03T00:00:00Z">
              <w:r>
                <w:t>Cluster 5</w:t>
              </w:r>
            </w:ins>
          </w:p>
        </w:tc>
        <w:tc>
          <w:tcPr>
            <w:tcW w:w="720" w:type="dxa"/>
          </w:tcPr>
          <w:p w14:paraId="08DBCF89" w14:textId="77777777" w:rsidR="00B86A12" w:rsidRDefault="00000000">
            <w:del w:id="129" w:author="Claude (pipeline audit)" w:date="2026-08-03T00:00:00Z">
              <w:r>
                <w:delText>252</w:delText>
              </w:r>
            </w:del>
            <w:ins w:id="130" w:author="Claude (pipeline audit)" w:date="2026-08-03T00:00:00Z">
              <w:r>
                <w:t>173</w:t>
              </w:r>
            </w:ins>
          </w:p>
        </w:tc>
        <w:tc>
          <w:tcPr>
            <w:tcW w:w="990" w:type="dxa"/>
          </w:tcPr>
          <w:p w14:paraId="73B582B3" w14:textId="77777777" w:rsidR="00B86A12" w:rsidRDefault="00000000">
            <w:del w:id="131" w:author="Claude (pipeline audit)" w:date="2026-08-03T00:00:00Z">
              <w:r>
                <w:delText>$74.4k</w:delText>
              </w:r>
            </w:del>
            <w:ins w:id="132" w:author="Claude (pipeline audit)" w:date="2026-08-03T00:00:00Z">
              <w:r>
                <w:t>$165.8k</w:t>
              </w:r>
            </w:ins>
          </w:p>
        </w:tc>
        <w:tc>
          <w:tcPr>
            <w:tcW w:w="900" w:type="dxa"/>
          </w:tcPr>
          <w:p w14:paraId="1563F541" w14:textId="77777777" w:rsidR="00B86A12" w:rsidRDefault="00000000">
            <w:del w:id="133" w:author="Claude (pipeline audit)" w:date="2026-08-03T00:00:00Z">
              <w:r>
                <w:delText>13.7%</w:delText>
              </w:r>
            </w:del>
            <w:ins w:id="134" w:author="Claude (pipeline audit)" w:date="2026-08-03T00:00:00Z">
              <w:r>
                <w:t>6.2%</w:t>
              </w:r>
            </w:ins>
          </w:p>
        </w:tc>
        <w:tc>
          <w:tcPr>
            <w:tcW w:w="720" w:type="dxa"/>
          </w:tcPr>
          <w:p w14:paraId="36C48B91" w14:textId="77777777" w:rsidR="00B86A12" w:rsidRDefault="00000000">
            <w:del w:id="135" w:author="Claude (pipeline audit)" w:date="2026-08-03T00:00:00Z">
              <w:r>
                <w:delText>0.9%</w:delText>
              </w:r>
            </w:del>
            <w:ins w:id="136" w:author="Claude (pipeline audit)" w:date="2026-08-03T00:00:00Z">
              <w:r>
                <w:t>1.8%</w:t>
              </w:r>
            </w:ins>
          </w:p>
        </w:tc>
        <w:tc>
          <w:tcPr>
            <w:tcW w:w="990" w:type="dxa"/>
          </w:tcPr>
          <w:p w14:paraId="2D2B020F" w14:textId="77777777" w:rsidR="00B86A12" w:rsidRDefault="00000000">
            <w:del w:id="137" w:author="Claude (pipeline audit)" w:date="2026-08-03T00:00:00Z">
              <w:r>
                <w:delText>14.9%</w:delText>
              </w:r>
            </w:del>
            <w:ins w:id="138" w:author="Claude (pipeline audit)" w:date="2026-08-03T00:00:00Z">
              <w:r>
                <w:t>14.7%</w:t>
              </w:r>
            </w:ins>
          </w:p>
        </w:tc>
        <w:tc>
          <w:tcPr>
            <w:tcW w:w="810" w:type="dxa"/>
          </w:tcPr>
          <w:p w14:paraId="65FABEC2" w14:textId="77777777" w:rsidR="00B86A12" w:rsidRDefault="00000000">
            <w:del w:id="139" w:author="Claude (pipeline audit)" w:date="2026-08-03T00:00:00Z">
              <w:r>
                <w:delText>1.5%</w:delText>
              </w:r>
            </w:del>
            <w:ins w:id="140" w:author="Claude (pipeline audit)" w:date="2026-08-03T00:00:00Z">
              <w:r>
                <w:t>16.8%</w:t>
              </w:r>
            </w:ins>
          </w:p>
        </w:tc>
        <w:tc>
          <w:tcPr>
            <w:tcW w:w="1260" w:type="dxa"/>
          </w:tcPr>
          <w:p w14:paraId="5F74F2FD" w14:textId="77777777" w:rsidR="00B86A12" w:rsidRDefault="00000000">
            <w:del w:id="141" w:author="Claude (pipeline audit)" w:date="2026-08-03T00:00:00Z">
              <w:r>
                <w:delText>82.7%</w:delText>
              </w:r>
            </w:del>
            <w:ins w:id="142" w:author="Claude (pipeline audit)" w:date="2026-08-03T00:00:00Z">
              <w:r>
                <w:t>66.7%</w:t>
              </w:r>
            </w:ins>
          </w:p>
        </w:tc>
        <w:tc>
          <w:tcPr>
            <w:tcW w:w="630" w:type="dxa"/>
          </w:tcPr>
          <w:p w14:paraId="249ABDF0" w14:textId="77777777" w:rsidR="00B86A12" w:rsidRDefault="00000000">
            <w:del w:id="143" w:author="Claude (pipeline audit)" w:date="2026-08-03T00:00:00Z">
              <w:r>
                <w:delText>0.45</w:delText>
              </w:r>
            </w:del>
            <w:ins w:id="144" w:author="Claude (pipeline audit)" w:date="2026-08-03T00:00:00Z">
              <w:r>
                <w:t>0.64</w:t>
              </w:r>
            </w:ins>
          </w:p>
        </w:tc>
        <w:tc>
          <w:tcPr>
            <w:tcW w:w="900" w:type="dxa"/>
          </w:tcPr>
          <w:p w14:paraId="5F75547C" w14:textId="77777777" w:rsidR="00B86A12" w:rsidRDefault="00000000">
            <w:del w:id="145" w:author="Claude (pipeline audit)" w:date="2026-08-03T00:00:00Z">
              <w:r>
                <w:delText>10.63</w:delText>
              </w:r>
            </w:del>
            <w:ins w:id="146" w:author="Claude (pipeline audit)" w:date="2026-08-03T00:00:00Z">
              <w:r>
                <w:t>15.80</w:t>
              </w:r>
            </w:ins>
          </w:p>
        </w:tc>
        <w:tc>
          <w:tcPr>
            <w:tcW w:w="1075" w:type="dxa"/>
          </w:tcPr>
          <w:p w14:paraId="33371102" w14:textId="77777777" w:rsidR="00B86A12" w:rsidRDefault="00000000">
            <w:del w:id="147" w:author="Claude (pipeline audit)" w:date="2026-08-03T00:00:00Z">
              <w:r>
                <w:delText>5.40</w:delText>
              </w:r>
            </w:del>
            <w:ins w:id="148" w:author="Claude (pipeline audit)" w:date="2026-08-03T00:00:00Z">
              <w:r>
                <w:t>2.54</w:t>
              </w:r>
            </w:ins>
          </w:p>
        </w:tc>
      </w:tr>
      <w:tr w:rsidR="00B86A12" w14:paraId="1DEC92C2" w14:textId="77777777" w:rsidTr="00D40A32">
        <w:trPr>
          <w:ins w:id="149" w:author="Claude (pipeline audit)" w:date="2026-08-03T00:00:00Z"/>
        </w:trPr>
        <w:tc>
          <w:tcPr>
            <w:tcW w:w="1075" w:type="dxa"/>
          </w:tcPr>
          <w:p w14:paraId="5DA06417" w14:textId="77777777" w:rsidR="00B86A12" w:rsidRDefault="00000000">
            <w:ins w:id="150" w:author="Claude (pipeline audit)" w:date="2026-08-03T00:00:00Z">
              <w:r>
                <w:t>Cluster 6</w:t>
              </w:r>
            </w:ins>
          </w:p>
        </w:tc>
        <w:tc>
          <w:tcPr>
            <w:tcW w:w="720" w:type="dxa"/>
          </w:tcPr>
          <w:p w14:paraId="6D2CBEC3" w14:textId="77777777" w:rsidR="00B86A12" w:rsidRDefault="00000000">
            <w:ins w:id="151" w:author="Claude (pipeline audit)" w:date="2026-08-03T00:00:00Z">
              <w:r>
                <w:t>208</w:t>
              </w:r>
            </w:ins>
          </w:p>
        </w:tc>
        <w:tc>
          <w:tcPr>
            <w:tcW w:w="990" w:type="dxa"/>
          </w:tcPr>
          <w:p w14:paraId="689F3B12" w14:textId="77777777" w:rsidR="00B86A12" w:rsidRDefault="00000000">
            <w:ins w:id="152" w:author="Claude (pipeline audit)" w:date="2026-08-03T00:00:00Z">
              <w:r>
                <w:t>$71.7k</w:t>
              </w:r>
            </w:ins>
          </w:p>
        </w:tc>
        <w:tc>
          <w:tcPr>
            <w:tcW w:w="900" w:type="dxa"/>
          </w:tcPr>
          <w:p w14:paraId="3FAA0186" w14:textId="77777777" w:rsidR="00B86A12" w:rsidRDefault="00000000">
            <w:ins w:id="153" w:author="Claude (pipeline audit)" w:date="2026-08-03T00:00:00Z">
              <w:r>
                <w:t>17.5%</w:t>
              </w:r>
            </w:ins>
          </w:p>
        </w:tc>
        <w:tc>
          <w:tcPr>
            <w:tcW w:w="720" w:type="dxa"/>
          </w:tcPr>
          <w:p w14:paraId="78093F4D" w14:textId="77777777" w:rsidR="00B86A12" w:rsidRDefault="00000000">
            <w:ins w:id="154" w:author="Claude (pipeline audit)" w:date="2026-08-03T00:00:00Z">
              <w:r>
                <w:t>8.6%</w:t>
              </w:r>
            </w:ins>
          </w:p>
        </w:tc>
        <w:tc>
          <w:tcPr>
            <w:tcW w:w="990" w:type="dxa"/>
          </w:tcPr>
          <w:p w14:paraId="15CE7412" w14:textId="77777777" w:rsidR="00B86A12" w:rsidRDefault="00000000">
            <w:ins w:id="155" w:author="Claude (pipeline audit)" w:date="2026-08-03T00:00:00Z">
              <w:r>
                <w:t>55.8%</w:t>
              </w:r>
            </w:ins>
          </w:p>
        </w:tc>
        <w:tc>
          <w:tcPr>
            <w:tcW w:w="810" w:type="dxa"/>
          </w:tcPr>
          <w:p w14:paraId="2C479D33" w14:textId="77777777" w:rsidR="00B86A12" w:rsidRDefault="00000000">
            <w:ins w:id="156" w:author="Claude (pipeline audit)" w:date="2026-08-03T00:00:00Z">
              <w:r>
                <w:t>11.6%</w:t>
              </w:r>
            </w:ins>
          </w:p>
        </w:tc>
        <w:tc>
          <w:tcPr>
            <w:tcW w:w="1260" w:type="dxa"/>
          </w:tcPr>
          <w:p w14:paraId="52666C04" w14:textId="77777777" w:rsidR="00B86A12" w:rsidRDefault="00000000">
            <w:ins w:id="157" w:author="Claude (pipeline audit)" w:date="2026-08-03T00:00:00Z">
              <w:r>
                <w:t>24.0%</w:t>
              </w:r>
            </w:ins>
          </w:p>
        </w:tc>
        <w:tc>
          <w:tcPr>
            <w:tcW w:w="630" w:type="dxa"/>
          </w:tcPr>
          <w:p w14:paraId="3E4AC206" w14:textId="77777777" w:rsidR="00B86A12" w:rsidRDefault="00000000">
            <w:ins w:id="158" w:author="Claude (pipeline audit)" w:date="2026-08-03T00:00:00Z">
              <w:r>
                <w:t>0.21</w:t>
              </w:r>
            </w:ins>
          </w:p>
        </w:tc>
        <w:tc>
          <w:tcPr>
            <w:tcW w:w="900" w:type="dxa"/>
          </w:tcPr>
          <w:p w14:paraId="55024196" w14:textId="77777777" w:rsidR="00B86A12" w:rsidRDefault="00000000">
            <w:ins w:id="159" w:author="Claude (pipeline audit)" w:date="2026-08-03T00:00:00Z">
              <w:r>
                <w:t>3.13</w:t>
              </w:r>
            </w:ins>
          </w:p>
        </w:tc>
        <w:tc>
          <w:tcPr>
            <w:tcW w:w="1075" w:type="dxa"/>
          </w:tcPr>
          <w:p w14:paraId="529AF66D" w14:textId="77777777" w:rsidR="00B86A12" w:rsidRDefault="00000000">
            <w:ins w:id="160" w:author="Claude (pipeline audit)" w:date="2026-08-03T00:00:00Z">
              <w:r>
                <w:t>1.92</w:t>
              </w:r>
            </w:ins>
          </w:p>
        </w:tc>
      </w:tr>
    </w:tbl>
    <w:p w14:paraId="6E3A2026" w14:textId="77777777" w:rsidR="00B86A12" w:rsidRDefault="00B86A12"/>
    <w:p w14:paraId="46F0438C" w14:textId="77777777" w:rsidR="00B86A12" w:rsidRDefault="00000000">
      <w:pPr>
        <w:pStyle w:val="Heading2"/>
        <w:numPr>
          <w:ilvl w:val="1"/>
          <w:numId w:val="11"/>
        </w:numPr>
      </w:pPr>
      <w:r>
        <w:lastRenderedPageBreak/>
        <w:t>Wind as a contextual comparison outcome</w:t>
      </w:r>
    </w:p>
    <w:p w14:paraId="0B78958D" w14:textId="7874BCCA" w:rsidR="00B86A12" w:rsidRDefault="00000000">
      <w:r>
        <w:t>The wind-capacity outcome is useful as contextual comparison but is less central to the paper’s main equity argument. For</w:t>
      </w:r>
      <w:r>
        <w:rPr>
          <w:rFonts w:ascii="Courier New" w:hAnsi="Courier New"/>
          <w:sz w:val="18"/>
        </w:rPr>
        <w:t xml:space="preserve"> y_wind_mw</w:t>
      </w:r>
      <w:r>
        <w:t>, the most consistent predictor is</w:t>
      </w:r>
      <w:r>
        <w:rPr>
          <w:rFonts w:ascii="Courier New" w:hAnsi="Courier New"/>
          <w:sz w:val="18"/>
        </w:rPr>
        <w:t xml:space="preserve"> wind_ws50m_mean_2023</w:t>
      </w:r>
      <w:r>
        <w:t>, which is positive and statistically significant across all examined models.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paper therefore does not foreground the bin</w:t>
      </w:r>
      <w:r>
        <w:t>ary turbine-presence outcome in the reported results.</w:t>
      </w:r>
    </w:p>
    <w:p w14:paraId="6BF85EE9" w14:textId="77777777" w:rsidR="00B140D9" w:rsidRDefault="008F65ED" w:rsidP="00B140D9">
      <w:pPr>
        <w:keepNext/>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8114" cy="3953096"/>
                    </a:xfrm>
                    <a:prstGeom prst="rect">
                      <a:avLst/>
                    </a:prstGeom>
                  </pic:spPr>
                </pic:pic>
              </a:graphicData>
            </a:graphic>
          </wp:inline>
        </w:drawing>
      </w:r>
    </w:p>
    <w:p w14:paraId="2C0DEE82" w14:textId="28C98A86" w:rsidR="00B86A12" w:rsidRDefault="00B140D9" w:rsidP="00B140D9">
      <w:pPr>
        <w:pStyle w:val="Caption"/>
        <w:jc w:val="center"/>
      </w:pPr>
      <w:bookmarkStart w:id="161" w:name="_Ref_fig13"/>
      <w:r>
        <w:t xml:space="preserve">Figure </w:t>
      </w:r>
      <w:r w:rsidR="00893723">
        <w:fldChar w:fldCharType="begin"/>
      </w:r>
      <w:r w:rsidR="00893723">
        <w:instrText xml:space="preserve"> SEQ Figure \* ARABIC </w:instrText>
      </w:r>
      <w:r w:rsidR="00893723">
        <w:fldChar w:fldCharType="separate"/>
      </w:r>
      <w:r w:rsidR="00893723">
        <w:rPr>
          <w:noProof/>
        </w:rPr>
        <w:t>16</w:t>
      </w:r>
      <w:r w:rsidR="00893723">
        <w:rPr>
          <w:noProof/>
        </w:rPr>
        <w:fldChar w:fldCharType="end"/>
      </w:r>
      <w:bookmarkEnd w:id="161"/>
      <w:r>
        <w:t>: Standardized robustness summary for y_wind_mw, included mainly as contextual evidence rather than as a headline equity result.</w:t>
      </w:r>
    </w:p>
    <w:p w14:paraId="3054E7EA" w14:textId="77777777" w:rsidR="00B86A12" w:rsidRDefault="00000000">
      <w:pPr>
        <w:pStyle w:val="Heading2"/>
        <w:numPr>
          <w:ilvl w:val="1"/>
          <w:numId w:val="11"/>
        </w:numPr>
      </w:pPr>
      <w:r>
        <w:t>Overall interpretation</w:t>
      </w:r>
    </w:p>
    <w:p w14:paraId="4451CCA1" w14:textId="77777777" w:rsidR="00B86A12" w:rsidRDefault="00000000">
      <w:r>
        <w:t>Taken together, the results suggest that inequity in California’s DER transition is not a single repeated pattern across technologies. Instead, the form of disparity depends on the technology being considered. Solar PV and especially storage show persistent negative associations with several race and ethnicity shares even after major socioeconomic and contextual controls are included. EV charging shows a more mixed pattern: Hispanic population share is associated with lower aggregate charger deployment, Asi</w:t>
      </w:r>
      <w:r>
        <w:t>an population share is positive in the refreshed baseline model, and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14:paraId="1124276A" w14:textId="14CF00EE" w:rsidR="00B86A12" w:rsidRDefault="00091F08">
      <w:pPr>
        <w:pStyle w:val="Heading1"/>
        <w:numPr>
          <w:ilvl w:val="0"/>
          <w:numId w:val="11"/>
        </w:numPr>
      </w:pPr>
      <w:r>
        <w:lastRenderedPageBreak/>
        <w:t>Discussion</w:t>
      </w:r>
    </w:p>
    <w:p w14:paraId="3308C8B4" w14:textId="54A9FFC1" w:rsidR="00B86A12" w:rsidRDefault="00091F08">
      <w:pPr>
        <w:pStyle w:val="Heading2"/>
        <w:numPr>
          <w:ilvl w:val="1"/>
          <w:numId w:val="11"/>
        </w:numPr>
      </w:pPr>
      <w:r>
        <w:t>What persists and what changes across DER types</w:t>
      </w:r>
    </w:p>
    <w:p w14:paraId="730867E5" w14:textId="4A09D824" w:rsidR="00B86A12" w:rsidRDefault="00000000">
      <w:r>
        <w:t>The most important substantive finding is that the clean energy transition does not reproduce inequality in the same way across technologies. Solar PV shows persistent racial and socioeconomic patterning, but storage appears even more unequal and more stable across specifications, including after conditioning on local PV deployment. EV charging, by contrast, does not fit a simple underserved-versus-served story. Instead, the aggregate charging measure mixes together infrastructure types that likely serve di</w:t>
      </w:r>
      <w:r>
        <w:t>fferent users and are governed by different siting logics. The paper’s contribution is therefore not only to show that disparities exist, but to show that the meaning of those disparities’ changes by technology.</w:t>
      </w:r>
    </w:p>
    <w:p w14:paraId="2486B979"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5F862568" w14:textId="680D6DAC" w:rsidR="00B86A12" w:rsidRDefault="00091F08">
      <w:pPr>
        <w:pStyle w:val="Heading2"/>
        <w:numPr>
          <w:ilvl w:val="1"/>
          <w:numId w:val="11"/>
        </w:numPr>
      </w:pPr>
      <w:r>
        <w:t>Plausible mechanisms</w:t>
      </w:r>
    </w:p>
    <w:p w14:paraId="3855E771"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w:t>
      </w:r>
      <w:r>
        <w:t>pital costs, stronger dependence on bundled solar-plus-storage adoption pathways, and programmatic complexity that may advantage already well-positioned households and communities.</w:t>
      </w:r>
    </w:p>
    <w:p w14:paraId="529C99AA"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w:t>
      </w:r>
      <w:r>
        <w:t>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5CBFF0C3" w14:textId="77777777" w:rsidR="00B86A12" w:rsidRDefault="00000000">
      <w:r>
        <w:t>The clustering exercise adds another descriptive layer to this story. More affluent clusters with higher residual white/other shares and lower poverty tend to have stronger charger and storage outcomes, while the high-Hispanic, high-poverty cluster shows the weakest charging outcomes. Those spatial profiles are descriptive, but they are consistent with the broader argument that race, income, and existing energy-system context are jointly structuring where DER benefits accumulate.</w:t>
      </w:r>
    </w:p>
    <w:p w14:paraId="4A845928" w14:textId="2762C318" w:rsidR="00B86A12" w:rsidRDefault="00091F08">
      <w:pPr>
        <w:pStyle w:val="Heading2"/>
        <w:numPr>
          <w:ilvl w:val="1"/>
          <w:numId w:val="11"/>
        </w:numPr>
      </w:pPr>
      <w:r>
        <w:t>Policy relevance</w:t>
      </w:r>
    </w:p>
    <w:p w14:paraId="525D3816" w14:textId="3522DC70"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w:t>
      </w:r>
      <w:r>
        <w:t xml:space="preserve">power programs, and community-serving storage </w:t>
      </w:r>
      <w:r>
        <w:lastRenderedPageBreak/>
        <w:t>deployments may need sharper equity targeting if storage benefits are to reach communities that face higher vulnerability to outages, wildfire-related shutoffs, and climate-related disruptions.</w:t>
      </w:r>
    </w:p>
    <w:p w14:paraId="5D3D74B0"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w:t>
      </w:r>
      <w:r>
        <w:t>, the findings suggest that clean energy equity policy should be technology-specific rather than assuming that one design principle can cover PV, storage, and charging simultaneously.</w:t>
      </w:r>
    </w:p>
    <w:p w14:paraId="19B275D5" w14:textId="34A68354" w:rsidR="00B86A12" w:rsidRDefault="00091F08">
      <w:pPr>
        <w:pStyle w:val="Heading2"/>
        <w:numPr>
          <w:ilvl w:val="1"/>
          <w:numId w:val="11"/>
        </w:numPr>
      </w:pPr>
      <w:r>
        <w:t>Broader implications for energy burden and community resilience</w:t>
      </w:r>
    </w:p>
    <w:p w14:paraId="6E5F2373" w14:textId="20F041BC" w:rsidR="00B86A12" w:rsidRDefault="00000000">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w:t>
      </w:r>
      <w:r>
        <w:t>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2DFE006" w14:textId="77777777" w:rsidR="00B86A12" w:rsidRDefault="00000000">
      <w:r>
        <w:t>The energy-burden connection differs by technology.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is especially relevant: even after conditioning on local PV deployment, storage disparities remain, which means the resilience benefit associated with backup power is not sim</w:t>
      </w:r>
      <w:r>
        <w:t>ply following solar access in an equitable way. In high-burden communities, that can compound vulnerability because households may face both higher bill stress and weaker access to outage protection.</w:t>
      </w:r>
    </w:p>
    <w:p w14:paraId="71A21992"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w:t>
      </w:r>
      <w:r>
        <w:t>cipal, or other non-residential settings, then the count may represent infrastructure presence without equivalent household-serving access, particularly for renters, multifamily residents, and households without reliable home charging.</w:t>
      </w:r>
    </w:p>
    <w:p w14:paraId="72BBFC9C" w14:textId="77777777" w:rsidR="00B86A12" w:rsidRDefault="00000000">
      <w:r>
        <w:t>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w:t>
      </w:r>
      <w:r>
        <w:t>fore requires more than asking where assets are installed; it requires asking whether the communities with the highest bill, resilience, and electrification pressures can actually use the technologies being counted.</w:t>
      </w:r>
    </w:p>
    <w:p w14:paraId="3CB0D7E2" w14:textId="3BED856C" w:rsidR="00614286" w:rsidRDefault="00091F08" w:rsidP="00614286">
      <w:pPr>
        <w:pStyle w:val="Heading2"/>
        <w:numPr>
          <w:ilvl w:val="1"/>
          <w:numId w:val="11"/>
        </w:numPr>
      </w:pPr>
      <w:r>
        <w:t>Potential policy measures to address inequities</w:t>
      </w:r>
    </w:p>
    <w:p w14:paraId="67FAD764" w14:textId="297118C1" w:rsidR="00614286" w:rsidRPr="00614286" w:rsidRDefault="00614286" w:rsidP="00614286">
      <w:r>
        <w:t xml:space="preserve">The results imply different levers for different actors, and different emphases by technology. The cross-technology divergence argues against a single “DER equity” mandate. PV, storage, and charging require distinct </w:t>
      </w:r>
      <w:r>
        <w:lastRenderedPageBreak/>
        <w:t>instruments, and measuring success by undifferentiated deployment counts risks mistaking infrastructure presence for equitable benefit.</w:t>
      </w:r>
    </w:p>
    <w:p w14:paraId="19342C4C" w14:textId="77777777" w:rsidR="00614286" w:rsidRPr="00614286" w:rsidRDefault="00614286" w:rsidP="00614286">
      <w:r>
        <w:rPr>
          <w:b/>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shows the storage gap does not follow PV access. For charging, procurement targets should measure usable residential access through multifamily, curbside, and renter-serving deployment rather than aggregate charger counts, which the subtype results show can overstate access.</w:t>
      </w:r>
    </w:p>
    <w:p w14:paraId="019416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293CBE33"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1905A7FE" w14:textId="65FCAF74" w:rsidR="00091F08" w:rsidRDefault="00091F08" w:rsidP="00091F08">
      <w:pPr>
        <w:pStyle w:val="Heading1"/>
        <w:numPr>
          <w:ilvl w:val="0"/>
          <w:numId w:val="11"/>
        </w:numPr>
      </w:pPr>
      <w:r>
        <w:t>Methods</w:t>
      </w:r>
    </w:p>
    <w:p w14:paraId="090A744C" w14:textId="2765185F" w:rsidR="00091F08" w:rsidRDefault="00091F08" w:rsidP="00091F08">
      <w:pPr>
        <w:pStyle w:val="Heading2"/>
        <w:numPr>
          <w:ilvl w:val="1"/>
          <w:numId w:val="11"/>
        </w:numPr>
      </w:pPr>
      <w:r>
        <w:t>Empirical Approach</w:t>
      </w:r>
    </w:p>
    <w:p w14:paraId="6463DD88" w14:textId="792D27A1" w:rsidR="00091F08" w:rsidRDefault="00091F08" w:rsidP="00091F08">
      <w:r>
        <w:t>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ladder makes the results easier to interpret because changes in the coefficients of interest can be linked to specific added controls rather than to one opaque saturated specification. It also supports direct comparison across technologies, which is central to the paper’s multi-DER framing.</w:t>
      </w:r>
    </w:p>
    <w:p w14:paraId="6636946E" w14:textId="19BC26DF"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56E91AA0"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47AF3DB9" w14:textId="6CC12440" w:rsidR="00091F08" w:rsidRDefault="00091F08" w:rsidP="00091F08">
      <w:pPr>
        <w:pStyle w:val="Heading2"/>
        <w:numPr>
          <w:ilvl w:val="1"/>
          <w:numId w:val="11"/>
        </w:numPr>
      </w:pPr>
      <w:r>
        <w:lastRenderedPageBreak/>
        <w:t>Dataset Construction and Sample</w:t>
      </w:r>
    </w:p>
    <w:p w14:paraId="28DFB4A1" w14:textId="77777777" w:rsidR="00091F08" w:rsidRDefault="00091F08" w:rsidP="00091F08">
      <w:commentRangeStart w:id="162"/>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commentRangeEnd w:id="162"/>
      <w:r w:rsidR="00CF0667">
        <w:rPr>
          <w:rStyle w:val="CommentReference"/>
          <w:sz w:val="22"/>
          <w:szCs w:val="22"/>
        </w:rPr>
        <w:commentReference w:id="162"/>
      </w:r>
    </w:p>
    <w:p w14:paraId="292156D6" w14:textId="77777777" w:rsidR="00091F08" w:rsidRDefault="00091F08" w:rsidP="00091F08">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p>
    <w:p w14:paraId="7F0D1B1E" w14:textId="77777777" w:rsidR="00091F08" w:rsidRDefault="00091F08" w:rsidP="00091F08">
      <w:r>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14:paraId="34D643C3" w14:textId="4A5006C1" w:rsidR="00091F08" w:rsidRDefault="00091F08" w:rsidP="00091F08">
      <w:r>
        <w:t>The unit of analysis is the ZIP/ZCTA. We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w:t>
      </w:r>
    </w:p>
    <w:p w14:paraId="1AF25F0B" w14:textId="2446CF45" w:rsidR="00091F08" w:rsidRDefault="00091F08" w:rsidP="00091F08">
      <w:pPr>
        <w:pStyle w:val="Heading2"/>
        <w:numPr>
          <w:ilvl w:val="1"/>
          <w:numId w:val="11"/>
        </w:numPr>
      </w:pPr>
      <w:r>
        <w:t>Outcome Variables</w:t>
      </w:r>
    </w:p>
    <w:p w14:paraId="09F24005" w14:textId="5CFB61F8" w:rsidR="00091F08" w:rsidRDefault="00091F08" w:rsidP="00091F08">
      <w:r>
        <w:t>To make the outcomes comparable across technologies, each DER measure is converted into a population-normalized deployment intensity metric and then transformed using</w:t>
      </w:r>
      <w:r>
        <w:rPr>
          <w:rFonts w:ascii="Courier New" w:hAnsi="Courier New"/>
          <w:sz w:val="18"/>
        </w:rPr>
        <w:t xml:space="preserve"> log(1 + x)</w:t>
      </w:r>
      <w:r>
        <w:t>. This helps reduce skew and allows ZIP/ZCTAs with zero deployment to remain in the sample. The three main outcomes are defined as follows.</w:t>
      </w:r>
    </w:p>
    <w:p w14:paraId="2D8EBF35" w14:textId="77777777" w:rsidR="00091F08" w:rsidRDefault="00091F08" w:rsidP="00091F08">
      <w:r>
        <w:t>For EV charging:</w:t>
      </w:r>
    </w:p>
    <w:p w14:paraId="584A215B" w14:textId="724B8952" w:rsidR="00091F08" w:rsidRDefault="009657B3" w:rsidP="00091F08">
      <m:oMathPara>
        <m:oMath>
          <m:r>
            <w:rPr>
              <w:rFonts w:ascii="Cambria Math" w:hAnsi="Cambria Math"/>
              <w:sz w:val="18"/>
            </w:rPr>
            <m:t>chargers_per_1k = (total_chargers × 1000) / population</m:t>
          </m:r>
          <m:r>
            <m:rPr>
              <m:sty m:val="p"/>
            </m:rPr>
            <w:rPr>
              <w:rFonts w:ascii="Cambria Math" w:hAnsi="Cambria Math"/>
            </w:rPr>
            <w:br/>
          </m:r>
        </m:oMath>
        <m:oMath>
          <m:r>
            <w:rPr>
              <w:rFonts w:ascii="Cambria Math" w:hAnsi="Cambria Math"/>
              <w:sz w:val="18"/>
            </w:rPr>
            <m:t>y_chargers = log(1 + chargers_per_1k)</m:t>
          </m:r>
        </m:oMath>
      </m:oMathPara>
    </w:p>
    <w:p w14:paraId="2EEE7661" w14:textId="77777777" w:rsidR="00091F08" w:rsidRDefault="00091F08" w:rsidP="00091F08">
      <w:r>
        <w:t>For solar PV:</w:t>
      </w:r>
    </w:p>
    <w:p w14:paraId="0D40244F" w14:textId="380EBAB7" w:rsidR="00091F08" w:rsidRDefault="009657B3" w:rsidP="00091F08">
      <m:oMathPara>
        <m:oMath>
          <m:r>
            <w:rPr>
              <w:rFonts w:ascii="Cambria Math" w:hAnsi="Cambria Math"/>
              <w:sz w:val="18"/>
            </w:rPr>
            <m:t>pv_kW_per_1k = (PV_system_size_DC × 1000) / population</m:t>
          </m:r>
          <m:r>
            <m:rPr>
              <m:sty m:val="p"/>
            </m:rPr>
            <w:rPr>
              <w:rFonts w:ascii="Cambria Math" w:hAnsi="Cambria Math"/>
            </w:rPr>
            <w:br/>
          </m:r>
        </m:oMath>
        <m:oMath>
          <m:r>
            <w:rPr>
              <w:rFonts w:ascii="Cambria Math" w:hAnsi="Cambria Math"/>
              <w:sz w:val="18"/>
            </w:rPr>
            <m:t>y_pv = log(1 + pv_kW_per_1k)</m:t>
          </m:r>
        </m:oMath>
      </m:oMathPara>
    </w:p>
    <w:p w14:paraId="70BD9F99" w14:textId="77777777" w:rsidR="00091F08" w:rsidRDefault="00091F08" w:rsidP="00091F08">
      <w:r>
        <w:t>For battery storage:</w:t>
      </w:r>
    </w:p>
    <w:p w14:paraId="35A09390" w14:textId="68787290" w:rsidR="00091F08" w:rsidRDefault="009657B3" w:rsidP="00091F08">
      <m:oMathPara>
        <m:oMath>
          <m:r>
            <w:rPr>
              <w:rFonts w:ascii="Cambria Math" w:hAnsi="Cambria Math"/>
              <w:sz w:val="18"/>
            </w:rPr>
            <m:t>storage_MW_per_100k = (storage_capacity_mw × 100000) / population</m:t>
          </m:r>
          <m:r>
            <m:rPr>
              <m:sty m:val="p"/>
            </m:rPr>
            <w:rPr>
              <w:rFonts w:ascii="Cambria Math" w:hAnsi="Cambria Math"/>
            </w:rPr>
            <w:br/>
          </m:r>
        </m:oMath>
        <m:oMath>
          <m:r>
            <w:rPr>
              <w:rFonts w:ascii="Cambria Math" w:hAnsi="Cambria Math"/>
              <w:sz w:val="18"/>
            </w:rPr>
            <m:t>y_storage = log(1 + storage_MW_per_100k)</m:t>
          </m:r>
        </m:oMath>
      </m:oMathPara>
    </w:p>
    <w:p w14:paraId="67384E33" w14:textId="7E908E84" w:rsidR="00091F08" w:rsidRDefault="00091F08" w:rsidP="00091F08">
      <w:r>
        <w:t xml:space="preserve">Storage is scaled per 100,000 residents rather than per 1,000 because storage deployment is much smaller and more uneven at the ZIP level, so the larger denominator keeps the raw rate in a more interpretable range before </w:t>
      </w:r>
      <w:r>
        <w:lastRenderedPageBreak/>
        <w:t>transformation. In supplementary analysis, we also examine more disaggregated charging outcomes, including Level 1, Level 2, and DC fast chargers separately, along with a wind-capacity outcome used mainly as contextual comparison. The core paper, however, focuses on the three outcomes above.</w:t>
      </w:r>
    </w:p>
    <w:p w14:paraId="761CF256" w14:textId="12566470" w:rsidR="00091F08" w:rsidRDefault="00091F08" w:rsidP="00091F08">
      <w:pPr>
        <w:pStyle w:val="Heading2"/>
        <w:numPr>
          <w:ilvl w:val="1"/>
          <w:numId w:val="11"/>
        </w:numPr>
      </w:pPr>
      <w:r>
        <w:t>Key Explanatory Variables</w:t>
      </w:r>
    </w:p>
    <w:p w14:paraId="716824F1" w14:textId="75DC4F9C" w:rsidR="00091F08" w:rsidRDefault="00091F08" w:rsidP="00091F08">
      <w:r>
        <w:t>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435E228B" w14: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0D60050B"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37AE229B" w14:textId="7631A326" w:rsidR="00091F08" w:rsidRDefault="0014223F" w:rsidP="00091F08">
      <w:pPr>
        <w:pStyle w:val="Heading2"/>
        <w:numPr>
          <w:ilvl w:val="1"/>
          <w:numId w:val="11"/>
        </w:numPr>
      </w:pPr>
      <w:r>
        <w:t>Contextual Controls</w:t>
      </w:r>
    </w:p>
    <w:p w14:paraId="2E726336" w14:textId="6453AC01" w:rsidR="00091F08" w:rsidRDefault="00306FC0" w:rsidP="00091F08">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554CC5B" w14:textId="42132829" w:rsidR="00091F08" w:rsidRDefault="00091F08" w:rsidP="00091F08">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5130B2AC" w14:textId="20C9B61E" w:rsidR="00091F08" w:rsidRDefault="00091F08" w:rsidP="00091F08">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ZIP/ZCTA contributes an independent disturbance.</w:t>
      </w:r>
    </w:p>
    <w:p w14:paraId="544354D0" w14:textId="46BD488D" w:rsidR="00091F08" w:rsidRDefault="00091F08" w:rsidP="00091F08">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361991B8" w14:textId="1AA3BBC1" w:rsidR="00091F08" w:rsidRDefault="00F51C53" w:rsidP="00091F08">
      <w:pPr>
        <w:pStyle w:val="Heading2"/>
        <w:numPr>
          <w:ilvl w:val="1"/>
          <w:numId w:val="11"/>
        </w:numPr>
      </w:pPr>
      <w:r>
        <w:lastRenderedPageBreak/>
        <w:t>Baseline Regression Specification</w:t>
      </w:r>
    </w:p>
    <w:p w14:paraId="0DF817BD" w14:textId="77777777" w:rsidR="00091F08" w:rsidRDefault="00091F08" w:rsidP="00091F08">
      <w:r>
        <w:t>The main estimation approach is ordinary least squares regression using the transformed ZIP/ZCTA-level deployment outcomes. The baseline specification is:</w:t>
      </w:r>
    </w:p>
    <w:p w14:paraId="01B3639D" w14:textId="054ECD61" w:rsidR="00091F08" w:rsidRDefault="00191111" w:rsidP="00091F08">
      <m:oMathPara>
        <m:oMath>
          <m:r>
            <w:rPr>
              <w:rFonts w:ascii="Cambria Math" w:hAnsi="Cambria Math"/>
              <w:sz w:val="18"/>
            </w:rPr>
            <m:t>y_z = β_0 + β_1 Income_z + β_2 Black_z + β_3 Hispanic_z + β_4 Asian_z + β_5 Poverty_z + γX_z + ε_z</m:t>
          </m:r>
        </m:oMath>
      </m:oMathPara>
    </w:p>
    <w:p w14:paraId="5A01291E" w14:textId="77777777" w:rsidR="00091F08" w:rsidRDefault="00091F08" w:rsidP="00091F08">
      <w:r>
        <w:t>where</w:t>
      </w:r>
      <w:r>
        <w:rPr>
          <w:rFonts w:ascii="Courier New" w:hAnsi="Courier New"/>
          <w:sz w:val="18"/>
        </w:rPr>
        <w:t xml:space="preserve"> y_z</w:t>
      </w:r>
      <w:r>
        <w:t xml:space="preserve"> is the DER deployment outcome in ZIP/ZCTA</w:t>
      </w:r>
      <w:r>
        <w:rPr>
          <w:rFonts w:ascii="Courier New" w:hAnsi="Courier New"/>
          <w:sz w:val="18"/>
        </w:rPr>
        <w:t xml:space="preserve"> z</w:t>
      </w:r>
      <w:r>
        <w:t>,</w:t>
      </w:r>
      <w:r>
        <w:rPr>
          <w:rFonts w:ascii="Courier New" w:hAnsi="Courier New"/>
          <w:sz w:val="18"/>
        </w:rPr>
        <w:t xml:space="preserve"> Income_z</w:t>
      </w:r>
      <w:r>
        <w:t xml:space="preserve"> is log median household income,</w:t>
      </w:r>
      <w:r>
        <w:rPr>
          <w:rFonts w:ascii="Courier New" w:hAnsi="Courier New"/>
          <w:sz w:val="18"/>
        </w:rPr>
        <w:t xml:space="preserve"> Black_z</w:t>
      </w:r>
      <w:r>
        <w:t>,</w:t>
      </w:r>
      <w:r>
        <w:rPr>
          <w:rFonts w:ascii="Courier New" w:hAnsi="Courier New"/>
          <w:sz w:val="18"/>
        </w:rPr>
        <w:t xml:space="preserve"> Hispanic_z</w:t>
      </w:r>
      <w:r>
        <w:t>, and</w:t>
      </w:r>
      <w:r>
        <w:rPr>
          <w:rFonts w:ascii="Courier New" w:hAnsi="Courier New"/>
          <w:sz w:val="18"/>
        </w:rPr>
        <w:t xml:space="preserve"> Asian_z</w:t>
      </w:r>
      <w:r>
        <w:t xml:space="preserve"> are race/ethnicity population shares,</w:t>
      </w:r>
      <w:r>
        <w:rPr>
          <w:rFonts w:ascii="Courier New" w:hAnsi="Courier New"/>
          <w:sz w:val="18"/>
        </w:rPr>
        <w:t xml:space="preserve"> Poverty_z</w:t>
      </w:r>
      <w:r>
        <w:t xml:space="preserve"> is the ZIP/ZCTA poverty rate,</w:t>
      </w:r>
      <w:r>
        <w:rPr>
          <w:rFonts w:ascii="Courier New" w:hAnsi="Courier New"/>
          <w:sz w:val="18"/>
        </w:rPr>
        <w:t xml:space="preserve"> X_z</w:t>
      </w:r>
      <w:r>
        <w:t xml:space="preserve"> is a vector of contextual controls for ZIP/ZCTA</w:t>
      </w:r>
      <w:r>
        <w:rPr>
          <w:rFonts w:ascii="Courier New" w:hAnsi="Courier New"/>
          <w:sz w:val="18"/>
        </w:rPr>
        <w:t xml:space="preserve"> z</w:t>
      </w:r>
      <w:r>
        <w:t>, and</w:t>
      </w:r>
      <w:r>
        <w:rPr>
          <w:rFonts w:ascii="Courier New" w:hAnsi="Courier New"/>
          <w:sz w:val="18"/>
        </w:rPr>
        <w:t xml:space="preserve"> ε_z</w:t>
      </w:r>
      <w:r>
        <w:t xml:space="preserve"> is the error term.</w:t>
      </w:r>
    </w:p>
    <w:p w14:paraId="79934EBF" w14:textId="4CFB9ED2" w:rsidR="00091F08" w:rsidRDefault="00091F08" w:rsidP="00091F08">
      <w:r>
        <w:t>All models are estimated with heteroskedasticity-robust HC1 standard errors by default. In plain language, HC1 means the standard errors are adjusted so inference is less sensitive to unequal residual variance across ZIP/ZCTAs. In selected specifications, we also cluster standard errors at the county level to allow for within-county correlation in errors.</w:t>
      </w:r>
    </w:p>
    <w:p w14:paraId="2340E6FB" w14:textId="265012DE" w:rsidR="00091F08" w:rsidRDefault="00091F08" w:rsidP="00091F08">
      <w:r>
        <w:t>Rather than relying on one preferred specification, we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0BE9ECC0" w14:textId="5C86C245" w:rsidR="00091F08" w:rsidRDefault="00F51C53" w:rsidP="00091F08">
      <w:pPr>
        <w:pStyle w:val="Heading2"/>
        <w:numPr>
          <w:ilvl w:val="1"/>
          <w:numId w:val="11"/>
        </w:numPr>
      </w:pPr>
      <w:bookmarkStart w:id="163" w:name="_Ref236222995"/>
      <w:bookmarkStart w:id="164" w:name="_Ref_sec_modelseries"/>
      <w:r>
        <w:t>Model Series</w:t>
      </w:r>
      <w:bookmarkEnd w:id="163"/>
      <w:bookmarkEnd w:id="164"/>
    </w:p>
    <w:p w14:paraId="282C32C1" w14:textId="1D86728E" w:rsidR="00091F08" w:rsidRDefault="002B54C7" w:rsidP="00091F08">
      <w:pPr>
        <w:pStyle w:val="Heading3"/>
        <w:numPr>
          <w:ilvl w:val="2"/>
          <w:numId w:val="11"/>
        </w:numPr>
      </w:pPr>
      <w:r>
        <w:t>Model 1: Baseline Equity Specification</w:t>
      </w:r>
    </w:p>
    <w:p w14:paraId="42A3E803" w14:textId="77777777" w:rsidR="00091F08" w:rsidRDefault="00091F08" w:rsidP="00091F08">
      <w:r>
        <w:t>The baseline model includes log median household income, race/ethnicity shares, poverty rate, and a limited set of climate controls. This model provides a first-pass estimate of area-level disparities after accounting for basic socioeconomic status and broad geographic conditions.</w:t>
      </w:r>
    </w:p>
    <w:p w14:paraId="408E562D" w14:textId="0B3E6D46" w:rsidR="00B140D9" w:rsidRDefault="00191111" w:rsidP="00091F08">
      <m:oMathPara>
        <m:oMath>
          <m:r>
            <w:rPr>
              <w:rFonts w:ascii="Cambria Math" w:hAnsi="Cambria Math"/>
            </w:rPr>
            <m:t>y_z = beta_0 + beta_1 Income_z + beta_2 Black_z + beta_3 Hispanic_z + beta_4 Asian_z + beta_5 Poverty_z + gamma Climate_z + epsilon_z</m:t>
          </m:r>
        </m:oMath>
      </m:oMathPara>
    </w:p>
    <w:p w14:paraId="25088306" w14:textId="680DCEC3" w:rsidR="00091F08" w:rsidRDefault="00137C58" w:rsidP="00091F08">
      <w:pPr>
        <w:pStyle w:val="Heading3"/>
        <w:numPr>
          <w:ilvl w:val="2"/>
          <w:numId w:val="11"/>
        </w:numPr>
      </w:pPr>
      <w:r>
        <w:t>Model 2: Additional Socioeconomic Controls</w:t>
      </w:r>
    </w:p>
    <w:p w14:paraId="59079E40" w14:textId="77777777" w:rsidR="008E511D" w:rsidRDefault="008E511D" w:rsidP="008E511D">
      <w:r>
        <w:t>Model 2A: Additional SES control, bachelor’s attainment</w:t>
      </w:r>
    </w:p>
    <w:p w14:paraId="30892A94" w14:textId="6BA82895" w:rsidR="008E511D" w:rsidRPr="008E511D" w:rsidRDefault="008E511D" w:rsidP="008E511D">
      <w:r>
        <w:t>Model 2B: Additional SES control, median housing value</w:t>
      </w:r>
    </w:p>
    <w:p w14:paraId="52973F0A" w14:textId="48D49F59" w:rsidR="00091F08" w:rsidRDefault="00306FC0" w:rsidP="00091F08">
      <w:r>
        <w:t>We then add another socioeconomic proxy, typically the percent bachelor’s degree or higher or the log median housing value, to test whether the race/ethnicity coefficients are sensitive to richer measures of social and housing advantage. This step is important because income alone may not fully capture adoption capacity.</w:t>
      </w:r>
    </w:p>
    <w:p w14:paraId="4BEBE194" w14:textId="03E4DC5C" w:rsidR="00B140D9" w:rsidRDefault="00191111" w:rsidP="00091F08">
      <m:oMathPara>
        <m:oMath>
          <m:r>
            <w:rPr>
              <w:rFonts w:ascii="Cambria Math" w:hAnsi="Cambria Math"/>
            </w:rPr>
            <m:t>y_z = beta_0 + beta_1 Income_z + beta_2 Black_z + beta_3 Hispanic_z + beta_4 Asian_z + beta_5 Poverty_z + beta_6 SESextra_z + gamma Climate_z + epsilon_z</m:t>
          </m:r>
        </m:oMath>
      </m:oMathPara>
    </w:p>
    <w:p w14:paraId="0F5A55E0" w14:textId="77777777" w:rsidR="00091F08" w:rsidRDefault="00091F08" w:rsidP="00091F08">
      <w:pPr>
        <w:pStyle w:val="Heading3"/>
        <w:numPr>
          <w:ilvl w:val="2"/>
          <w:numId w:val="11"/>
        </w:numPr>
      </w:pPr>
      <w:r>
        <w:t>Alternative Climate and Resource Controls</w:t>
      </w:r>
    </w:p>
    <w:p w14:paraId="2C2EF253" w14:textId="77777777" w:rsidR="008E511D" w:rsidRDefault="008E511D" w:rsidP="008E511D">
      <w:r>
        <w:t>Model 3A: Heating and cooling degree days</w:t>
      </w:r>
    </w:p>
    <w:p w14:paraId="20131486" w14:textId="77777777" w:rsidR="008E511D" w:rsidRDefault="008E511D" w:rsidP="008E511D">
      <w:r>
        <w:t>Model 3B: Mean temperature only</w:t>
      </w:r>
    </w:p>
    <w:p w14:paraId="38F3C644" w14:textId="17071F44" w:rsidR="008E511D" w:rsidRPr="008E511D" w:rsidRDefault="008E511D" w:rsidP="008E511D">
      <w:r>
        <w:t>Model 3C: Global horizontal irradiance only</w:t>
      </w:r>
    </w:p>
    <w:p w14:paraId="179D33CA" w14:textId="09E57CF2" w:rsidR="00091F08" w:rsidRDefault="00091F08" w:rsidP="00091F08">
      <w:r>
        <w:t xml:space="preserve">To test whether results depend on a particular way of capturing geographic context, we estimate alternative versions of the baseline model with different climate or physical-suitability controls. For PV, this includes solar </w:t>
      </w:r>
      <w:r>
        <w:lastRenderedPageBreak/>
        <w:t>irradiance. For some outcomes, we compare degree-day controls with mean-temperature-based controls. For wind-related outcomes, we use wind resource measures.</w:t>
      </w:r>
    </w:p>
    <w:p w14:paraId="172D7715" w14:textId="0DB3D7BA" w:rsidR="00B140D9" w:rsidRDefault="00191111" w:rsidP="00091F08">
      <m:oMathPara>
        <m:oMath>
          <m:r>
            <w:rPr>
              <w:rFonts w:ascii="Cambria Math" w:hAnsi="Cambria Math"/>
            </w:rPr>
            <m:t>y_z = beta_0 + beta_1 Income_z + beta_2 Black_z + beta_3 Hispanic_z + beta_4 Asian_z + beta_5 Poverty_z + gamma ResourceClimateAlt_z + epsilon_z</m:t>
          </m:r>
        </m:oMath>
      </m:oMathPara>
    </w:p>
    <w:p w14:paraId="04D895D1" w14:textId="77777777" w:rsidR="00091F08" w:rsidRDefault="00091F08" w:rsidP="00091F08">
      <w:pPr>
        <w:pStyle w:val="Heading3"/>
        <w:numPr>
          <w:ilvl w:val="2"/>
          <w:numId w:val="11"/>
        </w:numPr>
      </w:pPr>
      <w:r>
        <w:t>Race-by-Income Interactions</w:t>
      </w:r>
    </w:p>
    <w:p w14:paraId="2CCED536" w14:textId="77777777" w:rsidR="008E511D" w:rsidRDefault="008E511D" w:rsidP="008E511D">
      <w:r>
        <w:t>Model 4: Race-by-income interactions (mean-centered)</w:t>
      </w:r>
    </w:p>
    <w:p w14:paraId="4E8F1E04" w14:textId="15D6565B" w:rsidR="008E511D" w:rsidRPr="008E511D" w:rsidRDefault="008E511D" w:rsidP="008E511D">
      <w:r>
        <w:t>Model 4R: Race-by-income interactions, reduced (mean-centered)</w:t>
      </w:r>
    </w:p>
    <w:p w14:paraId="03F826B5" w14:textId="74FF53DF" w:rsidR="00091F08" w:rsidRDefault="00FC526E" w:rsidP="00091F08">
      <w:r>
        <w:t>we test whether the income gradient in DER deployment differs across communities by including interaction terms between income and race/ethnicity shares. These variables are mean-centered before interaction so that the main effects remain interpretable.</w:t>
      </w:r>
    </w:p>
    <w:p w14:paraId="259546EC" w14:textId="3D12FA97" w:rsidR="00B140D9" w:rsidRDefault="00000000" w:rsidP="00091F08">
      <m:oMathPara>
        <m:oMath>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Asia</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5</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6</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7</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Asian</m:t>
          </m:r>
          <m:r>
            <w:rPr>
              <w:rFonts w:ascii="Cambria Math" w:hAnsi="Cambria Math"/>
            </w:rPr>
            <m:t>_</m:t>
          </m:r>
          <m:r>
            <w:rPr>
              <w:rFonts w:ascii="Cambria Math" w:hAnsi="Cambria Math"/>
            </w:rPr>
            <m:t>c</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gamma</m:t>
          </m:r>
          <m:r>
            <w:rPr>
              <w:rFonts w:ascii="Cambria Math" w:hAnsi="Cambria Math"/>
            </w:rPr>
            <m:t xml:space="preserve"> </m:t>
          </m:r>
          <m:r>
            <w:rPr>
              <w:rFonts w:ascii="Cambria Math" w:hAnsi="Cambria Math"/>
            </w:rPr>
            <m:t>X</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epsilon</m:t>
          </m:r>
          <m:r>
            <w:rPr>
              <w:rFonts w:ascii="Cambria Math" w:hAnsi="Cambria Math"/>
            </w:rPr>
            <m:t>_</m:t>
          </m:r>
          <m:r>
            <w:rPr>
              <w:rFonts w:ascii="Cambria Math" w:hAnsi="Cambria Math"/>
            </w:rPr>
            <m:t>z</m:t>
          </m:r>
        </m:oMath>
      </m:oMathPara>
    </w:p>
    <w:p w14:paraId="61F18E92" w14:textId="77777777" w:rsidR="00091F08" w:rsidRDefault="00091F08" w:rsidP="00091F08">
      <w:pPr>
        <w:pStyle w:val="Heading3"/>
        <w:numPr>
          <w:ilvl w:val="2"/>
          <w:numId w:val="11"/>
        </w:numPr>
      </w:pPr>
      <w:r>
        <w:t>Utility Fixed Effects and Inference Robustness</w:t>
      </w:r>
    </w:p>
    <w:p w14:paraId="7450C5DF" w14:textId="77777777" w:rsidR="008E511D" w:rsidRDefault="008E511D" w:rsidP="008E511D">
      <w:r>
        <w:t>Model 5: Utility territory fixed effects</w:t>
      </w:r>
    </w:p>
    <w:p w14:paraId="171B5CAF" w14:textId="59C3F8EA" w:rsidR="008E511D" w:rsidRPr="008E511D" w:rsidRDefault="008E511D" w:rsidP="008E511D">
      <w:r>
        <w:t>Model 5C: County-clustered standard errors</w:t>
      </w:r>
    </w:p>
    <w:p w14:paraId="0AF76650" w14:textId="5B8F9158" w:rsidR="00091F08" w:rsidRDefault="00FC526E" w:rsidP="00091F08">
      <w:commentRangeStart w:id="165"/>
      <w:r>
        <w:t>we estimate specifications with utility territory fixed effects to absorb institutional differences across service areas. we also estimate county-clustered standard errors as a robustness check for inference.</w:t>
      </w:r>
      <w:commentRangeEnd w:id="165"/>
      <w:r>
        <w:rPr>
          <w:rStyle w:val="CommentReference"/>
          <w:sz w:val="22"/>
          <w:szCs w:val="22"/>
        </w:rPr>
        <w:commentReference w:id="165"/>
      </w:r>
    </w:p>
    <w:p w14:paraId="12277297" w14:textId="394C069F" w:rsidR="00B140D9" w:rsidRDefault="00191111" w:rsidP="00091F08">
      <m:oMathPara>
        <m:oMath>
          <m:r>
            <w:rPr>
              <w:rFonts w:ascii="Cambria Math" w:hAnsi="Cambria Math"/>
            </w:rPr>
            <m:t>y_z = beta_0 + beta RaceSES_z + gamma X_z + delta_utility + epsilon_z, with HC1 or county-clustered standard errors</m:t>
          </m:r>
        </m:oMath>
      </m:oMathPara>
    </w:p>
    <w:p w14:paraId="501CB46C" w14:textId="7C98BB37" w:rsidR="00091F08" w:rsidRDefault="00091F08" w:rsidP="008E511D">
      <w:pPr>
        <w:pStyle w:val="Heading3"/>
        <w:numPr>
          <w:ilvl w:val="2"/>
          <w:numId w:val="11"/>
        </w:numPr>
        <w:tabs>
          <w:tab w:val="left" w:pos="2647"/>
        </w:tabs>
      </w:pPr>
      <w:r>
        <w:t>Geographic Robustness</w:t>
      </w:r>
      <w:r>
        <w:tab/>
      </w:r>
    </w:p>
    <w:p w14:paraId="5DD3FF8B" w14:textId="77777777" w:rsidR="008E511D" w:rsidRDefault="008E511D" w:rsidP="008E511D">
      <w:r>
        <w:t>Model 6A: Latitude and longitude controls</w:t>
      </w:r>
    </w:p>
    <w:p w14:paraId="342733C1" w14:textId="38378D20" w:rsidR="008E511D" w:rsidRPr="008E511D" w:rsidRDefault="008E511D" w:rsidP="008E511D">
      <w:r>
        <w:t>Model 6B: County fixed effects</w:t>
      </w:r>
    </w:p>
    <w:p w14:paraId="78427743" w14:textId="77777777" w:rsidR="00091F08" w:rsidRDefault="00091F08" w:rsidP="00091F08">
      <w:r>
        <w:t>Additional specifications introduce latitude and longitude or county fixed effects to test whether the main patterns are simply reflecting broad regional gradients within California rather than more local disparities.</w:t>
      </w:r>
    </w:p>
    <w:p w14:paraId="18AD844D" w14:textId="1FF49075" w:rsidR="00B140D9" w:rsidRDefault="00191111" w:rsidP="00091F08">
      <m:oMathPara>
        <m:oMath>
          <m:r>
            <w:rPr>
              <w:rFonts w:ascii="Cambria Math" w:hAnsi="Cambria Math"/>
            </w:rPr>
            <m:t>y_z = beta_0 + beta RaceSES_z + gamma X_z + theta Geo_z + epsilon_z</m:t>
          </m:r>
        </m:oMath>
      </m:oMathPara>
    </w:p>
    <w:p w14:paraId="42865D9B" w14:textId="313C6E0D" w:rsidR="004A1694" w:rsidRDefault="004A1694" w:rsidP="00091F08">
      <w:r>
        <w:t>With county fixed effects:</w:t>
      </w:r>
    </w:p>
    <w:p w14:paraId="5F7E45E3" w14:textId="083942DE" w:rsidR="004A1694" w:rsidRDefault="00191111" w:rsidP="00091F08">
      <m:oMathPara>
        <m:oMath>
          <m:r>
            <w:rPr>
              <w:rFonts w:ascii="Cambria Math" w:hAnsi="Cambria Math"/>
            </w:rPr>
            <m:t>y_z = beta_0 + beta RaceSES_z + gamma X_z + delta_county + epsilon_z</m:t>
          </m:r>
        </m:oMath>
      </m:oMathPara>
    </w:p>
    <w:p w14:paraId="28E631FD" w14:textId="2A0983AD" w:rsidR="00091F08" w:rsidRDefault="002B54C7" w:rsidP="00091F08">
      <w:pPr>
        <w:pStyle w:val="Heading3"/>
        <w:numPr>
          <w:ilvl w:val="2"/>
          <w:numId w:val="11"/>
        </w:numPr>
      </w:pPr>
      <w:r>
        <w:t>Model 7: Infrastructure Context Controls</w:t>
      </w:r>
    </w:p>
    <w:p w14:paraId="68A82DCE" w14:textId="116673B4" w:rsidR="008E511D" w:rsidRPr="008E511D" w:rsidRDefault="008E511D" w:rsidP="008E511D">
      <w:r>
        <w:t>Model 7PC: Per-capita infrastructure controls</w:t>
      </w:r>
    </w:p>
    <w:p w14:paraId="221878ED" w14:textId="63A59EE2" w:rsidR="00091F08" w:rsidRDefault="00FC526E" w:rsidP="00091F08">
      <w:r>
        <w:t>we add measures of existing energy infrastructure to examine whether local deployment patterns are partly explained by the surrounding energy-system context. These models test whether communities with more existing infrastructure also mechanically appear to have more DER deployment.</w:t>
      </w:r>
    </w:p>
    <w:p w14:paraId="1FA78E8F" w14:textId="4571B0BD" w:rsidR="004A1694" w:rsidRDefault="00191111" w:rsidP="00091F08">
      <m:oMathPara>
        <m:oMath>
          <m:r>
            <w:rPr>
              <w:rFonts w:ascii="Cambria Math" w:hAnsi="Cambria Math"/>
            </w:rPr>
            <m:t>y_z = beta_0 + beta RaceSES_z + gamma X_z + lambda Infrastructure_z + epsilon_z</m:t>
          </m:r>
        </m:oMath>
      </m:oMathPara>
    </w:p>
    <w:p w14:paraId="40855E19" w14:textId="1266C1CA" w:rsidR="008159BC" w:rsidRPr="008159BC" w:rsidRDefault="002B54C7" w:rsidP="008159BC">
      <w:pPr>
        <w:pStyle w:val="Heading3"/>
        <w:numPr>
          <w:ilvl w:val="2"/>
          <w:numId w:val="11"/>
        </w:numPr>
      </w:pPr>
      <w:r>
        <w:lastRenderedPageBreak/>
        <w:t>Model 8:  Electricity Demand Control</w:t>
      </w:r>
      <w:r w:rsidR="008159BC">
        <w:t>s</w:t>
      </w:r>
    </w:p>
    <w:p w14:paraId="01C46A66" w14:textId="3E147886" w:rsidR="00091F08" w:rsidRDefault="00C47129" w:rsidP="00091F08">
      <w:r>
        <w:t>Here, we add a demand proxy based on annual electricity consumption. This is particularly relevant for EV charging, where infrastructure deployment may track commercial activity and underlying load as much as residential adoption potential.</w:t>
      </w:r>
    </w:p>
    <w:p w14:paraId="2748FBAB" w14:textId="35EB890B" w:rsidR="008159BC" w:rsidRDefault="00191111" w:rsidP="004A1694">
      <m:oMathPara>
        <m:oMath>
          <m:r>
            <w:rPr>
              <w:rFonts w:ascii="Cambria Math" w:hAnsi="Cambria Math"/>
            </w:rPr>
            <m:t>y_z = beta_0 + beta RaceSES_z + gamma X_z + lambda Infrastructure_z + phi Demand_z + epsilon_z</m:t>
          </m:r>
        </m:oMath>
      </m:oMathPara>
    </w:p>
    <w:p w14:paraId="4305DE38" w14:textId="3ECE2B78" w:rsidR="008159BC" w:rsidRPr="008159BC" w:rsidRDefault="008159BC" w:rsidP="008159BC">
      <w:pPr>
        <w:pStyle w:val="Heading3"/>
        <w:numPr>
          <w:ilvl w:val="2"/>
          <w:numId w:val="11"/>
        </w:numPr>
      </w:pPr>
      <w:r>
        <w:t xml:space="preserve">Model </w:t>
      </w:r>
      <w:r>
        <w:t>9</w:t>
      </w:r>
      <w:r>
        <w:t xml:space="preserve">:  </w:t>
      </w:r>
      <w:r w:rsidRPr="008159BC">
        <w:t>Outcome-Specific DER Cross-Control / Extension Models</w:t>
      </w:r>
    </w:p>
    <w:p w14:paraId="67D5CC51" w14:textId="4CE25354" w:rsidR="002B54C7" w:rsidRPr="002B54C7" w:rsidRDefault="002B54C7" w:rsidP="008159BC">
      <w:r>
        <w:t>This adds local PV deployment to the storage model to test whether storage disparities persist after conditioning on upstream PV deployment.</w:t>
      </w:r>
      <w:r w:rsidR="008159BC">
        <w:t xml:space="preserve"> </w:t>
      </w:r>
      <w:r>
        <w:t>Model 9 (predicting burden): adds DER deployment terms to the energy-burden outcome models to examine whether DER deployment is associated with household energy burden or affordability gaps.</w:t>
      </w:r>
    </w:p>
    <w:p w14:paraId="100C390A" w14:textId="77777777" w:rsidR="002B54C7" w:rsidRPr="002B54C7" w:rsidRDefault="002B54C7" w:rsidP="002B54C7">
      <w:r>
        <w:t>Formula:</w:t>
      </w:r>
    </w:p>
    <w:p w14:paraId="3FF4E08B" w14:textId="3FF69E23" w:rsidR="002B54C7" w:rsidRPr="002B54C7" w:rsidRDefault="00191111" w:rsidP="002B54C7">
      <m:oMathPara>
        <m:oMath>
          <m:r>
            <w:rPr>
              <w:rFonts w:ascii="Cambria Math" w:hAnsi="Cambria Math"/>
            </w:rPr>
            <m:t>y_z = β_0 + β RaceSES_z + γX_z + λ Infrastructure_z + ϕ Demand_z + ψ DER_z + ε_z</m:t>
          </m:r>
        </m:oMath>
      </m:oMathPara>
    </w:p>
    <w:p w14:paraId="6DE49933" w14:textId="3DD5D9D0" w:rsidR="002B54C7" w:rsidRDefault="002B54C7" w:rsidP="00091F08">
      <w:r>
        <w:t>Because Model 9 varies with the outcome, we treat it as a targeted robustness or extension model rather than a single, uniform specification across all outcomes.</w:t>
      </w:r>
    </w:p>
    <w:p w14:paraId="67326EDE" w14:textId="38C881A9" w:rsidR="00091F08" w:rsidRDefault="00091F08" w:rsidP="00091F08">
      <w:r>
        <w:t>Taken together, this model ladder allows us to ask a structured question: do racial/ethnic disparities shrink meaningfully once we account for socioeconomic status, geography, utility context, and infrastructure, or do they remain persistent across specifications?</w:t>
      </w:r>
    </w:p>
    <w:p w14:paraId="14D4341D" w14:textId="758A24E6" w:rsidR="00091F08" w:rsidRDefault="0042424C" w:rsidP="00091F08">
      <w:pPr>
        <w:pStyle w:val="Heading2"/>
        <w:numPr>
          <w:ilvl w:val="1"/>
          <w:numId w:val="11"/>
        </w:numPr>
      </w:pPr>
      <w:r>
        <w:t>Estimation and Inference</w:t>
      </w:r>
    </w:p>
    <w:p w14:paraId="5B977C0B" w14:textId="6DBC1526"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5D7E87B6" w14:textId="29C8DB77" w:rsidR="00091F08" w:rsidRDefault="0042424C" w:rsidP="00091F08">
      <w:pPr>
        <w:pStyle w:val="Heading2"/>
        <w:numPr>
          <w:ilvl w:val="1"/>
          <w:numId w:val="11"/>
        </w:numPr>
      </w:pPr>
      <w:r>
        <w:t>Robustness and Diagnostic Checks</w:t>
      </w:r>
    </w:p>
    <w:p w14:paraId="5A294987" w14:textId="2DBCA13E" w:rsidR="00091F08" w:rsidRDefault="00091F08" w:rsidP="00091F08">
      <w:r>
        <w:t>In addition to the main regression ladder, we conduct several supporting checks. We examine variance inflation factors (VIFs) to monitor multicollinearity across specifications,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w:t>
      </w:r>
    </w:p>
    <w:p w14:paraId="7CF695E8" w14:textId="02528DDE" w:rsidR="00091F08" w:rsidRDefault="00091F08" w:rsidP="00091F08">
      <w:r>
        <w:t xml:space="preserve">VIF screening informs the model inventory, but it is not used as a rigid mechanical inclusion rule. Some richer specifications show elevated VIF values,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w:t>
      </w:r>
      <w:r>
        <w:lastRenderedPageBreak/>
        <w:t>question for this paper is therefore whether the coefficients of interest remain interpretable and stable, not whether every rich specification minimizes collinearity by design.</w:t>
      </w:r>
    </w:p>
    <w:p w14:paraId="1AE1EBA1" w14:textId="0192E238" w:rsidR="00091F08" w:rsidRDefault="00091F08" w:rsidP="00091F08">
      <w:r>
        <w:t>In exploratory analysis, we compare linear specifications to more flexible predictive models, including polynomial regression, random forest, and gradient-boosted trees, using cross-validation. These models are not the basis for the paper’s main claims. Instead, they serve as a diagnostic check on whether simple linear models are missing strong nonlinear structure. The substantive conclusions remain grounded in the interpretable OLS results.</w:t>
      </w:r>
    </w:p>
    <w:p w14:paraId="68194D30" w14:textId="4E19FCCA" w:rsidR="00091F08" w:rsidRDefault="00D32F87" w:rsidP="00CF0667">
      <w:pPr>
        <w:pStyle w:val="Heading2"/>
        <w:numPr>
          <w:ilvl w:val="1"/>
          <w:numId w:val="11"/>
        </w:numPr>
        <w:jc w:val="both"/>
      </w:pPr>
      <w:r>
        <w:t>Methodological Limitations</w:t>
      </w:r>
    </w:p>
    <w:p w14:paraId="7D755332" w14:textId="5EFFB05D" w:rsidR="00091F08" w:rsidRDefault="00091F08" w:rsidP="00091F08">
      <w:r>
        <w:t>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 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14:paraId="30D6CF34" w14:textId="24341779" w:rsidR="00B86A12" w:rsidRDefault="00000000">
      <w:pPr>
        <w:pStyle w:val="Heading1"/>
        <w:numPr>
          <w:ilvl w:val="0"/>
          <w:numId w:val="11"/>
        </w:numPr>
      </w:pPr>
      <w:r>
        <w:t>Limitations</w:t>
      </w:r>
    </w:p>
    <w:p w14:paraId="3BD7D256" w14:textId="77777777" w:rsidR="00B86A12" w:rsidRDefault="00000000">
      <w:r>
        <w:t>This study is designed to identify area-level conditional associations, not causal effects. The regressions show how DER deployment differs across ZIP/ZCTA areas with different observed characteristics, but they do not establish that demographic composition causes those differences. Unmeasured confounding may remain, especially around housing tenure, roof suitability, installer availability, local permitting conditions, program participation, and technology-specific incentive access.</w:t>
      </w:r>
    </w:p>
    <w:p w14:paraId="61ACFBEA" w14:textId="77777777" w:rsidR="00B86A12" w:rsidRDefault="00000000">
      <w: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w:t>
      </w:r>
      <w:r>
        <w:t>ror. For EV chargers specifically, rows without valid source ZIPs are excluded from ZIP/ZCTA outcomes rather than rescued from coordinates, so the charger outcomes should be interpreted as valid-source-ZIP charger records.</w:t>
      </w:r>
    </w:p>
    <w:p w14:paraId="44493592" w14:textId="77777777" w:rsidR="00B86A12" w:rsidRDefault="00000000">
      <w:r>
        <w:t>There are also technology-specific measurement limitations. Aggregate charger counts mix charger types and host contexts that may not represent equivalent forms of access. The charger-type decomposition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w:t>
      </w:r>
    </w:p>
    <w:p w14:paraId="4798FBA7" w14:textId="77777777" w:rsidR="00B86A12" w:rsidRDefault="00000000">
      <w: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w:t>
      </w:r>
      <w:r>
        <w:t>etation of charger siting patterns.</w:t>
      </w:r>
    </w:p>
    <w:p w14:paraId="52FB18CC" w14:textId="77777777" w:rsidR="00B86A12" w:rsidRDefault="00000000">
      <w:pPr>
        <w:pStyle w:val="Heading1"/>
        <w:numPr>
          <w:ilvl w:val="0"/>
          <w:numId w:val="11"/>
        </w:numPr>
      </w:pPr>
      <w:r>
        <w:lastRenderedPageBreak/>
        <w:t>Conclusion</w:t>
      </w:r>
    </w:p>
    <w:p w14:paraId="05F32FDE" w14:textId="77777777" w:rsidR="00B86A12" w:rsidRDefault="00000000">
      <w:r>
        <w:t>This paper asks whether racial and socioeconomic disparities in distributed energy resource deployment persist across California ZIP/ZCTA areas once observed socioeconomic,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while EV charging shows a more complicated patte</w:t>
      </w:r>
      <w:r>
        <w:t>rn in which aggregate charger counts can obscure meaningful differences across charger types.</w:t>
      </w:r>
    </w:p>
    <w:p w14:paraId="5D7FFE63" w14:textId="77777777" w:rsidR="00B86A12" w:rsidRDefault="00000000">
      <w:r>
        <w:t>The broader lesson is that clean energy inequality is not one phenomenon.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w:t>
      </w:r>
      <w:r>
        <w:t xml:space="preserve"> actually use, benefit from, and rely on each technology.</w:t>
      </w:r>
    </w:p>
    <w:p w14:paraId="124EF249" w14:textId="77777777" w:rsidR="00B86A12" w:rsidRDefault="00000000">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w:t>
      </w:r>
      <w:r>
        <w:t>l planning defaults each need revisiting if the transition is to narrow existing gaps rather than widen them.</w:t>
      </w:r>
    </w:p>
    <w:p w14:paraId="79B19795" w14:textId="77777777" w:rsidR="00B86A12" w:rsidRDefault="00000000">
      <w:pPr>
        <w:pStyle w:val="Heading1"/>
      </w:pPr>
      <w:commentRangeStart w:id="166"/>
      <w:r>
        <w:t>Appendix: Additional Robustness Visuals</w:t>
      </w:r>
      <w:commentRangeEnd w:id="166"/>
      <w:r>
        <w:rPr>
          <w:rStyle w:val="CommentReference"/>
          <w:sz w:val="28"/>
          <w:szCs w:val="28"/>
        </w:rPr>
        <w:commentReference w:id="166"/>
      </w:r>
    </w:p>
    <w:p w14:paraId="2D1130C2" w14:textId="77777777" w:rsidR="00B86A12" w:rsidRDefault="00000000">
      <w:r>
        <w:t>This appendix keeps the heavier visual material out of the main results flow while still making the broader model inventory easy to inspect. It includes representative model-comparison and spatial outputs for the main reported outcomes plus the supplementary wind-capacity context.</w:t>
      </w:r>
    </w:p>
    <w:p w14:paraId="07883F19" w14:textId="77777777" w:rsidR="00B86A12" w:rsidRDefault="00000000">
      <w:pPr>
        <w:pStyle w:val="Heading3"/>
      </w:pPr>
      <w:r>
        <w:t>Outcome-specific model comparisons</w:t>
      </w:r>
    </w:p>
    <w:p w14:paraId="10E9538A" w14:textId="77777777" w:rsidR="00B86A12" w:rsidRDefault="00000000">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14:paraId="63B2BFDC" w14:textId="7AC4CE66" w:rsidR="00537512" w:rsidRDefault="00000000">
      <w:pPr>
        <w:pStyle w:val="Caption"/>
        <w:keepNext/>
      </w:pPr>
      <w:bookmarkStart w:id="167" w:name="_Ref_newfig244"/>
      <w:r>
        <w:lastRenderedPageBreak/>
        <w:t xml:space="preserve">Figure </w:t>
      </w:r>
      <w:r>
        <w:fldChar w:fldCharType="begin"/>
      </w:r>
      <w:r>
        <w:instrText xml:space="preserve"> SEQ Figure \* ARABIC </w:instrText>
      </w:r>
      <w:r>
        <w:fldChar w:fldCharType="separate"/>
      </w:r>
      <w:r w:rsidR="00893723">
        <w:rPr>
          <w:noProof/>
        </w:rPr>
        <w:t>17</w:t>
      </w:r>
      <w:r>
        <w:fldChar w:fldCharType="end"/>
      </w:r>
      <w:bookmarkEnd w:id="167"/>
      <w:r>
        <w:t>: Storage adoption: cross-validated predictive comparison of linear and nonlinear models. Error bars are +/- 1 SD across the five cross-validation folds.</w:t>
      </w:r>
    </w:p>
    <w:p w14:paraId="6236841C" w14:textId="77777777" w:rsidR="00B86A12" w:rsidRDefault="00000000">
      <w:r>
        <w:t>Storage model-comparison figure. The same appendix folder also includes EV charging and wind comparison exports for side-by-side review.</w:t>
      </w:r>
    </w:p>
    <w:p w14:paraId="6077221A" w14:textId="77777777" w:rsidR="00B86A12" w:rsidRDefault="00000000">
      <w:pPr>
        <w:pStyle w:val="Heading3"/>
      </w:pPr>
      <w:r>
        <w:t>EV charging model comparison</w:t>
      </w:r>
    </w:p>
    <w:p w14:paraId="556429EB" w14:textId="77777777" w:rsidR="00B86A12" w:rsidRDefault="00000000">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14:paraId="5B773728" w14:textId="7600B193" w:rsidR="00537512" w:rsidRDefault="00000000">
      <w:pPr>
        <w:pStyle w:val="Caption"/>
        <w:keepNext/>
      </w:pPr>
      <w:bookmarkStart w:id="168" w:name="_Ref_newfig247"/>
      <w:r>
        <w:t xml:space="preserve">Figure </w:t>
      </w:r>
      <w:r>
        <w:fldChar w:fldCharType="begin"/>
      </w:r>
      <w:r>
        <w:instrText xml:space="preserve"> SEQ Figure \* ARABIC </w:instrText>
      </w:r>
      <w:r>
        <w:fldChar w:fldCharType="separate"/>
      </w:r>
      <w:r w:rsidR="00893723">
        <w:rPr>
          <w:noProof/>
        </w:rPr>
        <w:t>18</w:t>
      </w:r>
      <w:r>
        <w:fldChar w:fldCharType="end"/>
      </w:r>
      <w:bookmarkEnd w:id="168"/>
      <w:r>
        <w:t>: Aggregate EV charging: cross-validated predictive comparison of linear and nonlinear models.</w:t>
      </w:r>
    </w:p>
    <w:p w14:paraId="7EA8FA7A" w14:textId="77777777" w:rsidR="00B86A12" w:rsidRDefault="00000000">
      <w:r>
        <w:t>Aggregate charging comparison across the model ladder, included here rather than inline so the main section can focus on the headline robustness and subtype composition figures.</w:t>
      </w:r>
    </w:p>
    <w:p w14:paraId="339E1FEB" w14:textId="77777777" w:rsidR="00B86A12" w:rsidRDefault="00000000">
      <w:pPr>
        <w:pStyle w:val="Heading3"/>
      </w:pPr>
      <w:r>
        <w:t>Representative baseline spatial maps</w:t>
      </w:r>
    </w:p>
    <w:p w14:paraId="543B4F1D" w14:textId="77777777" w:rsidR="00B86A12" w:rsidRDefault="00000000">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14:paraId="078BEA61" w14:textId="6CDB1512" w:rsidR="00537512" w:rsidRDefault="00000000">
      <w:pPr>
        <w:pStyle w:val="Caption"/>
        <w:keepNext/>
      </w:pPr>
      <w:bookmarkStart w:id="169" w:name="_Ref_newfig250"/>
      <w:r>
        <w:lastRenderedPageBreak/>
        <w:t xml:space="preserve">Figure </w:t>
      </w:r>
      <w:r>
        <w:fldChar w:fldCharType="begin"/>
      </w:r>
      <w:r>
        <w:instrText xml:space="preserve"> SEQ Figure \* ARABIC </w:instrText>
      </w:r>
      <w:r>
        <w:fldChar w:fldCharType="separate"/>
      </w:r>
      <w:r w:rsidR="00893723">
        <w:rPr>
          <w:noProof/>
        </w:rPr>
        <w:t>19</w:t>
      </w:r>
      <w:r>
        <w:fldChar w:fldCharType="end"/>
      </w:r>
      <w:bookmarkEnd w:id="169"/>
      <w:r>
        <w:t>: Representative baseline spatial output for rooftop PV: observed adoption and Model 1 standardized residuals by ZIP/ZCTA.</w:t>
      </w:r>
    </w:p>
    <w:p w14:paraId="0256F616" w14:textId="77777777" w:rsidR="00B86A12" w:rsidRDefault="00000000">
      <w:r>
        <w:t xml:space="preserve">Representative baseline spatial output for rooftop PV. </w:t>
      </w:r>
      <w:commentRangeStart w:id="170"/>
      <w:r>
        <w:t>Matching storage and charging spatial maps are linked in the same appendix asset folder.</w:t>
      </w:r>
      <w:commentRangeEnd w:id="170"/>
      <w:r>
        <w:rPr>
          <w:rStyle w:val="CommentReference"/>
          <w:sz w:val="22"/>
          <w:szCs w:val="22"/>
        </w:rPr>
        <w:commentReference w:id="170"/>
      </w:r>
    </w:p>
    <w:p w14:paraId="5D2B68B5" w14:textId="77777777" w:rsidR="00B86A12" w:rsidRDefault="00000000">
      <w:pPr>
        <w:pStyle w:val="Heading3"/>
      </w:pPr>
      <w:r>
        <w:t>Supplementary wind comparison</w:t>
      </w:r>
    </w:p>
    <w:p w14:paraId="655CC2DE" w14:textId="77777777" w:rsidR="00B86A12" w:rsidRDefault="00000000">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14:paraId="4AFCA1E6" w14:textId="3730A345" w:rsidR="00537512" w:rsidRDefault="00000000">
      <w:pPr>
        <w:pStyle w:val="Caption"/>
        <w:keepNext/>
      </w:pPr>
      <w:bookmarkStart w:id="171" w:name="_Ref_newfig253"/>
      <w:r>
        <w:t xml:space="preserve">Figure </w:t>
      </w:r>
      <w:r>
        <w:fldChar w:fldCharType="begin"/>
      </w:r>
      <w:r>
        <w:instrText xml:space="preserve"> SEQ Figure \* ARABIC </w:instrText>
      </w:r>
      <w:r>
        <w:fldChar w:fldCharType="separate"/>
      </w:r>
      <w:r w:rsidR="00893723">
        <w:rPr>
          <w:noProof/>
        </w:rPr>
        <w:t>20</w:t>
      </w:r>
      <w:r>
        <w:fldChar w:fldCharType="end"/>
      </w:r>
      <w:bookmarkEnd w:id="171"/>
      <w:r>
        <w:t>: Wind capacity: cross-validated predictive comparison of linear and nonlinear models, included as contextual material.</w:t>
      </w:r>
    </w:p>
    <w:p w14:paraId="32ACAAB2" w14:textId="77777777" w:rsidR="00B86A12" w:rsidRDefault="00000000">
      <w:r>
        <w:t>Wind remains supplementary in the paper, but the model-comparison export is preserved here as a contextual benchmark against the consumer-facing DER outcomes.</w:t>
      </w:r>
    </w:p>
    <w:p w14:paraId="251D45A8" w14:textId="473AB08B" w:rsidR="00B86A12" w:rsidRDefault="00000000">
      <w:pPr>
        <w:pStyle w:val="Heading1"/>
      </w:pPr>
      <w:r>
        <w:t>References</w:t>
      </w:r>
    </w:p>
    <w:sdt>
      <w:sdtPr>
        <w:rPr>
          <w:rFonts w:cs="Times New Roman"/>
          <w:color w:val="000000"/>
        </w:rPr>
        <w:tag w:val="MENDELEY_BIBLIOGRAPHY"/>
        <w:id w:val="-1455015959"/>
      </w:sdtPr>
      <w:sdtContent>
        <w:p w14:paraId="257A30B9" w14:textId="77777777" w:rsidR="00CB57CA" w:rsidRPr="00CB57CA" w:rsidRDefault="00CB57CA">
          <w:pPr>
            <w:autoSpaceDE w:val="0"/>
            <w:autoSpaceDN w:val="0"/>
            <w:ind w:hanging="640"/>
            <w:divId w:val="1936208678"/>
            <w:rPr>
              <w:rFonts w:eastAsia="Times New Roman" w:cs="Times New Roman"/>
              <w:color w:val="000000"/>
              <w:szCs w:val="24"/>
            </w:rPr>
          </w:pPr>
          <w:r>
            <w:rPr>
              <w:rFonts w:eastAsia="Times New Roman" w:cs="Times New Roman"/>
              <w:color w:val="000000"/>
            </w:rPr>
            <w:t>[1]</w:t>
          </w:r>
          <w:r>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Pr>
              <w:rFonts w:eastAsia="Times New Roman" w:cs="Times New Roman"/>
              <w:i/>
              <w:iCs/>
              <w:color w:val="000000"/>
            </w:rPr>
            <w:t>Energy Policy</w:t>
          </w:r>
          <w:r>
            <w:rPr>
              <w:rFonts w:eastAsia="Times New Roman" w:cs="Times New Roman"/>
              <w:color w:val="000000"/>
            </w:rPr>
            <w:t>, vol. 134, 2019, doi: 10.1016/j.enpol.2019.110935.</w:t>
          </w:r>
        </w:p>
        <w:p w14:paraId="5BABE17A" w14:textId="77777777" w:rsidR="00CB57CA" w:rsidRPr="00CB57CA" w:rsidRDefault="00CB57CA">
          <w:pPr>
            <w:autoSpaceDE w:val="0"/>
            <w:autoSpaceDN w:val="0"/>
            <w:ind w:hanging="640"/>
            <w:divId w:val="252519883"/>
            <w:rPr>
              <w:rFonts w:eastAsia="Times New Roman" w:cs="Times New Roman"/>
              <w:color w:val="000000"/>
            </w:rPr>
          </w:pPr>
          <w:r>
            <w:rPr>
              <w:rFonts w:eastAsia="Times New Roman" w:cs="Times New Roman"/>
              <w:color w:val="000000"/>
            </w:rPr>
            <w:t>[2]</w:t>
          </w:r>
          <w:r>
            <w:rPr>
              <w:rFonts w:eastAsia="Times New Roman" w:cs="Times New Roman"/>
              <w:color w:val="000000"/>
            </w:rPr>
            <w:tab/>
            <w:t xml:space="preserve">D. A. Sunter, S. Castellanos, and D. M. Kammen, “Disparities in rooftop photovoltaics deployment in the United States by race and ethnicity,” </w:t>
          </w:r>
          <w:r>
            <w:rPr>
              <w:rFonts w:eastAsia="Times New Roman" w:cs="Times New Roman"/>
              <w:i/>
              <w:iCs/>
              <w:color w:val="000000"/>
            </w:rPr>
            <w:t>Nat. Sustain.</w:t>
          </w:r>
          <w:r>
            <w:rPr>
              <w:rFonts w:eastAsia="Times New Roman" w:cs="Times New Roman"/>
              <w:color w:val="000000"/>
            </w:rPr>
            <w:t>, vol. 2, no. 1, pp. 71–76, Jan. 2019, doi: 10.1038/s41893-018-0204-z.</w:t>
          </w:r>
        </w:p>
        <w:p w14:paraId="6BF5EEF8" w14:textId="77777777" w:rsidR="00CB57CA" w:rsidRPr="00CB57CA" w:rsidRDefault="00CB57CA">
          <w:pPr>
            <w:autoSpaceDE w:val="0"/>
            <w:autoSpaceDN w:val="0"/>
            <w:ind w:hanging="640"/>
            <w:divId w:val="1515268057"/>
            <w:rPr>
              <w:rFonts w:eastAsia="Times New Roman" w:cs="Times New Roman"/>
              <w:color w:val="000000"/>
            </w:rPr>
          </w:pPr>
          <w:r>
            <w:rPr>
              <w:rFonts w:eastAsia="Times New Roman" w:cs="Times New Roman"/>
              <w:color w:val="000000"/>
            </w:rPr>
            <w:t>[3]</w:t>
          </w:r>
          <w:r>
            <w:rPr>
              <w:rFonts w:eastAsia="Times New Roman" w:cs="Times New Roman"/>
              <w:color w:val="000000"/>
            </w:rPr>
            <w:tab/>
            <w:t xml:space="preserve">L. Kurdgelashvili, C. H. Shih, F. Yang, and M. Garg, “An empirical analysis of county-level residential PV adoption in California,” </w:t>
          </w:r>
          <w:r>
            <w:rPr>
              <w:rFonts w:eastAsia="Times New Roman" w:cs="Times New Roman"/>
              <w:i/>
              <w:iCs/>
              <w:color w:val="000000"/>
            </w:rPr>
            <w:t>Technol. Forecast. Soc. Change</w:t>
          </w:r>
          <w:r>
            <w:rPr>
              <w:rFonts w:eastAsia="Times New Roman" w:cs="Times New Roman"/>
              <w:color w:val="000000"/>
            </w:rPr>
            <w:t>, vol. 139, 2019, doi: 10.1016/j.techfore.2018.11.021.</w:t>
          </w:r>
        </w:p>
        <w:p w14:paraId="54DD7E47" w14:textId="77777777" w:rsidR="00CB57CA" w:rsidRPr="00CB57CA" w:rsidRDefault="00CB57CA">
          <w:pPr>
            <w:autoSpaceDE w:val="0"/>
            <w:autoSpaceDN w:val="0"/>
            <w:ind w:hanging="640"/>
            <w:divId w:val="1547140901"/>
            <w:rPr>
              <w:rFonts w:eastAsia="Times New Roman" w:cs="Times New Roman"/>
              <w:color w:val="000000"/>
            </w:rPr>
          </w:pPr>
          <w:r>
            <w:rPr>
              <w:rFonts w:eastAsia="Times New Roman" w:cs="Times New Roman"/>
              <w:color w:val="000000"/>
            </w:rPr>
            <w:t>[4]</w:t>
          </w:r>
          <w:r>
            <w:rPr>
              <w:rFonts w:eastAsia="Times New Roman" w:cs="Times New Roman"/>
              <w:color w:val="000000"/>
            </w:rPr>
            <w:tab/>
            <w:t xml:space="preserve">T. G. Reames, “Distributional disparities in residential rooftop solar potential and penetration in four cities in the United States,” </w:t>
          </w:r>
          <w:r>
            <w:rPr>
              <w:rFonts w:eastAsia="Times New Roman" w:cs="Times New Roman"/>
              <w:i/>
              <w:iCs/>
              <w:color w:val="000000"/>
            </w:rPr>
            <w:t>Energy Res. Soc. Sci.</w:t>
          </w:r>
          <w:r>
            <w:rPr>
              <w:rFonts w:eastAsia="Times New Roman" w:cs="Times New Roman"/>
              <w:color w:val="000000"/>
            </w:rPr>
            <w:t>, vol. 69, p. 101612, Nov. 2020, doi: 10.1016/J.ERSS.2020.101612.</w:t>
          </w:r>
        </w:p>
        <w:p w14:paraId="50425012" w14:textId="77777777" w:rsidR="00CB57CA" w:rsidRPr="00CB57CA" w:rsidRDefault="00CB57CA">
          <w:pPr>
            <w:autoSpaceDE w:val="0"/>
            <w:autoSpaceDN w:val="0"/>
            <w:ind w:hanging="640"/>
            <w:divId w:val="1541552734"/>
            <w:rPr>
              <w:rFonts w:eastAsia="Times New Roman" w:cs="Times New Roman"/>
              <w:color w:val="000000"/>
            </w:rPr>
          </w:pPr>
          <w:r>
            <w:rPr>
              <w:rFonts w:eastAsia="Times New Roman" w:cs="Times New Roman"/>
              <w:color w:val="000000"/>
            </w:rPr>
            <w:lastRenderedPageBreak/>
            <w:t>[5]</w:t>
          </w:r>
          <w:r>
            <w:rPr>
              <w:rFonts w:eastAsia="Times New Roman" w:cs="Times New Roman"/>
              <w:color w:val="000000"/>
            </w:rPr>
            <w:tab/>
            <w:t xml:space="preserve">N. R. Darghouth, E. O’Shaughnessy, S. Forrester, and G. Barbose, “Characterizing local rooftop solar adoption inequity in the US,” </w:t>
          </w:r>
          <w:r>
            <w:rPr>
              <w:rFonts w:eastAsia="Times New Roman" w:cs="Times New Roman"/>
              <w:i/>
              <w:iCs/>
              <w:color w:val="000000"/>
            </w:rPr>
            <w:t>Environmental Research Letters</w:t>
          </w:r>
          <w:r>
            <w:rPr>
              <w:rFonts w:eastAsia="Times New Roman" w:cs="Times New Roman"/>
              <w:color w:val="000000"/>
            </w:rPr>
            <w:t>, vol. 17, no. 3, p. 034028, Feb. 2022, doi: 10.1088/1748-9326/AC4FDC.</w:t>
          </w:r>
        </w:p>
        <w:p w14:paraId="1B069A0F" w14:textId="77777777" w:rsidR="00CB57CA" w:rsidRPr="00CB57CA" w:rsidRDefault="00CB57CA">
          <w:pPr>
            <w:autoSpaceDE w:val="0"/>
            <w:autoSpaceDN w:val="0"/>
            <w:ind w:hanging="640"/>
            <w:divId w:val="752318949"/>
            <w:rPr>
              <w:rFonts w:eastAsia="Times New Roman" w:cs="Times New Roman"/>
              <w:color w:val="000000"/>
            </w:rPr>
          </w:pPr>
          <w:r>
            <w:rPr>
              <w:rFonts w:eastAsia="Times New Roman" w:cs="Times New Roman"/>
              <w:color w:val="000000"/>
            </w:rPr>
            <w:t>[6]</w:t>
          </w:r>
          <w:r>
            <w:rPr>
              <w:rFonts w:eastAsia="Times New Roman" w:cs="Times New Roman"/>
              <w:color w:val="000000"/>
            </w:rPr>
            <w:tab/>
            <w:t>C. Sigrist, A. Lechowicz, J. Champ, N. Bashir, and M. Hajiesmaili, “Lost in Siting: The Hidden Carbon Cost of Inequitable Residential Solar Installations,” Jan. 2025, [Online]. Available: http://arxiv.org/abs/2501.13868</w:t>
          </w:r>
        </w:p>
        <w:p w14:paraId="6750EAEB" w14:textId="77777777" w:rsidR="00CB57CA" w:rsidRPr="00CB57CA" w:rsidRDefault="00CB57CA">
          <w:pPr>
            <w:autoSpaceDE w:val="0"/>
            <w:autoSpaceDN w:val="0"/>
            <w:ind w:hanging="640"/>
            <w:divId w:val="1661545701"/>
            <w:rPr>
              <w:rFonts w:eastAsia="Times New Roman" w:cs="Times New Roman"/>
              <w:color w:val="000000"/>
            </w:rPr>
          </w:pPr>
          <w:r>
            <w:rPr>
              <w:rFonts w:eastAsia="Times New Roman" w:cs="Times New Roman"/>
              <w:color w:val="000000"/>
            </w:rPr>
            <w:t>[7]</w:t>
          </w:r>
          <w:r>
            <w:rPr>
              <w:rFonts w:eastAsia="Times New Roman" w:cs="Times New Roman"/>
              <w:color w:val="000000"/>
            </w:rPr>
            <w:tab/>
            <w:t>A. Drehobl, L. Ross, R. Ayala, A. Zaman, and J. Amann, “An Assessment of National and Metropolitan Energy Burden across the United States SEPTEMBER 2020 How High Are Household Energy Burdens?,” 2020.</w:t>
          </w:r>
        </w:p>
        <w:p w14:paraId="26511F6D" w14:textId="77777777" w:rsidR="00CB57CA" w:rsidRPr="00CB57CA" w:rsidRDefault="00CB57CA">
          <w:pPr>
            <w:autoSpaceDE w:val="0"/>
            <w:autoSpaceDN w:val="0"/>
            <w:ind w:hanging="640"/>
            <w:divId w:val="1775706685"/>
            <w:rPr>
              <w:rFonts w:eastAsia="Times New Roman" w:cs="Times New Roman"/>
              <w:color w:val="000000"/>
            </w:rPr>
          </w:pPr>
          <w:r>
            <w:rPr>
              <w:rFonts w:eastAsia="Times New Roman" w:cs="Times New Roman"/>
              <w:color w:val="000000"/>
            </w:rPr>
            <w:t>[8]</w:t>
          </w:r>
          <w:r>
            <w:rPr>
              <w:rFonts w:eastAsia="Times New Roman" w:cs="Times New Roman"/>
              <w:color w:val="000000"/>
            </w:rPr>
            <w:tab/>
            <w:t>“Demystifying Equity in California’s Energy Grid Transition BLOG ENERGY EQUITY.”</w:t>
          </w:r>
        </w:p>
        <w:p w14:paraId="112F5B36" w14:textId="77777777" w:rsidR="00CB57CA" w:rsidRPr="00CB57CA" w:rsidRDefault="00CB57CA">
          <w:pPr>
            <w:autoSpaceDE w:val="0"/>
            <w:autoSpaceDN w:val="0"/>
            <w:ind w:hanging="640"/>
            <w:divId w:val="516693633"/>
            <w:rPr>
              <w:rFonts w:eastAsia="Times New Roman" w:cs="Times New Roman"/>
              <w:color w:val="000000"/>
            </w:rPr>
          </w:pPr>
          <w:r>
            <w:rPr>
              <w:rFonts w:eastAsia="Times New Roman" w:cs="Times New Roman"/>
              <w:color w:val="000000"/>
            </w:rPr>
            <w:t>[9]</w:t>
          </w:r>
          <w:r>
            <w:rPr>
              <w:rFonts w:eastAsia="Times New Roman" w:cs="Times New Roman"/>
              <w:color w:val="000000"/>
            </w:rPr>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60CAEC73" w14:textId="77777777" w:rsidR="00CB57CA" w:rsidRPr="00CB57CA" w:rsidRDefault="00CB57CA">
          <w:pPr>
            <w:autoSpaceDE w:val="0"/>
            <w:autoSpaceDN w:val="0"/>
            <w:ind w:hanging="640"/>
            <w:divId w:val="876544480"/>
            <w:rPr>
              <w:rFonts w:eastAsia="Times New Roman" w:cs="Times New Roman"/>
              <w:color w:val="000000"/>
            </w:rPr>
          </w:pPr>
          <w:r>
            <w:rPr>
              <w:rFonts w:eastAsia="Times New Roman" w:cs="Times New Roman"/>
              <w:color w:val="000000"/>
            </w:rPr>
            <w:t>[10]</w:t>
          </w:r>
          <w:r>
            <w:rPr>
              <w:rFonts w:eastAsia="Times New Roman" w:cs="Times New Roman"/>
              <w:color w:val="000000"/>
            </w:rPr>
            <w:tab/>
            <w:t xml:space="preserve">S. P. Forrester, C. C. Montañés, E. O’Shaughnessy, and G. Barbose, “Modeling the potential effects of rooftop solar on household energy burden in the United States,” </w:t>
          </w:r>
          <w:r>
            <w:rPr>
              <w:rFonts w:eastAsia="Times New Roman" w:cs="Times New Roman"/>
              <w:i/>
              <w:iCs/>
              <w:color w:val="000000"/>
            </w:rPr>
            <w:t>Nature Communications 2024 15:1</w:t>
          </w:r>
          <w:r>
            <w:rPr>
              <w:rFonts w:eastAsia="Times New Roman" w:cs="Times New Roman"/>
              <w:color w:val="000000"/>
            </w:rPr>
            <w:t>, vol. 15, no. 1, pp. 4676-, Jun. 2024, doi: 10.1038/s41467-024-48967-x.</w:t>
          </w:r>
        </w:p>
        <w:p w14:paraId="63DDDCB4" w14:textId="77777777" w:rsidR="00CB57CA" w:rsidRPr="00CB57CA" w:rsidRDefault="00CB57CA">
          <w:pPr>
            <w:autoSpaceDE w:val="0"/>
            <w:autoSpaceDN w:val="0"/>
            <w:ind w:hanging="640"/>
            <w:divId w:val="530723209"/>
            <w:rPr>
              <w:rFonts w:eastAsia="Times New Roman" w:cs="Times New Roman"/>
              <w:color w:val="000000"/>
            </w:rPr>
          </w:pPr>
          <w:r>
            <w:rPr>
              <w:rFonts w:eastAsia="Times New Roman" w:cs="Times New Roman"/>
              <w:color w:val="000000"/>
            </w:rPr>
            <w:t>[11]</w:t>
          </w:r>
          <w:r>
            <w:rPr>
              <w:rFonts w:eastAsia="Times New Roman" w:cs="Times New Roman"/>
              <w:color w:val="000000"/>
            </w:rPr>
            <w:tab/>
            <w:t>A. Brockway and D. Callaway, “California’s omission of community solar from distributed energy policies is shortsighted,” 2022.</w:t>
          </w:r>
        </w:p>
        <w:p w14:paraId="5168D8EE" w14:textId="77777777" w:rsidR="00CB57CA" w:rsidRPr="00CB57CA" w:rsidRDefault="00CB57CA">
          <w:pPr>
            <w:autoSpaceDE w:val="0"/>
            <w:autoSpaceDN w:val="0"/>
            <w:ind w:hanging="640"/>
            <w:divId w:val="1625963226"/>
            <w:rPr>
              <w:rFonts w:eastAsia="Times New Roman" w:cs="Times New Roman"/>
              <w:color w:val="000000"/>
            </w:rPr>
          </w:pPr>
          <w:r>
            <w:rPr>
              <w:rFonts w:eastAsia="Times New Roman" w:cs="Times New Roman"/>
              <w:color w:val="000000"/>
            </w:rPr>
            <w:t>[12]</w:t>
          </w:r>
          <w:r>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Pr>
              <w:rFonts w:eastAsia="Times New Roman" w:cs="Times New Roman"/>
              <w:i/>
              <w:iCs/>
              <w:color w:val="000000"/>
            </w:rPr>
            <w:t>International Journal of Electrical Power &amp; Energy Systems</w:t>
          </w:r>
          <w:r>
            <w:rPr>
              <w:rFonts w:eastAsia="Times New Roman" w:cs="Times New Roman"/>
              <w:color w:val="000000"/>
            </w:rPr>
            <w:t>, vol. 138, p. 107900, Jun. 2022, doi: 10.1016/J.IJEPES.2021.107900.</w:t>
          </w:r>
        </w:p>
        <w:p w14:paraId="3E56FFBF" w14:textId="77777777" w:rsidR="00CB57CA" w:rsidRPr="00CB57CA" w:rsidRDefault="00CB57CA">
          <w:pPr>
            <w:autoSpaceDE w:val="0"/>
            <w:autoSpaceDN w:val="0"/>
            <w:ind w:hanging="640"/>
            <w:divId w:val="1787774900"/>
            <w:rPr>
              <w:rFonts w:eastAsia="Times New Roman" w:cs="Times New Roman"/>
              <w:color w:val="000000"/>
            </w:rPr>
          </w:pPr>
          <w:r>
            <w:rPr>
              <w:rFonts w:eastAsia="Times New Roman" w:cs="Times New Roman"/>
              <w:color w:val="000000"/>
            </w:rPr>
            <w:t>[13]</w:t>
          </w:r>
          <w:r>
            <w:rPr>
              <w:rFonts w:eastAsia="Times New Roman" w:cs="Times New Roman"/>
              <w:color w:val="000000"/>
            </w:rPr>
            <w:tab/>
            <w:t>“Distributed Energy Resources Technical Considerations for the Bulk Power System,” 2018.</w:t>
          </w:r>
        </w:p>
        <w:p w14:paraId="2A9E21B2" w14:textId="77777777" w:rsidR="00CB57CA" w:rsidRPr="00CB57CA" w:rsidRDefault="00CB57CA">
          <w:pPr>
            <w:autoSpaceDE w:val="0"/>
            <w:autoSpaceDN w:val="0"/>
            <w:ind w:hanging="640"/>
            <w:divId w:val="521434110"/>
            <w:rPr>
              <w:rFonts w:eastAsia="Times New Roman" w:cs="Times New Roman"/>
              <w:color w:val="000000"/>
            </w:rPr>
          </w:pPr>
          <w:r>
            <w:rPr>
              <w:rFonts w:eastAsia="Times New Roman" w:cs="Times New Roman"/>
              <w:color w:val="000000"/>
            </w:rPr>
            <w:t>[14]</w:t>
          </w:r>
          <w:r>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p>
        <w:p w14:paraId="0F7F854E" w14:textId="77777777" w:rsidR="00CB57CA" w:rsidRPr="00CB57CA" w:rsidRDefault="00CB57CA">
          <w:pPr>
            <w:autoSpaceDE w:val="0"/>
            <w:autoSpaceDN w:val="0"/>
            <w:ind w:hanging="640"/>
            <w:divId w:val="706877188"/>
            <w:rPr>
              <w:rFonts w:eastAsia="Times New Roman" w:cs="Times New Roman"/>
              <w:color w:val="000000"/>
            </w:rPr>
          </w:pPr>
          <w:r>
            <w:rPr>
              <w:rFonts w:eastAsia="Times New Roman" w:cs="Times New Roman"/>
              <w:color w:val="000000"/>
            </w:rPr>
            <w:t>[15]</w:t>
          </w:r>
          <w:r>
            <w:rPr>
              <w:rFonts w:eastAsia="Times New Roman" w:cs="Times New Roman"/>
              <w:color w:val="000000"/>
            </w:rPr>
            <w:tab/>
            <w:t>B. Aydin, R. Holt, and M. Almassalkhi, “Fairness-aware Dynamic Hosting Capacity and the Impacts of Strategic Solar PV Curtailment,” Apr. 2025, [Online]. Available: http://arxiv.org/abs/2504.18905</w:t>
          </w:r>
        </w:p>
        <w:p w14:paraId="2A29BA6F" w14:textId="77777777" w:rsidR="00CB57CA" w:rsidRPr="00CB57CA" w:rsidRDefault="00CB57CA">
          <w:pPr>
            <w:autoSpaceDE w:val="0"/>
            <w:autoSpaceDN w:val="0"/>
            <w:ind w:hanging="640"/>
            <w:divId w:val="232468740"/>
            <w:rPr>
              <w:rFonts w:eastAsia="Times New Roman" w:cs="Times New Roman"/>
              <w:color w:val="000000"/>
            </w:rPr>
          </w:pPr>
          <w:r>
            <w:rPr>
              <w:rFonts w:eastAsia="Times New Roman" w:cs="Times New Roman"/>
              <w:color w:val="000000"/>
            </w:rPr>
            <w:t>[16]</w:t>
          </w:r>
          <w:r>
            <w:rPr>
              <w:rFonts w:eastAsia="Times New Roman" w:cs="Times New Roman"/>
              <w:color w:val="000000"/>
            </w:rPr>
            <w:tab/>
            <w:t>“Distributed Energy Resource Interconnection Roadmap.”</w:t>
          </w:r>
        </w:p>
        <w:p w14:paraId="1DE1F78A" w14:textId="77777777" w:rsidR="00CB57CA" w:rsidRPr="00CB57CA" w:rsidRDefault="00CB57CA">
          <w:pPr>
            <w:autoSpaceDE w:val="0"/>
            <w:autoSpaceDN w:val="0"/>
            <w:ind w:hanging="640"/>
            <w:divId w:val="1784954752"/>
            <w:rPr>
              <w:rFonts w:eastAsia="Times New Roman" w:cs="Times New Roman"/>
              <w:color w:val="000000"/>
            </w:rPr>
          </w:pPr>
          <w:r>
            <w:rPr>
              <w:rFonts w:eastAsia="Times New Roman" w:cs="Times New Roman"/>
              <w:color w:val="000000"/>
            </w:rPr>
            <w:t>[17]</w:t>
          </w:r>
          <w:r>
            <w:rPr>
              <w:rFonts w:eastAsia="Times New Roman" w:cs="Times New Roman"/>
              <w:color w:val="000000"/>
            </w:rPr>
            <w:tab/>
            <w:t>B. Tarekegne, R. O’Neil, and J. Twitchell, “Energy Storage as an Equity Asset,” 2021. doi: 10.1007/s40518-021-00184-6.</w:t>
          </w:r>
        </w:p>
        <w:p w14:paraId="00E219FE" w14:textId="77777777" w:rsidR="00CB57CA" w:rsidRPr="00CB57CA" w:rsidRDefault="00CB57CA">
          <w:pPr>
            <w:autoSpaceDE w:val="0"/>
            <w:autoSpaceDN w:val="0"/>
            <w:ind w:hanging="640"/>
            <w:divId w:val="126700949"/>
            <w:rPr>
              <w:rFonts w:eastAsia="Times New Roman" w:cs="Times New Roman"/>
              <w:color w:val="000000"/>
            </w:rPr>
          </w:pPr>
          <w:r>
            <w:rPr>
              <w:rFonts w:eastAsia="Times New Roman" w:cs="Times New Roman"/>
              <w:color w:val="000000"/>
            </w:rPr>
            <w:t>[18]</w:t>
          </w:r>
          <w:r>
            <w:rPr>
              <w:rFonts w:eastAsia="Times New Roman" w:cs="Times New Roman"/>
              <w:color w:val="000000"/>
            </w:rPr>
            <w:tab/>
            <w:t xml:space="preserve">L. C. Stokes and C. Warshaw, “Renewable energy policy design and framing influence public support in the United States,” </w:t>
          </w:r>
          <w:r>
            <w:rPr>
              <w:rFonts w:eastAsia="Times New Roman" w:cs="Times New Roman"/>
              <w:i/>
              <w:iCs/>
              <w:color w:val="000000"/>
            </w:rPr>
            <w:t>Nat. Energy</w:t>
          </w:r>
          <w:r>
            <w:rPr>
              <w:rFonts w:eastAsia="Times New Roman" w:cs="Times New Roman"/>
              <w:color w:val="000000"/>
            </w:rPr>
            <w:t>, vol. 2, no. 8, Aug. 2017, doi: 10.1038/NENERGY.2017.107.</w:t>
          </w:r>
        </w:p>
        <w:p w14:paraId="7D0BC2DE" w14:textId="77777777" w:rsidR="00CB57CA" w:rsidRPr="00CB57CA" w:rsidRDefault="00CB57CA">
          <w:pPr>
            <w:autoSpaceDE w:val="0"/>
            <w:autoSpaceDN w:val="0"/>
            <w:ind w:hanging="640"/>
            <w:divId w:val="743533050"/>
            <w:rPr>
              <w:rFonts w:eastAsia="Times New Roman" w:cs="Times New Roman"/>
              <w:color w:val="000000"/>
            </w:rPr>
          </w:pPr>
          <w:r>
            <w:rPr>
              <w:rFonts w:eastAsia="Times New Roman" w:cs="Times New Roman"/>
              <w:color w:val="000000"/>
            </w:rPr>
            <w:t>[19]</w:t>
          </w:r>
          <w:r>
            <w:rPr>
              <w:rFonts w:eastAsia="Times New Roman" w:cs="Times New Roman"/>
              <w:color w:val="000000"/>
            </w:rPr>
            <w:tab/>
            <w:t>S. Borenstein and J. Bushnell, “The U.S. Electricity Industry after 20 Years of Restructuring,” 2015, doi: 10.1146/annureveconomics-080614-115630.</w:t>
          </w:r>
        </w:p>
        <w:p w14:paraId="473FB530" w14:textId="77777777" w:rsidR="00CB57CA" w:rsidRPr="00CB57CA" w:rsidRDefault="00CB57CA">
          <w:pPr>
            <w:autoSpaceDE w:val="0"/>
            <w:autoSpaceDN w:val="0"/>
            <w:ind w:hanging="640"/>
            <w:divId w:val="806820171"/>
            <w:rPr>
              <w:rFonts w:eastAsia="Times New Roman" w:cs="Times New Roman"/>
              <w:color w:val="000000"/>
            </w:rPr>
          </w:pPr>
          <w:r>
            <w:rPr>
              <w:rFonts w:eastAsia="Times New Roman" w:cs="Times New Roman"/>
              <w:color w:val="000000"/>
            </w:rPr>
            <w:t>[20]</w:t>
          </w:r>
          <w:r>
            <w:rPr>
              <w:rFonts w:eastAsia="Times New Roman" w:cs="Times New Roman"/>
              <w:color w:val="000000"/>
            </w:rPr>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7216BF16" w14:textId="77777777" w:rsidR="00CB57CA" w:rsidRPr="00CB57CA" w:rsidRDefault="00CB57CA">
          <w:pPr>
            <w:autoSpaceDE w:val="0"/>
            <w:autoSpaceDN w:val="0"/>
            <w:ind w:hanging="640"/>
            <w:divId w:val="2116092769"/>
            <w:rPr>
              <w:rFonts w:eastAsia="Times New Roman" w:cs="Times New Roman"/>
              <w:color w:val="000000"/>
            </w:rPr>
          </w:pPr>
          <w:r>
            <w:rPr>
              <w:rFonts w:eastAsia="Times New Roman" w:cs="Times New Roman"/>
              <w:color w:val="000000"/>
            </w:rPr>
            <w:lastRenderedPageBreak/>
            <w:t>[21]</w:t>
          </w:r>
          <w:r>
            <w:rPr>
              <w:rFonts w:eastAsia="Times New Roman" w:cs="Times New Roman"/>
              <w:color w:val="000000"/>
            </w:rPr>
            <w:tab/>
            <w:t>S. Churchill and J. B. Armstrong, “BEFORE THE PUBLIC UTILITIES COMMISSION OF THE STATE OF CALIFORNIA OPENING BRIEF OF THE SOLAR ENERGY INDUSTRIES ASSOCIATION AND VOTE SOLAR VOTE SOLAR,” 2021.</w:t>
          </w:r>
        </w:p>
        <w:p w14:paraId="6DADA839" w14:textId="77777777" w:rsidR="00CB57CA" w:rsidRPr="00CB57CA" w:rsidRDefault="00CB57CA">
          <w:pPr>
            <w:autoSpaceDE w:val="0"/>
            <w:autoSpaceDN w:val="0"/>
            <w:ind w:hanging="640"/>
            <w:divId w:val="1509784447"/>
            <w:rPr>
              <w:rFonts w:eastAsia="Times New Roman" w:cs="Times New Roman"/>
              <w:color w:val="000000"/>
            </w:rPr>
          </w:pPr>
          <w:r>
            <w:rPr>
              <w:rFonts w:eastAsia="Times New Roman" w:cs="Times New Roman"/>
              <w:color w:val="000000"/>
            </w:rPr>
            <w:t>[22]</w:t>
          </w:r>
          <w:r>
            <w:rPr>
              <w:rFonts w:eastAsia="Times New Roman" w:cs="Times New Roman"/>
              <w:color w:val="000000"/>
            </w:rPr>
            <w:tab/>
            <w:t xml:space="preserve">M. Alipour, E. Irannezhad, R. A. Stewart, and O. Sahin, “Exploring residential solar PV and battery energy storage adoption motivations and barriers in a mature PV market,” </w:t>
          </w:r>
          <w:r>
            <w:rPr>
              <w:rFonts w:eastAsia="Times New Roman" w:cs="Times New Roman"/>
              <w:i/>
              <w:iCs/>
              <w:color w:val="000000"/>
            </w:rPr>
            <w:t>Renew. Energy</w:t>
          </w:r>
          <w:r>
            <w:rPr>
              <w:rFonts w:eastAsia="Times New Roman" w:cs="Times New Roman"/>
              <w:color w:val="000000"/>
            </w:rPr>
            <w:t>, vol. 190, 2022, doi: 10.1016/j.renene.2022.03.040.</w:t>
          </w:r>
        </w:p>
        <w:p w14:paraId="3A1B8EDD" w14:textId="77777777" w:rsidR="00CB57CA" w:rsidRPr="00CB57CA" w:rsidRDefault="00CB57CA">
          <w:pPr>
            <w:autoSpaceDE w:val="0"/>
            <w:autoSpaceDN w:val="0"/>
            <w:ind w:hanging="640"/>
            <w:divId w:val="1296132469"/>
            <w:rPr>
              <w:rFonts w:eastAsia="Times New Roman" w:cs="Times New Roman"/>
              <w:color w:val="000000"/>
            </w:rPr>
          </w:pPr>
          <w:r>
            <w:rPr>
              <w:rFonts w:eastAsia="Times New Roman" w:cs="Times New Roman"/>
              <w:color w:val="000000"/>
            </w:rPr>
            <w:t>[23]</w:t>
          </w:r>
          <w:r>
            <w:rPr>
              <w:rFonts w:eastAsia="Times New Roman" w:cs="Times New Roman"/>
              <w:color w:val="000000"/>
            </w:rPr>
            <w:tab/>
            <w:t xml:space="preserve">R. Haider, Y. Xu, and W. Yang, “Towards closing the data gap: A project-driven distributed energy resource dataset for the U.S. Grid,” in </w:t>
          </w:r>
          <w:r>
            <w:rPr>
              <w:rFonts w:eastAsia="Times New Roman" w:cs="Times New Roman"/>
              <w:i/>
              <w:iCs/>
              <w:color w:val="000000"/>
            </w:rPr>
            <w:t>e-Energy 2023 Companion - Proceedings of the 14th ACM International Conference on Future Energy Systems</w:t>
          </w:r>
          <w:r>
            <w:rPr>
              <w:rFonts w:eastAsia="Times New Roman" w:cs="Times New Roman"/>
              <w:color w:val="000000"/>
            </w:rPr>
            <w:t>, 2023. doi: 10.1145/3599733.3600250.</w:t>
          </w:r>
        </w:p>
        <w:p w14:paraId="4E448D60" w14:textId="77777777" w:rsidR="00CB57CA" w:rsidRPr="00CB57CA" w:rsidRDefault="00CB57CA">
          <w:pPr>
            <w:autoSpaceDE w:val="0"/>
            <w:autoSpaceDN w:val="0"/>
            <w:ind w:hanging="640"/>
            <w:divId w:val="575170302"/>
            <w:rPr>
              <w:rFonts w:eastAsia="Times New Roman" w:cs="Times New Roman"/>
              <w:color w:val="000000"/>
            </w:rPr>
          </w:pPr>
          <w:r>
            <w:rPr>
              <w:rFonts w:eastAsia="Times New Roman" w:cs="Times New Roman"/>
              <w:color w:val="000000"/>
            </w:rPr>
            <w:t>[24]</w:t>
          </w:r>
          <w:r>
            <w:rPr>
              <w:rFonts w:eastAsia="Times New Roman" w:cs="Times New Roman"/>
              <w:color w:val="000000"/>
            </w:rPr>
            <w:tab/>
            <w:t>L. Ge, T. Du, C. Li, Y. Li, J. Yan, and M. U. Rafiq, “Virtual Collection for Distributed Photovoltaic Data: Challenges, Methodologies, and Applications,” 2022. doi: 10.3390/en15238783.</w:t>
          </w:r>
        </w:p>
        <w:p w14:paraId="1C933ACC" w14:textId="36F07497" w:rsidR="00C82ADA" w:rsidRDefault="00CB57CA" w:rsidP="00BE0E1E">
          <w:r>
            <w:rPr>
              <w:rFonts w:eastAsia="Times New Roman" w:cs="Times New Roman"/>
              <w:color w:val="000000"/>
            </w:rPr>
            <w:t> </w:t>
          </w:r>
        </w:p>
      </w:sdtContent>
    </w:sdt>
    <w:p w14:paraId="556719EA" w14:textId="596855F6"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8" w:author="Vineet Jagadeesan Nair" w:date="2026-07-29T13:21:00Z" w:initials="VJN">
    <w:p w14:paraId="44A863F1" w14:textId="77777777" w:rsidR="007C6BC8" w:rsidRDefault="007C6BC8" w:rsidP="007C6BC8">
      <w:r>
        <w:rPr>
          <w:rStyle w:val="CommentReference"/>
        </w:rPr>
        <w:annotationRef/>
      </w:r>
      <w:r>
        <w:rPr>
          <w:sz w:val="20"/>
          <w:szCs w:val="20"/>
        </w:rPr>
        <w:t>Hispanic and Poverty rate colors are too similar</w:t>
      </w:r>
    </w:p>
  </w:comment>
  <w:comment w:id="23" w:author="Vineet Jagadeesan Nair" w:date="2026-07-29T15:48:00Z" w:initials="VJN">
    <w:p w14:paraId="5441D894" w14:textId="77777777" w:rsidR="00D624F4" w:rsidRDefault="00D624F4" w:rsidP="00D624F4">
      <w:r>
        <w:rPr>
          <w:rStyle w:val="CommentReference"/>
        </w:rPr>
        <w:annotationRef/>
      </w:r>
      <w:r>
        <w:rPr>
          <w:sz w:val="20"/>
          <w:szCs w:val="20"/>
        </w:rPr>
        <w:t>Comment why the different sign between this (conditional) &amp; LOWESS ?(unconditional) in 5.6</w:t>
      </w:r>
    </w:p>
  </w:comment>
  <w:comment w:id="29" w:author="Vineet Jagadeesan Nair" w:date="2026-07-29T13:20:00Z" w:initials="VJN">
    <w:p w14:paraId="7C854E6F" w14:textId="77777777" w:rsidR="00384EC6" w:rsidRDefault="00384EC6" w:rsidP="00384EC6">
      <w:r>
        <w:rPr>
          <w:rStyle w:val="CommentReference"/>
        </w:rPr>
        <w:annotationRef/>
      </w:r>
      <w:r>
        <w:rPr>
          <w:sz w:val="20"/>
          <w:szCs w:val="20"/>
        </w:rPr>
        <w:t>I'm not sure about this section's content</w:t>
      </w:r>
    </w:p>
  </w:comment>
  <w:comment w:id="30" w:author="Vineet Jagadeesan Nair" w:date="2026-07-29T15:56:00Z" w:initials="VJN">
    <w:p w14:paraId="05E02108" w14:textId="77777777" w:rsidR="00D624F4" w:rsidRDefault="00D624F4" w:rsidP="00D624F4">
      <w:r>
        <w:rPr>
          <w:rStyle w:val="CommentReference"/>
        </w:rPr>
        <w:annotationRef/>
      </w:r>
      <w:r>
        <w:rPr>
          <w:sz w:val="20"/>
          <w:szCs w:val="20"/>
        </w:rPr>
        <w:t>Define energy burden or affordability gap clearly  -- only pick one of the 2 whichever is clearer</w:t>
      </w:r>
    </w:p>
  </w:comment>
  <w:comment w:id="33" w:author="Vineet Jagadeesan Nair" w:date="2026-07-29T13:20:00Z" w:initials="VJN">
    <w:p w14:paraId="7B265534" w14:textId="77777777" w:rsidR="00384EC6" w:rsidRDefault="00384EC6" w:rsidP="00384EC6">
      <w:r>
        <w:rPr>
          <w:rStyle w:val="CommentReference"/>
        </w:rPr>
        <w:annotationRef/>
      </w:r>
      <w:r>
        <w:rPr>
          <w:sz w:val="20"/>
          <w:szCs w:val="20"/>
        </w:rPr>
        <w:t>Put as one figure and add caption</w:t>
      </w:r>
    </w:p>
  </w:comment>
  <w:comment w:id="35" w:author="Vineet Jagadeesan Nair" w:date="2026-07-29T13:54:00Z" w:initials="VJN">
    <w:p w14:paraId="2F6525F9" w14:textId="77777777" w:rsidR="002808A9" w:rsidRDefault="002808A9" w:rsidP="002808A9">
      <w:r>
        <w:rPr>
          <w:rStyle w:val="CommentReference"/>
        </w:rPr>
        <w:annotationRef/>
      </w:r>
      <w:r>
        <w:rPr>
          <w:sz w:val="20"/>
          <w:szCs w:val="20"/>
        </w:rPr>
        <w:t>Missing figure caption</w:t>
      </w:r>
    </w:p>
  </w:comment>
  <w:comment w:id="36" w:author="Vineet Jagadeesan Nair" w:date="2026-07-29T13:21:00Z" w:initials="VJN">
    <w:p w14:paraId="2BBCA10A" w14:textId="77777777" w:rsidR="007C6BC8" w:rsidRDefault="007C6BC8" w:rsidP="007C6BC8">
      <w:r>
        <w:rPr>
          <w:rStyle w:val="CommentReference"/>
        </w:rPr>
        <w:annotationRef/>
      </w:r>
      <w:r>
        <w:rPr>
          <w:sz w:val="20"/>
          <w:szCs w:val="20"/>
        </w:rPr>
        <w:t>Some of the colors seem to be missing from the plot</w:t>
      </w:r>
    </w:p>
  </w:comment>
  <w:comment w:id="37" w:author="Vineet Jagadeesan Nair" w:date="2026-07-29T13:54:00Z" w:initials="VJN">
    <w:p w14:paraId="38E70CC7" w14:textId="77777777" w:rsidR="002808A9" w:rsidRDefault="002808A9" w:rsidP="002808A9">
      <w:r>
        <w:rPr>
          <w:rStyle w:val="CommentReference"/>
        </w:rPr>
        <w:annotationRef/>
      </w:r>
      <w:r>
        <w:rPr>
          <w:sz w:val="20"/>
          <w:szCs w:val="20"/>
        </w:rPr>
        <w:t>Also missing figure caption</w:t>
      </w:r>
    </w:p>
  </w:comment>
  <w:comment w:id="162" w:author="Vineet Jagadeesan Nair" w:date="2026-08-07T13:41:00Z" w:initials="VJN">
    <w:p w14:paraId="717991AC" w14:textId="77777777" w:rsidR="00CF0667" w:rsidRDefault="00CF0667" w:rsidP="00CF0667">
      <w:r>
        <w:rPr>
          <w:rStyle w:val="CommentReference"/>
        </w:rPr>
        <w:annotationRef/>
      </w:r>
      <w:r>
        <w:rPr>
          <w:sz w:val="20"/>
          <w:szCs w:val="20"/>
        </w:rPr>
        <w:t>We should provide more details on the different DER datasets - and also include a link to the repo here (after we make it public)</w:t>
      </w:r>
    </w:p>
  </w:comment>
  <w:comment w:id="165" w:author="Vineet Jagadeesan Nair" w:date="2026-07-29T15:59:00Z" w:initials="VJN">
    <w:p w14:paraId="2435222B" w14:textId="77777777" w:rsidR="00C848A2" w:rsidRDefault="00C848A2" w:rsidP="00C848A2">
      <w:r>
        <w:rPr>
          <w:rStyle w:val="CommentReference"/>
        </w:rPr>
        <w:annotationRef/>
      </w:r>
      <w:r>
        <w:rPr>
          <w:sz w:val="20"/>
          <w:szCs w:val="20"/>
        </w:rPr>
        <w:t>Moran's I on residuals?</w:t>
      </w:r>
    </w:p>
  </w:comment>
  <w:comment w:id="166" w:author="Vineet Jagadeesan Nair" w:date="2026-05-12T12:57:00Z" w:initials="VJN">
    <w:p w14:paraId="3193A887" w14:textId="77777777" w:rsidR="0001700E" w:rsidRDefault="0001700E" w:rsidP="0001700E">
      <w:r>
        <w:rPr>
          <w:rStyle w:val="CommentReference"/>
        </w:rPr>
        <w:annotationRef/>
      </w:r>
      <w:r>
        <w:rPr>
          <w:sz w:val="20"/>
          <w:szCs w:val="20"/>
        </w:rPr>
        <w:t>Ensure that we cross reference to these appendices in the main text as well</w:t>
      </w:r>
    </w:p>
  </w:comment>
  <w:comment w:id="170" w:author="Vineet Jagadeesan Nair" w:date="2026-07-29T14:06:00Z" w:initials="VJN">
    <w:p w14:paraId="121DD8A6" w14:textId="77777777" w:rsidR="00877620" w:rsidRDefault="00877620" w:rsidP="00877620">
      <w:r>
        <w:rPr>
          <w:rStyle w:val="CommentReference"/>
        </w:rPr>
        <w:annotationRef/>
      </w:r>
      <w:r>
        <w:rPr>
          <w:sz w:val="20"/>
          <w:szCs w:val="20"/>
        </w:rPr>
        <w:t>Add the maps for storage &amp; charging here too for completeness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A863F1" w15:done="0"/>
  <w15:commentEx w15:paraId="5441D894" w15:done="0"/>
  <w15:commentEx w15:paraId="7C854E6F" w15:done="0"/>
  <w15:commentEx w15:paraId="05E02108" w15:paraIdParent="7C854E6F" w15:done="0"/>
  <w15:commentEx w15:paraId="7B265534" w15:done="0"/>
  <w15:commentEx w15:paraId="2F6525F9" w15:done="1"/>
  <w15:commentEx w15:paraId="2BBCA10A" w15:done="0"/>
  <w15:commentEx w15:paraId="38E70CC7" w15:paraIdParent="2BBCA10A" w15:done="0"/>
  <w15:commentEx w15:paraId="717991AC" w15:done="0"/>
  <w15:commentEx w15:paraId="2435222B" w15:done="0"/>
  <w15:commentEx w15:paraId="3193A887" w15:done="0"/>
  <w15:commentEx w15:paraId="121DD8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7C665F0" w16cex:dateUtc="2026-07-29T20:21:00Z"/>
  <w16cex:commentExtensible w16cex:durableId="1F602D42" w16cex:dateUtc="2026-07-29T22:48:00Z"/>
  <w16cex:commentExtensible w16cex:durableId="4DB858A8" w16cex:dateUtc="2026-07-29T20:20:00Z"/>
  <w16cex:commentExtensible w16cex:durableId="3A148F43" w16cex:dateUtc="2026-07-29T22:56:00Z"/>
  <w16cex:commentExtensible w16cex:durableId="3D9FA453" w16cex:dateUtc="2026-07-29T20:20:00Z"/>
  <w16cex:commentExtensible w16cex:durableId="41618718" w16cex:dateUtc="2026-07-29T20:54:00Z"/>
  <w16cex:commentExtensible w16cex:durableId="3B74C240" w16cex:dateUtc="2026-07-29T20:21:00Z"/>
  <w16cex:commentExtensible w16cex:durableId="42CDF632" w16cex:dateUtc="2026-07-29T20:54:00Z"/>
  <w16cex:commentExtensible w16cex:durableId="7C45CE04" w16cex:dateUtc="2026-08-07T19:41:00Z"/>
  <w16cex:commentExtensible w16cex:durableId="7427F7D3" w16cex:dateUtc="2026-07-29T22:59:00Z"/>
  <w16cex:commentExtensible w16cex:durableId="51C401E3" w16cex:dateUtc="2026-05-12T19:57:00Z"/>
  <w16cex:commentExtensible w16cex:durableId="0963F758" w16cex:dateUtc="2026-07-29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A863F1" w16cid:durableId="07C665F0"/>
  <w16cid:commentId w16cid:paraId="5441D894" w16cid:durableId="1F602D42"/>
  <w16cid:commentId w16cid:paraId="7C854E6F" w16cid:durableId="4DB858A8"/>
  <w16cid:commentId w16cid:paraId="05E02108" w16cid:durableId="3A148F43"/>
  <w16cid:commentId w16cid:paraId="7B265534" w16cid:durableId="3D9FA453"/>
  <w16cid:commentId w16cid:paraId="2F6525F9" w16cid:durableId="41618718"/>
  <w16cid:commentId w16cid:paraId="2BBCA10A" w16cid:durableId="3B74C240"/>
  <w16cid:commentId w16cid:paraId="38E70CC7" w16cid:durableId="42CDF632"/>
  <w16cid:commentId w16cid:paraId="717991AC" w16cid:durableId="7C45CE04"/>
  <w16cid:commentId w16cid:paraId="2435222B" w16cid:durableId="7427F7D3"/>
  <w16cid:commentId w16cid:paraId="3193A887" w16cid:durableId="51C401E3"/>
  <w16cid:commentId w16cid:paraId="121DD8A6" w16cid:durableId="0963F7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91F08"/>
    <w:rsid w:val="000A1AD4"/>
    <w:rsid w:val="000A73BA"/>
    <w:rsid w:val="000B5F0F"/>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583E"/>
    <w:rsid w:val="00191111"/>
    <w:rsid w:val="001921CB"/>
    <w:rsid w:val="001B3B10"/>
    <w:rsid w:val="001B5F3C"/>
    <w:rsid w:val="00201CD0"/>
    <w:rsid w:val="002178F8"/>
    <w:rsid w:val="002457BD"/>
    <w:rsid w:val="00245EEC"/>
    <w:rsid w:val="002808A9"/>
    <w:rsid w:val="00294CAB"/>
    <w:rsid w:val="0029639D"/>
    <w:rsid w:val="002A13EA"/>
    <w:rsid w:val="002B54C7"/>
    <w:rsid w:val="002C1F46"/>
    <w:rsid w:val="002C6638"/>
    <w:rsid w:val="002C7826"/>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F5336"/>
    <w:rsid w:val="005031A8"/>
    <w:rsid w:val="00511E45"/>
    <w:rsid w:val="00517A79"/>
    <w:rsid w:val="00520714"/>
    <w:rsid w:val="00527EBA"/>
    <w:rsid w:val="00531576"/>
    <w:rsid w:val="00537512"/>
    <w:rsid w:val="00554FC3"/>
    <w:rsid w:val="00585A84"/>
    <w:rsid w:val="00596EAB"/>
    <w:rsid w:val="005E0F8B"/>
    <w:rsid w:val="005E7849"/>
    <w:rsid w:val="00614286"/>
    <w:rsid w:val="00615DEA"/>
    <w:rsid w:val="0062078F"/>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80320E"/>
    <w:rsid w:val="00807E68"/>
    <w:rsid w:val="008159BC"/>
    <w:rsid w:val="008448B0"/>
    <w:rsid w:val="008620FF"/>
    <w:rsid w:val="008653DC"/>
    <w:rsid w:val="00877620"/>
    <w:rsid w:val="00880690"/>
    <w:rsid w:val="00881233"/>
    <w:rsid w:val="00886579"/>
    <w:rsid w:val="00893723"/>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E0DB7"/>
    <w:rsid w:val="009E7256"/>
    <w:rsid w:val="009F519D"/>
    <w:rsid w:val="009F7E33"/>
    <w:rsid w:val="00A10AE9"/>
    <w:rsid w:val="00A46E38"/>
    <w:rsid w:val="00A50352"/>
    <w:rsid w:val="00A5198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86A12"/>
    <w:rsid w:val="00B87FB7"/>
    <w:rsid w:val="00B92B39"/>
    <w:rsid w:val="00BB27C7"/>
    <w:rsid w:val="00BB4F94"/>
    <w:rsid w:val="00BC5A60"/>
    <w:rsid w:val="00BE2061"/>
    <w:rsid w:val="00BE3296"/>
    <w:rsid w:val="00C0319E"/>
    <w:rsid w:val="00C11068"/>
    <w:rsid w:val="00C4201B"/>
    <w:rsid w:val="00C47129"/>
    <w:rsid w:val="00C82ADA"/>
    <w:rsid w:val="00C848A2"/>
    <w:rsid w:val="00C86F74"/>
    <w:rsid w:val="00CB0664"/>
    <w:rsid w:val="00CB57CA"/>
    <w:rsid w:val="00CC36AC"/>
    <w:rsid w:val="00CD6657"/>
    <w:rsid w:val="00CE3C99"/>
    <w:rsid w:val="00CF0667"/>
    <w:rsid w:val="00D055FE"/>
    <w:rsid w:val="00D32F87"/>
    <w:rsid w:val="00D40A32"/>
    <w:rsid w:val="00D515B5"/>
    <w:rsid w:val="00D624F4"/>
    <w:rsid w:val="00D71306"/>
    <w:rsid w:val="00D72967"/>
    <w:rsid w:val="00D74412"/>
    <w:rsid w:val="00D805F4"/>
    <w:rsid w:val="00D81309"/>
    <w:rsid w:val="00D834A0"/>
    <w:rsid w:val="00D83570"/>
    <w:rsid w:val="00DA6FD6"/>
    <w:rsid w:val="00DA77A3"/>
    <w:rsid w:val="00DB0D71"/>
    <w:rsid w:val="00DF031C"/>
    <w:rsid w:val="00E45693"/>
    <w:rsid w:val="00E475F8"/>
    <w:rsid w:val="00E713DB"/>
    <w:rsid w:val="00E74C8C"/>
    <w:rsid w:val="00E80772"/>
    <w:rsid w:val="00EB73C3"/>
    <w:rsid w:val="00EC5B8D"/>
    <w:rsid w:val="00EF58DD"/>
    <w:rsid w:val="00EF7D9A"/>
    <w:rsid w:val="00F00FFF"/>
    <w:rsid w:val="00F05440"/>
    <w:rsid w:val="00F121D0"/>
    <w:rsid w:val="00F32F9F"/>
    <w:rsid w:val="00F41C78"/>
    <w:rsid w:val="00F46D99"/>
    <w:rsid w:val="00F51C53"/>
    <w:rsid w:val="00F654AD"/>
    <w:rsid w:val="00F82E29"/>
    <w:rsid w:val="00F97B61"/>
    <w:rsid w:val="00FB3097"/>
    <w:rsid w:val="00FB378A"/>
    <w:rsid w:val="00FC526E"/>
    <w:rsid w:val="00FC693F"/>
    <w:rsid w:val="00FC705B"/>
    <w:rsid w:val="00FC79A9"/>
    <w:rsid w:val="00FC7C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13F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0" Type="http://schemas.openxmlformats.org/officeDocument/2006/relationships/comments" Target="comments.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microsoft.com/office/2011/relationships/people" Target="people.xml"/><Relationship Id="rId8" Type="http://schemas.openxmlformats.org/officeDocument/2006/relationships/image" Target="media/image3.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sv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29729D"/>
    <w:rsid w:val="003442C4"/>
    <w:rsid w:val="00384861"/>
    <w:rsid w:val="003F7B79"/>
    <w:rsid w:val="00454AF2"/>
    <w:rsid w:val="00562F98"/>
    <w:rsid w:val="0062078F"/>
    <w:rsid w:val="00644B63"/>
    <w:rsid w:val="00731622"/>
    <w:rsid w:val="00881233"/>
    <w:rsid w:val="009368C5"/>
    <w:rsid w:val="00A14FD4"/>
    <w:rsid w:val="00AC1D30"/>
    <w:rsid w:val="00B22EC3"/>
    <w:rsid w:val="00BB27C7"/>
    <w:rsid w:val="00C0319E"/>
    <w:rsid w:val="00C27543"/>
    <w:rsid w:val="00C9282C"/>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81357909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D&quot;:&quot;MENDELEY_CITATION_8976e81a-1d1c-4b2a-aa28-777339ceee81&quot;,&quot;properties&quot;:{&quot;noteIndex&quot;:0},&quot;isEdited&quot;:false,&quot;manualOverride&quot;:{&quot;isManuallyOverridden&quot;:false,&quot;citeprocText&quot;:&quot;[2]&quot;,&quot;manualOverrideText&quot;:&quot;&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D&quot;:&quot;MENDELEY_CITATION_496a9f86-e45c-4371-a9c9-5282fc466f91&quot;,&quot;properties&quot;:{&quot;noteIndex&quot;:0},&quot;isEdited&quot;:false,&quot;manualOverride&quot;:{&quot;isManuallyOverridden&quot;:false,&quot;citeprocText&quot;:&quot;[3]&quot;,&quot;manualOverrideText&quot;:&quot;&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D&quot;:&quot;MENDELEY_CITATION_b35b9d5b-d8f5-4ef7-974d-0c492cc8d651&quot;,&quot;properties&quot;:{&quot;noteIndex&quot;:0},&quot;isEdited&quot;:false,&quot;manualOverride&quot;:{&quot;isManuallyOverridden&quot;:false,&quot;citeprocText&quot;:&quot;[4], [5], [6]&quot;,&quot;manualOverrideText&quot;:&quot;&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D&quot;:&quot;MENDELEY_CITATION_0972986b-3b92-4528-be61-74cde9926ace&quot;,&quot;properties&quot;:{&quot;noteIndex&quot;:0},&quot;isEdited&quot;:false,&quot;manualOverride&quot;:{&quot;isManuallyOverridden&quot;:false,&quot;citeprocText&quot;:&quot;[7]&quot;,&quot;manualOverrideText&quot;:&quot;&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D&quot;:&quot;MENDELEY_CITATION_7593e5af-4946-4381-bdca-6dd543caedc4&quot;,&quot;properties&quot;:{&quot;noteIndex&quot;:0},&quot;isEdited&quot;:false,&quot;manualOverride&quot;:{&quot;isManuallyOverridden&quot;:false,&quot;citeprocText&quot;:&quot;[8]&quot;,&quot;manualOverrideText&quot;:&quot;&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D&quot;:&quot;MENDELEY_CITATION_39034dd5-26b3-4aec-9453-1ff5d2f39016&quot;,&quot;properties&quot;:{&quot;noteIndex&quot;:0},&quot;isEdited&quot;:false,&quot;manualOverride&quot;:{&quot;isManuallyOverridden&quot;:false,&quot;citeprocText&quot;:&quot;[9]&quot;,&quot;manualOverrideText&quot;:&quot;&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D&quot;:&quot;MENDELEY_CITATION_45481ab8-b85d-4574-9e1e-014e814bd633&quot;,&quot;properties&quot;:{&quot;noteIndex&quot;:0},&quot;isEdited&quot;:false,&quot;manualOverride&quot;:{&quot;isManuallyOverridden&quot;:false,&quot;citeprocText&quot;:&quot;[10]&quot;,&quot;manualOverrideText&quot;:&quot;&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container-title-short&quot;:&quot;&quot;},&quot;isTemporary&quot;:false,&quot;suppress-author&quot;:false,&quot;composite&quot;:false,&quot;author-only&quot;:false}],&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quot;},{&quot;citationID&quot;:&quot;MENDELEY_CITATION_cb75f359-44eb-4e26-9789-caf79dfe44fb&quot;,&quot;properties&quot;:{&quot;noteIndex&quot;:0},&quot;isEdited&quot;:false,&quot;manualOverride&quot;:{&quot;isManuallyOverridden&quot;:false,&quot;citeprocText&quot;:&quot;[11]&quot;,&quot;manualOverrideText&quot;:&quot;&quot;},&quot;citationItems&quot;:[{&quot;id&quot;:&quot;6629b6ca-fc22-3358-b729-bc435a9ddeef&quot;,&quot;itemData&quot;:{&quot;type&quot;:&quot;report&quot;,&quot;id&quot;:&quot;6629b6ca-fc22-3358-b729-bc435a9ddeef&quot;,&quot;title&quot;:&quot;California's omission of community solar from distributed energy policies is shortsighted&quot;,&quot;author&quot;:[{&quot;family&quot;:&quot;Brockway&quot;,&quot;given&quot;:&quot;Anna&quot;,&quot;parse-names&quot;:false,&quot;dropping-particle&quot;:&quot;&quot;,&quot;non-dropping-particle&quot;:&quot;&quot;},{&quot;family&quot;:&quot;Callaway&quot;,&quot;given&quot;:&quot;Duncan&quot;,&quot;parse-names&quot;:false,&quot;dropping-particle&quot;:&quot;&quot;,&quot;non-dropping-particle&quot;:&quot;&quot;}],&quot;issued&quot;:{&quot;date-parts&quot;:[[2022]]},&quot;container-title-short&quot;:&quot;&quot;},&quot;isTemporary&quot;:false,&quot;suppress-author&quot;:false,&quot;composite&quot;:false,&quot;author-only&quot;:false}],&quot;citationTag&quot;:&quot;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D&quot;:&quot;MENDELEY_CITATION_0cfd337d-26ee-4c7b-a99a-225f6a9ecd74&quot;,&quot;properties&quot;:{&quot;noteIndex&quot;:0},&quot;isEdited&quot;:false,&quot;manualOverride&quot;:{&quot;isManuallyOverridden&quot;:false,&quot;citeprocText&quot;:&quot;[12]&quot;,&quot;manualOverrideText&quot;:&quot;&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D&quot;:&quot;MENDELEY_CITATION_c71c8215-d2d1-4e3e-84c5-810a27600a0a&quot;,&quot;properties&quot;:{&quot;noteIndex&quot;:0},&quot;isEdited&quot;:false,&quot;manualOverride&quot;:{&quot;isManuallyOverridden&quot;:false,&quot;citeprocText&quot;:&quot;[13]&quot;,&quot;manualOverrideText&quot;:&quot;&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D&quot;:&quot;MENDELEY_CITATION_2ac78379-8c40-4f35-8417-c85c5f7c46d8&quot;,&quot;properties&quot;:{&quot;noteIndex&quot;:0},&quot;isEdited&quot;:false,&quot;manualOverride&quot;:{&quot;isManuallyOverridden&quot;:false,&quot;citeprocText&quot;:&quot;[14]&quot;,&quot;manualOverrideText&quot;:&quot;&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D&quot;:&quot;MENDELEY_CITATION_c62f1813-4275-4bd5-b6da-4dc9a3a97c14&quot;,&quot;properties&quot;:{&quot;noteIndex&quot;:0},&quot;isEdited&quot;:false,&quot;manualOverride&quot;:{&quot;isManuallyOverridden&quot;:false,&quot;citeprocText&quot;:&quot;[15]&quot;,&quot;manualOverrideText&quot;:&quot;&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D&quot;:&quot;MENDELEY_CITATION_7b86356c-de26-4d65-be5d-33be062c43ed&quot;,&quot;properties&quot;:{&quot;noteIndex&quot;:0},&quot;isEdited&quot;:false,&quot;manualOverride&quot;:{&quot;isManuallyOverridden&quot;:false,&quot;citeprocText&quot;:&quot;[16]&quot;,&quot;manualOverrideText&quot;:&quot;&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D&quot;:&quot;MENDELEY_CITATION_814ba3ad-759f-4bc6-88c3-3a46a3f95776&quot;,&quot;properties&quot;:{&quot;noteIndex&quot;:0},&quot;isEdited&quot;:false,&quot;manualOverride&quot;:{&quot;isManuallyOverridden&quot;:false,&quot;citeprocText&quot;:&quot;[17]&quot;,&quot;manualOverrideText&quot;:&quot;&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D&quot;:&quot;MENDELEY_CITATION_73f6f309-9e2c-4e1a-a93a-29d45d937443&quot;,&quot;properties&quot;:{&quot;noteIndex&quot;:0},&quot;isEdited&quot;:false,&quot;manualOverride&quot;:{&quot;isManuallyOverridden&quot;:false,&quot;citeprocText&quot;:&quot;[18], [19], [20], [21]&quot;,&quot;manualOverrideText&quot;:&quot;&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D&quot;:&quot;MENDELEY_CITATION_3c102bc1-6462-4a1f-9da8-cc56e937f4cf&quot;,&quot;properties&quot;:{&quot;noteIndex&quot;:0},&quot;isEdited&quot;:false,&quot;manualOverride&quot;:{&quot;isManuallyOverridden&quot;:false,&quot;citeprocText&quot;:&quot;[22]&quot;,&quot;manualOverrideText&quot;:&quot;&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D&quot;:&quot;MENDELEY_CITATION_33929b77-34ab-4bca-b5e2-72f013eaec39&quot;,&quot;properties&quot;:{&quot;noteIndex&quot;:0},&quot;isEdited&quot;:false,&quot;manualOverride&quot;:{&quot;isManuallyOverridden&quot;:false,&quot;citeprocText&quot;:&quot;[23]&quot;,&quot;manualOverrideText&quot;:&quot;&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container-title-short&quot;:&quot;&quot;},&quot;isTemporary&quot;:false,&quot;suppress-author&quot;:false,&quot;composite&quot;:false,&quot;author-only&quot;:false}],&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quot;},{&quot;citationID&quot;:&quot;MENDELEY_CITATION_994bfa7e-05b2-4606-9f1c-eff0123e3036&quot;,&quot;properties&quot;:{&quot;noteIndex&quot;:0},&quot;isEdited&quot;:false,&quot;manualOverride&quot;:{&quot;isManuallyOverridden&quot;:false,&quot;citeprocText&quot;:&quot;[24]&quot;,&quot;manualOverrideText&quot;:&quot;&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35</Pages>
  <Words>12311</Words>
  <Characters>70179</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94</cp:revision>
  <dcterms:created xsi:type="dcterms:W3CDTF">2026-06-27T02:50:00Z</dcterms:created>
  <dcterms:modified xsi:type="dcterms:W3CDTF">2026-08-11T16:17:00Z</dcterms:modified>
  <cp:category/>
</cp:coreProperties>
</file>