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sidRPr="00DA6FD6">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sidRPr="009B0EFB">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sidRPr="002B54C7">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sidRPr="004A1694">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sidRPr="005E0F8B">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sidRPr="004E1F0A">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sidRPr="00F00FFF">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sidRPr="002C1F46">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2C1F46">
        <w:rPr>
          <w:rFonts w:eastAsia="Times New Roman" w:cs="Times New Roman"/>
          <w:strike/>
          <w:sz w:val="24"/>
          <w:szCs w:val="24"/>
        </w:rPr>
        <w:t>Vineet: Slightly improve intro &amp; conclusions sections</w:t>
      </w:r>
      <w:r w:rsidR="002808A9">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w:t>
      </w:r>
      <w:r w:rsidR="002808A9">
        <w:rPr>
          <w:rFonts w:eastAsia="Times New Roman" w:cs="Times New Roman"/>
          <w:sz w:val="24"/>
          <w:szCs w:val="24"/>
        </w:rPr>
        <w:t>/sections</w:t>
      </w:r>
      <w:r>
        <w:rPr>
          <w:rFonts w:eastAsia="Times New Roman" w:cs="Times New Roman"/>
          <w:sz w:val="24"/>
          <w:szCs w:val="24"/>
        </w:rPr>
        <w:t xml:space="preserve"> in the text</w:t>
      </w:r>
      <w:r w:rsidR="00CE3C99">
        <w:rPr>
          <w:rFonts w:eastAsia="Times New Roman" w:cs="Times New Roman"/>
          <w:sz w:val="24"/>
          <w:szCs w:val="24"/>
        </w:rPr>
        <w:t xml:space="preserve"> – Need to 1</w:t>
      </w:r>
      <w:r w:rsidR="00CE3C99" w:rsidRPr="00CE3C99">
        <w:rPr>
          <w:rFonts w:eastAsia="Times New Roman" w:cs="Times New Roman"/>
          <w:sz w:val="24"/>
          <w:szCs w:val="24"/>
          <w:vertAlign w:val="superscript"/>
        </w:rPr>
        <w:t>st</w:t>
      </w:r>
      <w:r w:rsidR="00CE3C99">
        <w:rPr>
          <w:rFonts w:eastAsia="Times New Roman" w:cs="Times New Roman"/>
          <w:sz w:val="24"/>
          <w:szCs w:val="24"/>
        </w:rPr>
        <w:t xml:space="preserve"> update the figures &amp; add captions properly before doing this</w:t>
      </w:r>
      <w:r w:rsidR="002808A9">
        <w:rPr>
          <w:rFonts w:eastAsia="Times New Roman" w:cs="Times New Roman"/>
          <w:sz w:val="24"/>
          <w:szCs w:val="24"/>
        </w:rPr>
        <w:t xml:space="preserve">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w:t>
      </w:r>
      <w:r w:rsidR="00F41C78">
        <w:t>electric vehicle (</w:t>
      </w:r>
      <w:r>
        <w:t>EV</w:t>
      </w:r>
      <w:r w:rsidR="00F41C78">
        <w:t>)</w:t>
      </w:r>
      <w:r>
        <w:t xml:space="preserve">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w:t>
      </w:r>
      <w:r w:rsidR="007E05F8">
        <w:t xml:space="preserve"> all </w:t>
      </w:r>
      <w:r w:rsidR="007E05F8" w:rsidRPr="007E05F8">
        <w:t>ZIP Code Tabulation Areas (ZCTAs)</w:t>
      </w:r>
      <w:r w:rsidR="007E05F8">
        <w:t xml:space="preserve"> in California</w:t>
      </w:r>
      <w:r w:rsidR="00306FC0">
        <w:t>. We</w:t>
      </w:r>
      <w:r>
        <w:t xml:space="preserve"> buil</w:t>
      </w:r>
      <w:r w:rsidR="00055630">
        <w:t>t</w:t>
      </w:r>
      <w:r>
        <w:t xml:space="preserve"> a California</w:t>
      </w:r>
      <w:r w:rsidR="00C4201B">
        <w:t xml:space="preserve"> (CA)</w:t>
      </w:r>
      <w:r>
        <w:t xml:space="preserve"> ZCTA-level dataset that integrates rooftop PV, storage, EV charging, and contextual controls from </w:t>
      </w:r>
      <w:r w:rsidR="00306FC0" w:rsidRPr="00306FC0">
        <w:t>American Community Survey</w:t>
      </w:r>
      <w:r w:rsidR="00306FC0">
        <w:t xml:space="preserve"> (ACS)</w:t>
      </w:r>
      <w:r w:rsidR="00306FC0" w:rsidRPr="00306FC0">
        <w:t xml:space="preserve">, NASA Prediction </w:t>
      </w:r>
      <w:r w:rsidR="00F41C78">
        <w:t>o</w:t>
      </w:r>
      <w:r w:rsidR="00306FC0" w:rsidRPr="00306FC0">
        <w:t>f Worldwide Energy Resources</w:t>
      </w:r>
      <w:r w:rsidR="00306FC0">
        <w:t xml:space="preserve"> (POWER)</w:t>
      </w:r>
      <w:r>
        <w:t xml:space="preserve">, utility territory, and electricity demand sources. Using a consistent model ladder, </w:t>
      </w:r>
      <w:r w:rsidR="00596EAB">
        <w:t>we</w:t>
      </w:r>
      <w:r>
        <w:t xml:space="preserve"> show that race remains statistically associated with DER adoption across multiple technologies and that the resulting disparity patterns differ meaningfully across PV, storage, and </w:t>
      </w:r>
      <w:r w:rsidR="00F41C78">
        <w:t xml:space="preserve">EV </w:t>
      </w:r>
      <w:r>
        <w:t xml:space="preserve">charging. </w:t>
      </w:r>
      <w:r w:rsidR="00F41C78">
        <w:t xml:space="preserve">A </w:t>
      </w:r>
      <w:r w:rsidR="00F41C78" w:rsidRPr="00F41C78">
        <w:t xml:space="preserve">multi-technology study offers new insights </w:t>
      </w:r>
      <w:r w:rsidR="00F41C78">
        <w:t xml:space="preserve">that go </w:t>
      </w:r>
      <w:r w:rsidR="00F41C78" w:rsidRPr="00F41C78">
        <w:t xml:space="preserve">beyond prior studies </w:t>
      </w:r>
      <w:r w:rsidR="00F41C78">
        <w:t xml:space="preserve">which </w:t>
      </w:r>
      <w:r w:rsidR="00F41C78" w:rsidRPr="00F41C78">
        <w:t>focused solely on specific DERs, such as solar or storage.</w:t>
      </w:r>
      <w:r w:rsidR="00F41C78">
        <w:t xml:space="preserve"> We find deeper distributional inequities in battery storage than with solar, and that EV charging differences are </w:t>
      </w:r>
      <w:r w:rsidR="00F41C78" w:rsidRPr="00F41C78">
        <w:t>predominantly driven by the patterns in transportation infrastructure</w:t>
      </w:r>
      <w:r w:rsidR="00F41C78">
        <w:t xml:space="preserve"> rather than racial or socioeconomic factors. </w:t>
      </w:r>
      <w:r>
        <w:t>The results support a race-aware interpretation of DER equity and challenge the assumption that race-neutral planning frameworks are sufficient for equitable clean energy deployment</w:t>
      </w:r>
      <w:r w:rsidR="00152136">
        <w:t>.</w:t>
      </w:r>
    </w:p>
    <w:p w14:paraId="3EEB9C5C" w14:textId="77777777" w:rsidR="00B86A12" w:rsidRDefault="00000000">
      <w:pPr>
        <w:pStyle w:val="Heading1"/>
      </w:pPr>
      <w:r>
        <w:lastRenderedPageBreak/>
        <w:t>1. Introduction</w:t>
      </w:r>
    </w:p>
    <w:p w14:paraId="6FDA4A77" w14:textId="27DAAB98" w:rsidR="00B86A12" w:rsidRDefault="00000000">
      <w:pPr>
        <w:pStyle w:val="Heading2"/>
      </w:pPr>
      <w:r>
        <w:t>1.1 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w:t>
      </w:r>
      <w:r w:rsidR="00C4201B">
        <w:t xml:space="preserve"> </w:t>
      </w:r>
      <w:r>
        <w:t>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rsidR="00C4201B">
        <w:t xml:space="preserve"> </w:t>
      </w:r>
      <w:r>
        <w:t xml:space="preserve">California is an especially useful case because it combines high DER penetration, ambitious climate policy, substantial socioeconomic diversity, and pronounced spatial inequality. A practical obstacle, however, is that DER data </w:t>
      </w:r>
      <w:r w:rsidR="00152136">
        <w:t>is</w:t>
      </w:r>
      <w:r>
        <w:t xml:space="preserve">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711D21C7" w14:textId="77777777" w:rsidR="00B86A12" w:rsidRDefault="00000000">
      <w:pPr>
        <w:pStyle w:val="Heading2"/>
      </w:pPr>
      <w:r w:rsidRPr="00152136">
        <w:t>1.2 Research question</w:t>
      </w:r>
    </w:p>
    <w:p w14:paraId="452A2BE7" w14:textId="4E81F8A5" w:rsidR="00B86A12" w:rsidRDefault="00000000">
      <w:r>
        <w:t xml:space="preserve">The central research question is: </w:t>
      </w:r>
      <w:r w:rsidRPr="00152136">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w:t>
      </w:r>
      <w:r w:rsidR="00152136">
        <w:t xml:space="preserve"> </w:t>
      </w:r>
      <w:r>
        <w:t>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rsidR="004F5336">
        <w:t xml:space="preserve"> The rest of the paper is structured as follow.</w:t>
      </w:r>
    </w:p>
    <w:p w14:paraId="38F4B20A" w14:textId="77777777" w:rsidR="00B86A12" w:rsidRDefault="00000000">
      <w:pPr>
        <w:pStyle w:val="Heading1"/>
      </w:pPr>
      <w:bookmarkStart w:id="0" w:name="_Ref233983716"/>
      <w:r>
        <w:t>2. Background and Prior Work</w:t>
      </w:r>
      <w:bookmarkEnd w:id="0"/>
    </w:p>
    <w:p w14:paraId="1E5F05CC" w14:textId="77777777" w:rsidR="00B86A12" w:rsidRDefault="00000000">
      <w:pPr>
        <w:pStyle w:val="Heading2"/>
      </w:pPr>
      <w:r>
        <w:t>2.1 Foundational DER and PV adoption work</w:t>
      </w:r>
    </w:p>
    <w:p w14:paraId="24113023" w14:textId="59BDEC7B" w:rsidR="008448B0" w:rsidRDefault="00000000">
      <w:r>
        <w:t xml:space="preserve">The closest foundational studies focus on </w:t>
      </w:r>
      <w:r w:rsidR="00055630">
        <w:t xml:space="preserve">the adoption of </w:t>
      </w:r>
      <w:r>
        <w:t>distributed solar</w:t>
      </w:r>
      <w:r w:rsidR="00055630">
        <w:t xml:space="preserve">, including one by </w:t>
      </w:r>
      <w:r>
        <w:t>Lukanov and Krieger (2019)</w:t>
      </w:r>
      <w:r w:rsidR="00055630">
        <w:t>, which</w:t>
      </w:r>
      <w:r>
        <w:t xml:space="preserve"> analyze</w:t>
      </w:r>
      <w:r w:rsidR="00055630">
        <w:t>s</w:t>
      </w:r>
      <w:r>
        <w:t xml:space="preserve"> California PV deployment using place-based socioeconomic factors and show</w:t>
      </w:r>
      <w:r w:rsidR="00055630">
        <w:t>s</w:t>
      </w:r>
      <w:r>
        <w:t xml:space="preserve"> that adoption is patterned by neighborhood conditions</w:t>
      </w:r>
      <w:r w:rsidR="00FC79A9">
        <w:t xml:space="preserve">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CB57CA" w:rsidRPr="00CB57CA">
            <w:rPr>
              <w:rFonts w:cs="Times New Roman"/>
              <w:color w:val="000000"/>
            </w:rPr>
            <w:t>[1]</w:t>
          </w:r>
        </w:sdtContent>
      </w:sdt>
      <w:r w:rsidR="00055630">
        <w:t xml:space="preserve">. </w:t>
      </w:r>
      <w:r>
        <w:t>Sunter, Castellanos, and Kammen (2019) extend the equity lens by showing that racial and ethnic disparities in rooftop PV deployment persist even after accounting for income and related socioeconomic variables</w:t>
      </w:r>
      <w:r w:rsidR="00055630">
        <w:t xml:space="preserve">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CB57CA" w:rsidRPr="00CB57CA">
            <w:rPr>
              <w:rFonts w:cs="Times New Roman"/>
              <w:color w:val="000000"/>
            </w:rPr>
            <w:t>[2]</w:t>
          </w:r>
        </w:sdtContent>
      </w:sdt>
      <w:r>
        <w:t>. At a different spatial scale, Kurdgelashvili, Kwon, and Larsen (2019) demonstrate how adoption can be modeled empirically at the county level in California</w:t>
      </w:r>
      <w:r w:rsidR="00D834A0">
        <w:t xml:space="preserve">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CB57CA" w:rsidRPr="00CB57CA">
            <w:rPr>
              <w:rFonts w:cs="Times New Roman"/>
              <w:color w:val="000000"/>
            </w:rPr>
            <w:t>[3]</w:t>
          </w:r>
        </w:sdtContent>
      </w:sdt>
      <w:r>
        <w:t xml:space="preserve">. </w:t>
      </w:r>
      <w:r w:rsidR="00554FC3">
        <w:t>Some studies</w:t>
      </w:r>
      <w:r w:rsidR="008448B0" w:rsidRPr="008448B0">
        <w:t xml:space="preserve"> ha</w:t>
      </w:r>
      <w:r w:rsidR="00554FC3">
        <w:t>ve</w:t>
      </w:r>
      <w:r w:rsidR="008448B0" w:rsidRPr="008448B0">
        <w:t xml:space="preserve"> </w:t>
      </w:r>
      <w:r w:rsidR="008448B0">
        <w:t xml:space="preserve">investigated whether </w:t>
      </w:r>
      <w:r w:rsidR="008448B0" w:rsidRPr="008448B0">
        <w:t>local demographic composition, housing conditions, and siting patterns</w:t>
      </w:r>
      <w:r w:rsidR="008448B0">
        <w:t xml:space="preserve"> </w:t>
      </w:r>
      <w:r w:rsidR="00554FC3">
        <w:t>affe</w:t>
      </w:r>
      <w:r w:rsidR="008448B0">
        <w:t>ct PV equity</w:t>
      </w:r>
      <w:r w:rsidR="008448B0" w:rsidRPr="008448B0">
        <w:t>. Reames (2020) and Darghouth et al. (2022) show that rooftop solar access remains uneven across communities, while Sigrist et al. (2025) further argue that inequitable siting may reduce the carbon value of residential solar deployment</w:t>
      </w:r>
      <w:r w:rsidR="008448B0">
        <w:t xml:space="preserve">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CB57CA" w:rsidRPr="00CB57CA">
            <w:rPr>
              <w:rFonts w:cs="Times New Roman"/>
              <w:color w:val="000000"/>
            </w:rPr>
            <w:t>[4][5][6]</w:t>
          </w:r>
        </w:sdtContent>
      </w:sdt>
      <w:r w:rsidR="008448B0" w:rsidRPr="008448B0">
        <w:t>.</w:t>
      </w:r>
      <w:r w:rsidR="008448B0">
        <w:t xml:space="preserve"> Together, these studies provide the methodological starting point for the present paper.</w:t>
      </w:r>
    </w:p>
    <w:p w14:paraId="6B5860D6" w14:textId="77777777" w:rsidR="00663EFC" w:rsidRDefault="00663EFC" w:rsidP="00663EFC">
      <w:pPr>
        <w:pStyle w:val="Heading2"/>
      </w:pPr>
      <w:r>
        <w:lastRenderedPageBreak/>
        <w:t>2.2 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sidRPr="00B74DA5">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sidRPr="00B74DA5">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sidRPr="00B74DA5">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pPr>
      <w:r>
        <w:t>2.3 Race, energy burden, and race-neutral policy critiques</w:t>
      </w:r>
    </w:p>
    <w:p w14:paraId="1B7F2220" w14:textId="418646AC" w:rsidR="00B86A12" w:rsidRPr="00B74DA5" w:rsidRDefault="00000000">
      <w:pPr>
        <w:rPr>
          <w:color w:val="000000" w:themeColor="text1"/>
        </w:rPr>
      </w:pPr>
      <w:r w:rsidRPr="00B74DA5">
        <w:rPr>
          <w:color w:val="000000" w:themeColor="text1"/>
        </w:rPr>
        <w:t>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w:t>
      </w:r>
      <w:r w:rsidR="00D834A0" w:rsidRPr="00B74DA5">
        <w:rPr>
          <w:color w:val="000000" w:themeColor="text1"/>
        </w:rPr>
        <w:t xml:space="preserv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CB57CA" w:rsidRPr="00B74DA5">
            <w:rPr>
              <w:rFonts w:cs="Times New Roman"/>
              <w:color w:val="000000" w:themeColor="text1"/>
            </w:rPr>
            <w:t>[7]</w:t>
          </w:r>
        </w:sdtContent>
      </w:sdt>
      <w:r w:rsidRPr="00B74DA5">
        <w:rPr>
          <w:color w:val="000000" w:themeColor="text1"/>
        </w:rPr>
        <w:t>. Greenlining’s</w:t>
      </w:r>
      <w:r w:rsidRPr="00B74DA5">
        <w:rPr>
          <w:i/>
          <w:color w:val="000000" w:themeColor="text1"/>
        </w:rPr>
        <w:t xml:space="preserve"> Demystifying Equity in California’s Energy Grid Transition</w:t>
      </w:r>
      <w:r w:rsidRPr="00B74DA5">
        <w:rPr>
          <w:color w:val="000000" w:themeColor="text1"/>
        </w:rPr>
        <w:t xml:space="preserve"> similarly argues that infrastructure and transition planning cannot be treated as race-neutral if the underlying burdens and access conditions are not race-neutral</w:t>
      </w:r>
      <w:r w:rsidR="00A955AA" w:rsidRPr="00B74DA5">
        <w:rPr>
          <w:color w:val="000000" w:themeColor="text1"/>
        </w:rPr>
        <w:t xml:space="preserve">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sidR="00CB57CA" w:rsidRPr="00B74DA5">
            <w:rPr>
              <w:rFonts w:cs="Times New Roman"/>
              <w:color w:val="000000" w:themeColor="text1"/>
            </w:rPr>
            <w:t>[8]</w:t>
          </w:r>
        </w:sdtContent>
      </w:sdt>
      <w:r w:rsidRPr="00B74DA5">
        <w:rPr>
          <w:color w:val="000000" w:themeColor="text1"/>
        </w:rPr>
        <w:t xml:space="preserve">. </w:t>
      </w:r>
      <w:r w:rsidR="00554FC3" w:rsidRPr="00B74DA5">
        <w:rPr>
          <w:color w:val="000000" w:themeColor="text1"/>
        </w:rPr>
        <w:t xml:space="preserve">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CB57CA" w:rsidRPr="00B74DA5">
            <w:rPr>
              <w:rFonts w:cs="Times New Roman"/>
              <w:color w:val="000000" w:themeColor="text1"/>
            </w:rPr>
            <w:t>[9]</w:t>
          </w:r>
        </w:sdtContent>
      </w:sdt>
      <w:r w:rsidR="00554FC3" w:rsidRPr="00B74DA5">
        <w:rPr>
          <w:color w:val="000000" w:themeColor="text1"/>
        </w:rPr>
        <w:t>. This matters because DER adoption can affect household energy burden; recent Berkeley Lab work</w:t>
      </w:r>
      <w:r w:rsidR="00A46E38" w:rsidRPr="00B74DA5">
        <w:rPr>
          <w:color w:val="000000" w:themeColor="text1"/>
        </w:rPr>
        <w:t>, Forrester et al. (2024),</w:t>
      </w:r>
      <w:r w:rsidR="00554FC3" w:rsidRPr="00B74DA5">
        <w:rPr>
          <w:color w:val="000000" w:themeColor="text1"/>
        </w:rPr>
        <w:t xml:space="preserve">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sidR="00CB57CA" w:rsidRPr="00B74DA5">
            <w:rPr>
              <w:rFonts w:cs="Times New Roman"/>
              <w:color w:val="000000" w:themeColor="text1"/>
            </w:rPr>
            <w:t>[10]</w:t>
          </w:r>
        </w:sdtContent>
      </w:sdt>
      <w:r w:rsidR="00554FC3" w:rsidRPr="00B74DA5">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pPr>
      <w:r>
        <w:t>2.4 Infrastructure constraints and technical limits</w:t>
      </w:r>
    </w:p>
    <w:p w14:paraId="5E369DD1" w14:textId="0AA96F85" w:rsidR="00B86A12" w:rsidRDefault="00000000">
      <w:r>
        <w:t>Another branch of the literature emphasizes that adoption disparities are not explained by demographics alone. Brockway et al. (2021) show that hosting-capacity constraints in California are socially patterned and can limit DER deployment in disadvantaged communities</w:t>
      </w:r>
      <w:r w:rsidR="00A955AA">
        <w:t xml:space="preserve">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sidR="00CB57CA" w:rsidRPr="00CB57CA">
            <w:rPr>
              <w:rFonts w:eastAsia="Times New Roman" w:cs="Times New Roman"/>
              <w:color w:val="000000"/>
            </w:rPr>
            <w:t>[11]</w:t>
          </w:r>
        </w:sdtContent>
      </w:sdt>
      <w:r>
        <w:t>. Related work by Caballero-Peña et al. (2022) and FERC Staff (2018) reinforces the point that technical and locational constraints can amplify preexisting inequities</w:t>
      </w:r>
      <w:r w:rsidR="00294CAB">
        <w:t xml:space="preserve">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CB57CA" w:rsidRPr="00CB57CA">
            <w:rPr>
              <w:rFonts w:cs="Times New Roman"/>
              <w:color w:val="000000"/>
            </w:rPr>
            <w:t>[12]</w:t>
          </w:r>
        </w:sdtContent>
      </w:sdt>
      <w:r w:rsidR="00B6658C">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sidR="00CB57CA" w:rsidRPr="00CB57CA">
            <w:rPr>
              <w:rFonts w:cs="Times New Roman"/>
              <w:color w:val="000000"/>
            </w:rPr>
            <w:t>[13]</w:t>
          </w:r>
        </w:sdtContent>
      </w:sdt>
      <w:r w:rsidR="00B6658C">
        <w:t xml:space="preserve">. </w:t>
      </w:r>
      <w:r>
        <w:t>The present paper does not model circuit-level hosting capacity directly, but it treats institutional context, demand, and installed</w:t>
      </w:r>
      <w:r w:rsidR="00B6658C">
        <w:t xml:space="preserve"> </w:t>
      </w:r>
      <w:r>
        <w:t>energy proxies as part of the broader environment in which adoption occurs.</w:t>
      </w:r>
      <w:r w:rsidR="00A10AE9">
        <w:t xml:space="preserve"> </w:t>
      </w:r>
      <w:r w:rsidR="00A10AE9" w:rsidRPr="00A10AE9">
        <w:t xml:space="preserve">McAllister (2016) similarly frames hosting capacity and locational value as central policy considerations, emphasizing that </w:t>
      </w:r>
      <w:r w:rsidR="00A10AE9" w:rsidRPr="00A10AE9">
        <w:lastRenderedPageBreak/>
        <w:t>DERs do not provide uniform grid value across space</w:t>
      </w:r>
      <w:r w:rsidR="00A10AE9">
        <w:t xml:space="preserv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CB57CA">
            <w:rPr>
              <w:rFonts w:cs="Times New Roman"/>
              <w:color w:val="000000"/>
            </w:rPr>
            <w:t>[14]</w:t>
          </w:r>
        </w:sdtContent>
      </w:sdt>
      <w:r w:rsidR="00A10AE9" w:rsidRPr="00A10AE9">
        <w:t>. Aydin et al. (2025) propose a fairness-aware approach to dynamic hosting capacity, showing that hosting-capacity management can be designed not only to maximize DER integration but also to account for distributional equity across communities</w:t>
      </w:r>
      <w:r w:rsidR="00A10AE9">
        <w:t xml:space="preserve">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CB57CA" w:rsidRPr="00CB57CA">
            <w:rPr>
              <w:rFonts w:cs="Times New Roman"/>
              <w:color w:val="000000"/>
            </w:rPr>
            <w:t>[15]</w:t>
          </w:r>
        </w:sdtContent>
      </w:sdt>
      <w:r w:rsidR="000B5F0F">
        <w:t xml:space="preserve">. </w:t>
      </w:r>
      <w:r w:rsidR="00A10AE9">
        <w:t>T</w:t>
      </w:r>
      <w:r w:rsidR="00A10AE9" w:rsidRPr="00A10AE9">
        <w:t>he DOE i2X Distributed Energy Resource Interconnection Roadmap frames DER interconnection as a national bottleneck for realizing DER benefits such as resilience, reliability, decarbonization, and customer choice</w:t>
      </w:r>
      <w:r w:rsidR="000B5F0F">
        <w:t xml:space="preserv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CB57CA" w:rsidRPr="00CB57CA">
            <w:rPr>
              <w:rFonts w:cs="Times New Roman"/>
              <w:color w:val="000000"/>
            </w:rPr>
            <w:t>[16]</w:t>
          </w:r>
        </w:sdtContent>
      </w:sdt>
      <w:r w:rsidR="00A10AE9">
        <w:t xml:space="preserve">. </w:t>
      </w:r>
      <w:r w:rsidR="00A10AE9" w:rsidRPr="00A10AE9">
        <w:t>Taken together, these sources suggest that DER inequity should be understood as both a social and grid-infrastructure problem.</w:t>
      </w:r>
    </w:p>
    <w:p w14:paraId="70514925" w14:textId="77777777" w:rsidR="00B86A12" w:rsidRDefault="00000000">
      <w:pPr>
        <w:pStyle w:val="Heading2"/>
      </w:pPr>
      <w:r>
        <w:t>2.5 Other DERs, storage, flexible loads, and planning frameworks</w:t>
      </w:r>
    </w:p>
    <w:p w14:paraId="796FF1B2" w14:textId="1E07C4DE" w:rsidR="00B86A12" w:rsidRDefault="00000000" w:rsidP="00C4201B">
      <w:r>
        <w:t>Recent work also encourages expanding the equity conversation beyond solar PV alone. Clean Energy Group (2021) frames storage as an equity asset that can reduce energy burden and improve resilience if deployed inclusively</w:t>
      </w:r>
      <w:r w:rsidR="00D72967">
        <w:t xml:space="preserve">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CB57CA" w:rsidRPr="00CB57CA">
            <w:rPr>
              <w:rFonts w:cs="Times New Roman"/>
              <w:color w:val="000000"/>
            </w:rPr>
            <w:t>[17]</w:t>
          </w:r>
        </w:sdtContent>
      </w:sdt>
      <w:r>
        <w:t xml:space="preserve">. Flexible-DER coordination work at NREL and related DOE planning studies </w:t>
      </w:r>
      <w:r w:rsidR="00D72967">
        <w:t>shows</w:t>
      </w:r>
      <w:r>
        <w:t xml:space="preserve"> how equity concerns can be embedded into operational and planning frameworks rather than treated as separate from system design. Stokes and Warshaw (2022), Borenstein and Bushnell (2016), Gridworks (2022), SEIA/Vote Solar community-solar critiques,</w:t>
      </w:r>
      <w:r w:rsidR="00C4201B">
        <w:t xml:space="preserve"> CA Public Utilities Commission (CPUC) </w:t>
      </w:r>
      <w:r>
        <w:t>roadmap documents, and broader socio-technical planning papers all reinforce the same point: equitable DER deployment depends on both social conditions and institutional design choices</w:t>
      </w:r>
      <w:r w:rsidR="00D72967">
        <w:t xml:space="preserve">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sidR="00CB57CA" w:rsidRPr="00CB57CA">
            <w:rPr>
              <w:rFonts w:cs="Times New Roman"/>
              <w:color w:val="000000"/>
            </w:rPr>
            <w:t>[18][19][20][21]</w:t>
          </w:r>
        </w:sdtContent>
      </w:sdt>
      <w:r w:rsidR="000B5F0F">
        <w:rPr>
          <w:rFonts w:cs="Times New Roman"/>
          <w:color w:val="000000"/>
        </w:rPr>
        <w:t xml:space="preserve">. </w:t>
      </w:r>
      <w:r w:rsidR="00437447" w:rsidRPr="00437447">
        <w:rPr>
          <w:rFonts w:cs="Times New Roman"/>
          <w:color w:val="000000"/>
        </w:rPr>
        <w:t>Storage and paired solar-storage systems also require separate attention because their adoption is shaped by resilience value, rebate design, and household capacity to finance upfront costs. Alipour et al. (2022) identif</w:t>
      </w:r>
      <w:r w:rsidR="00437447">
        <w:rPr>
          <w:rFonts w:cs="Times New Roman"/>
          <w:color w:val="000000"/>
        </w:rPr>
        <w:t>y</w:t>
      </w:r>
      <w:r w:rsidR="00437447" w:rsidRPr="00437447">
        <w:rPr>
          <w:rFonts w:cs="Times New Roman"/>
          <w:color w:val="000000"/>
        </w:rPr>
        <w:t xml:space="preserve"> motivations and barriers for residential solar-plus-storage adoption, while community-storage and storage-equity reports emphasize that storage can either reinforce existing inequities or broaden resilience benefits depending on ownership and program design</w:t>
      </w:r>
      <w:r w:rsidR="00437447">
        <w:rPr>
          <w:rFonts w:cs="Times New Roman"/>
          <w:color w:val="000000"/>
        </w:rPr>
        <w:t xml:space="preserve">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CB57CA" w:rsidRPr="00CB57CA">
            <w:rPr>
              <w:rFonts w:cs="Times New Roman"/>
              <w:color w:val="000000"/>
            </w:rPr>
            <w:t>[22]</w:t>
          </w:r>
        </w:sdtContent>
      </w:sdt>
      <w:r w:rsidR="00437447" w:rsidRPr="00437447">
        <w:rPr>
          <w:rFonts w:cs="Times New Roman"/>
          <w:color w:val="000000"/>
        </w:rPr>
        <w:t>.</w:t>
      </w:r>
    </w:p>
    <w:p w14:paraId="56983106" w14:textId="5F79E5F3" w:rsidR="00B86A12" w:rsidRDefault="00000000">
      <w:pPr>
        <w:pStyle w:val="Heading2"/>
      </w:pPr>
      <w:r w:rsidRPr="00C4201B">
        <w:t>2.6 Gap and</w:t>
      </w:r>
      <w:r w:rsidR="004A7202">
        <w:t xml:space="preserve"> novel</w:t>
      </w:r>
      <w:r w:rsidRPr="00C4201B">
        <w:t xml:space="preserve">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w:t>
      </w:r>
      <w:r w:rsidR="004378CC">
        <w:t xml:space="preserve">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sidR="00CB57CA" w:rsidRPr="00CB57CA">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CB57CA" w:rsidRPr="00CB57CA">
            <w:rPr>
              <w:rFonts w:cs="Times New Roman"/>
              <w:color w:val="000000"/>
            </w:rPr>
            <w:t>[24]</w:t>
          </w:r>
        </w:sdtContent>
      </w:sdt>
      <w:r>
        <w:t>.</w:t>
      </w:r>
    </w:p>
    <w:p w14:paraId="182D8C40" w14:textId="1DD75A6C"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56ABCEE8" w14:textId="30C8C24C" w:rsidR="00663EFC" w:rsidRDefault="004A7202">
      <w:r>
        <w:t>Thus, t</w:t>
      </w:r>
      <w:r w:rsidR="00663EFC">
        <w:t xml:space="preserve">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w:t>
      </w:r>
      <w:r w:rsidR="00CB57CA">
        <w:t>solar</w:t>
      </w:r>
      <w:r w:rsidR="0079640E">
        <w:t>,</w:t>
      </w:r>
      <w:r w:rsidR="00CB57CA">
        <w:t xml:space="preserve"> and</w:t>
      </w:r>
      <w:r w:rsidR="00663EFC">
        <w:t xml:space="preserve"> driven by infrastructure</w:t>
      </w:r>
      <w:r w:rsidR="003C3701">
        <w:t xml:space="preserve"> factors</w:t>
      </w:r>
      <w:r w:rsidR="00663EFC">
        <w:t xml:space="preserve"> rather than demographics for EV charging. That divergence is direct evidence against the sufficiency of race-neutral DER planning.</w:t>
      </w:r>
    </w:p>
    <w:p w14:paraId="16ACAA42" w14:textId="77777777" w:rsidR="009B78FE" w:rsidRDefault="00000000" w:rsidP="003C3701">
      <w:pPr>
        <w:pStyle w:val="Heading1"/>
      </w:pPr>
      <w:r>
        <w:lastRenderedPageBreak/>
        <w:t>3. Data and Measures</w:t>
      </w:r>
    </w:p>
    <w:p w14:paraId="790C6669" w14:textId="77777777" w:rsidR="009B78FE" w:rsidRDefault="009B78FE" w:rsidP="009B78FE">
      <w:pPr>
        <w:pStyle w:val="Caption"/>
        <w:keepNext/>
      </w:pPr>
      <w:r>
        <w:t>Table 1: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sidRPr="00E713DB">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sidRPr="00E713DB">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1"/>
      </w:pPr>
      <w:r w:rsidRPr="003C3701">
        <w:rPr>
          <w:rStyle w:val="Heading2Char"/>
          <w:b/>
          <w:bCs/>
        </w:rPr>
        <w:t>3.1 Unit of analysis</w:t>
      </w:r>
    </w:p>
    <w:p w14:paraId="01CCE99B" w14:textId="77E5593D" w:rsidR="00B86A12" w:rsidRDefault="00000000">
      <w:r>
        <w:t>The unit of analysis is the ZIP-code level, implemented using Census ZIP Code Tabulation Areas (ZCTAs</w:t>
      </w:r>
      <w:r w:rsidR="003C3701">
        <w:t xml:space="preserve">), </w:t>
      </w:r>
      <w:r w:rsidR="003C3701" w:rsidRPr="007E05F8">
        <w:rPr>
          <w:highlight w:val="yellow"/>
        </w:rPr>
        <w:t xml:space="preserve"> </w:t>
      </w:r>
      <w:r w:rsidR="003C3701" w:rsidRPr="003C3701">
        <w:t>which are geographic entities defined by the U.S. Census Bureau to approximate ZIP code service areas.</w:t>
      </w:r>
      <w:r w:rsidR="003C3701">
        <w:t xml:space="preserve"> </w:t>
      </w:r>
      <w:r>
        <w:t>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w:t>
      </w:r>
      <w:r w:rsidR="00DB0D71">
        <w:t xml:space="preserve"> All the important variables used for the targets, predictors, and controls are defined in Table 1.</w:t>
      </w:r>
    </w:p>
    <w:p w14:paraId="2D2A8FF0" w14:textId="77777777" w:rsidR="00B86A12" w:rsidRDefault="00000000">
      <w:pPr>
        <w:pStyle w:val="Heading2"/>
      </w:pPr>
      <w:r>
        <w:t>3.2 Outcomes</w:t>
      </w:r>
    </w:p>
    <w:p w14:paraId="54E0BF9B" w14:textId="38E88646" w:rsidR="00B86A12" w:rsidRDefault="00000000">
      <w:bookmarkStart w:id="1" w:name="OLE_LINK1"/>
      <w:r>
        <w:t xml:space="preserve">To make outcomes comparable across technologies, each DER measure is converted into a population-normalized intensity metric and then transformed </w:t>
      </w:r>
      <w:r w:rsidRPr="00B74DA5">
        <w:t>using</w:t>
      </w:r>
      <w:r w:rsidR="00B74DA5">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1+rate</m:t>
                </m:r>
              </m:e>
            </m:d>
          </m:e>
        </m:func>
      </m:oMath>
      <w:r w:rsidR="00673DEC">
        <w:rPr>
          <w:rFonts w:ascii="Courier New" w:hAnsi="Courier New"/>
        </w:rPr>
        <w:t xml:space="preserve"> </w:t>
      </w:r>
      <w:r w:rsidR="00673DEC">
        <w:rPr>
          <w:rFonts w:cs="Times New Roman"/>
        </w:rPr>
        <w:t xml:space="preserve">where </w:t>
      </w:r>
      <m:oMath>
        <m:r>
          <w:rPr>
            <w:rFonts w:ascii="Cambria Math" w:hAnsi="Cambria Math" w:cs="Times New Roman"/>
          </w:rPr>
          <m:t>rate</m:t>
        </m:r>
      </m:oMath>
      <w:r w:rsidR="00673DEC">
        <w:t xml:space="preserve"> is the per-capita DER deployment metric</w:t>
      </w:r>
      <w:r>
        <w:t>.</w:t>
      </w:r>
      <w:bookmarkEnd w:id="1"/>
      <w:r>
        <w:t xml:space="preserve"> The three primary outcomes are</w:t>
      </w:r>
      <w:r w:rsidR="00BE3296">
        <w:t xml:space="preserv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lastRenderedPageBreak/>
        <w:t>residents. Supplementary analysis also examines charger subtypes and a wind-capacity outcome used as contextual evidence rather than as a headline policy result.</w:t>
      </w:r>
    </w:p>
    <w:p w14:paraId="4D2390D9" w14:textId="77777777" w:rsidR="00B86A12" w:rsidRDefault="00000000">
      <w:pPr>
        <w:pStyle w:val="Heading2"/>
      </w:pPr>
      <w:r>
        <w:t>3.3 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sidR="00CE3C99">
        <w:rPr>
          <w:rFonts w:ascii="Courier New" w:hAnsi="Courier New"/>
          <w:sz w:val="18"/>
        </w:rPr>
        <w:t xml:space="preserve"> </w:t>
      </w:r>
      <w:r>
        <w:rPr>
          <w:rFonts w:ascii="Courier New" w:hAnsi="Courier New"/>
          <w:sz w:val="18"/>
        </w:rPr>
        <w:t>log_median_household_income</w:t>
      </w:r>
      <w:r>
        <w:t>,</w:t>
      </w:r>
      <w:r>
        <w:rPr>
          <w:rFonts w:ascii="Courier New" w:hAnsi="Courier New"/>
          <w:sz w:val="18"/>
        </w:rPr>
        <w:t xml:space="preserve"> poverty_rate</w:t>
      </w:r>
      <w:r>
        <w:t xml:space="preserve">, and in expanded specifications variables such as educational attainment and housing value. For descriptive smoothing plots, </w:t>
      </w:r>
      <w:r w:rsidR="00E45693">
        <w:t>we</w:t>
      </w:r>
      <w:r>
        <w:t xml:space="preserve"> also use a combined non-white share equal to the sum of the Black, Hispanic, and Asian shares in the merged ACS export.</w:t>
      </w:r>
    </w:p>
    <w:p w14:paraId="79560834" w14:textId="77777777" w:rsidR="00B86A12" w:rsidRDefault="00000000">
      <w:pPr>
        <w:pStyle w:val="Heading2"/>
      </w:pPr>
      <w:r>
        <w:t>3.4 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w:t>
      </w:r>
      <w:r w:rsidR="00CE3C99">
        <w:t xml:space="preserve"> </w:t>
      </w:r>
      <w:r>
        <w:t xml:space="preserve">The </w:t>
      </w:r>
      <w:r w:rsidR="00CE3C99">
        <w:t>study’s</w:t>
      </w:r>
      <w:r>
        <w:t xml:space="preserve"> conceptual framing treats DERs as behind-the-meter resources </w:t>
      </w:r>
      <w:r w:rsidR="004A1694">
        <w:t xml:space="preserve">with capacities </w:t>
      </w:r>
      <w:r>
        <w:t xml:space="preserve">below 5 MW, but several source-specific cleaning steps use tighter thresholds in </w:t>
      </w:r>
      <w:r w:rsidR="004A1694">
        <w:t xml:space="preserve">the </w:t>
      </w:r>
      <w:r>
        <w:t xml:space="preserve">code. The empirical analysis, therefore, </w:t>
      </w:r>
      <w:r w:rsidR="004A1694">
        <w:t xml:space="preserve">uses the processed dataset built by the </w:t>
      </w:r>
      <w:r w:rsidR="00CE3C99">
        <w:t>workflow</w:t>
      </w:r>
      <w:r w:rsidR="004A1694">
        <w:t xml:space="preserve"> rather than applying a different threshold to each</w:t>
      </w:r>
      <w:r>
        <w:t xml:space="preserve">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extLst>
                        <a:ext uri="{96DAC541-7B7A-43D3-8B79-37D633B846F1}">
                          <asvg:svgBlip xmlns:asvg="http://schemas.microsoft.com/office/drawing/2016/SVG/main" r:embed="rId7"/>
                        </a:ext>
                      </a:extLst>
                    </a:blip>
                    <a:stretch>
                      <a:fillRect/>
                    </a:stretch>
                  </pic:blipFill>
                  <pic:spPr>
                    <a:xfrm>
                      <a:off x="0" y="0"/>
                      <a:ext cx="5622640" cy="3917999"/>
                    </a:xfrm>
                    <a:prstGeom prst="rect">
                      <a:avLst/>
                    </a:prstGeom>
                  </pic:spPr>
                </pic:pic>
              </a:graphicData>
            </a:graphic>
          </wp:inline>
        </w:drawing>
      </w:r>
    </w:p>
    <w:p w14:paraId="758BB009" w14:textId="2857DAB1" w:rsidR="00B86A12" w:rsidRDefault="00F121D0" w:rsidP="00F121D0">
      <w:pPr>
        <w:pStyle w:val="Caption"/>
        <w:jc w:val="center"/>
      </w:pPr>
      <w:r>
        <w:t>Figure 1</w:t>
      </w:r>
      <w:r w:rsidR="00F82E29">
        <w:t>:</w:t>
      </w:r>
      <w:r>
        <w:t xml:space="preserve">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pPr>
      <w:r>
        <w:lastRenderedPageBreak/>
        <w:t>3.5 Descriptive distributions</w:t>
      </w:r>
    </w:p>
    <w:p w14:paraId="127BCF8E" w14:textId="1FCD42FE" w:rsidR="00B86A12" w:rsidRDefault="00000000">
      <w:r>
        <w:t xml:space="preserve">Before turning to regression coefficients, it is useful to see how uneven the raw distributions already are. </w:t>
      </w:r>
      <w:r w:rsidR="00CE3C99">
        <w:t xml:space="preserve">Figure 1 shows that the DER adoption is quite uneven and heterogeneous across the state for all three DER types (solar PV, storage, and EV charging). </w:t>
      </w:r>
      <w:r>
        <w:t>Figure 2 shows that the three DER outcomes are right-skewed, while the socioeconomic context variables span materially different neighborhood conditions. Table 2 then summarizes the analysis sample numerically so th</w:t>
      </w:r>
      <w:r w:rsidR="009B78FE">
        <w:t>at the</w:t>
      </w:r>
      <w:r>
        <w:t xml:space="preserv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8">
                      <a:extLst>
                        <a:ext uri="{96DAC541-7B7A-43D3-8B79-37D633B846F1}">
                          <asvg:svgBlip xmlns:asvg="http://schemas.microsoft.com/office/drawing/2016/SVG/main" r:embed="rId9"/>
                        </a:ext>
                      </a:extLst>
                    </a:blip>
                    <a:stretch>
                      <a:fillRect/>
                    </a:stretch>
                  </pic:blipFill>
                  <pic:spPr>
                    <a:xfrm>
                      <a:off x="0" y="0"/>
                      <a:ext cx="6400800" cy="3474720"/>
                    </a:xfrm>
                    <a:prstGeom prst="rect">
                      <a:avLst/>
                    </a:prstGeom>
                  </pic:spPr>
                </pic:pic>
              </a:graphicData>
            </a:graphic>
          </wp:inline>
        </w:drawing>
      </w:r>
    </w:p>
    <w:p w14:paraId="4BA31E86" w14:textId="542A3639" w:rsidR="00EF7D9A" w:rsidRDefault="00F121D0" w:rsidP="009B78FE">
      <w:pPr>
        <w:pStyle w:val="Caption"/>
        <w:jc w:val="center"/>
      </w:pPr>
      <w:r>
        <w:t>Figure 2</w:t>
      </w:r>
      <w:r w:rsidR="00F82E29">
        <w:t>:</w:t>
      </w:r>
      <w:r>
        <w:t xml:space="preserve">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r>
        <w:t>Table 2</w:t>
      </w:r>
      <w:r w:rsidR="00EF7D9A">
        <w:t>:</w:t>
      </w:r>
      <w:r>
        <w:t xml:space="preserve"> Summary statistics for the main outcomes and key predictors in the analysis sample.</w:t>
      </w:r>
    </w:p>
    <w:tbl>
      <w:tblPr>
        <w:tblStyle w:val="TableGrid"/>
        <w:tblW w:w="0" w:type="auto"/>
        <w:tblLook w:val="04A0" w:firstRow="1" w:lastRow="0" w:firstColumn="1" w:lastColumn="0" w:noHBand="0" w:noVBand="1"/>
      </w:tblPr>
      <w:tblGrid>
        <w:gridCol w:w="3133"/>
        <w:gridCol w:w="1349"/>
        <w:gridCol w:w="1387"/>
        <w:gridCol w:w="1427"/>
        <w:gridCol w:w="1387"/>
        <w:gridCol w:w="1387"/>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sidRPr="00E713DB">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log_kwh</w:t>
            </w:r>
          </w:p>
        </w:tc>
        <w:tc>
          <w:tcPr>
            <w:tcW w:w="1680" w:type="dxa"/>
          </w:tcPr>
          <w:p w14:paraId="4343071C" w14:textId="77777777" w:rsidR="00E74C8C" w:rsidRDefault="00000000">
            <w:r>
              <w:t>1,218</w:t>
            </w:r>
          </w:p>
        </w:tc>
        <w:tc>
          <w:tcPr>
            <w:tcW w:w="1680" w:type="dxa"/>
          </w:tcPr>
          <w:p w14:paraId="7D749B81" w14:textId="77777777" w:rsidR="00E74C8C" w:rsidRDefault="00000000">
            <w:r>
              <w:t>8.480</w:t>
            </w:r>
          </w:p>
        </w:tc>
        <w:tc>
          <w:tcPr>
            <w:tcW w:w="1680" w:type="dxa"/>
          </w:tcPr>
          <w:p w14:paraId="7D7E9800" w14:textId="77777777" w:rsidR="00E74C8C" w:rsidRDefault="00000000">
            <w:r>
              <w:t>0.000</w:t>
            </w:r>
          </w:p>
        </w:tc>
        <w:tc>
          <w:tcPr>
            <w:tcW w:w="1680" w:type="dxa"/>
          </w:tcPr>
          <w:p w14:paraId="7C9A26AA" w14:textId="77777777" w:rsidR="00E74C8C" w:rsidRDefault="00000000">
            <w:r>
              <w:t>0.000</w:t>
            </w:r>
          </w:p>
        </w:tc>
        <w:tc>
          <w:tcPr>
            <w:tcW w:w="1680" w:type="dxa"/>
          </w:tcPr>
          <w:p w14:paraId="40CA52E6" w14:textId="77777777" w:rsidR="00E74C8C" w:rsidRDefault="00000000">
            <w:r>
              <w:t>18.275</w:t>
            </w:r>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sidRPr="00E713DB">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pPr>
      <w:r>
        <w:lastRenderedPageBreak/>
        <w:t>4. 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w:t>
      </w:r>
      <w:r w:rsidR="00245EEC">
        <w:t xml:space="preserve">The smooth plots below </w:t>
      </w:r>
      <w:r w:rsidR="003720D6">
        <w:t xml:space="preserve">were generated using </w:t>
      </w:r>
      <w:r w:rsidR="003720D6" w:rsidRPr="003720D6">
        <w:t>locally weighted scatterplot smoothing</w:t>
      </w:r>
      <w:r w:rsidR="003720D6">
        <w:t xml:space="preserve"> (LOWESS), a non-parametric regression method. </w:t>
      </w:r>
      <w:r>
        <w:t>We then ask whether those patterns persist as the model ladder becomes more demanding with rigorous controls.</w:t>
      </w:r>
      <w:r w:rsidR="00B1541B">
        <w:t xml:space="preserve"> Detailed specifications of all models in the ladder can be found in Section 6.7.</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extLst>
                        <a:ext uri="{96DAC541-7B7A-43D3-8B79-37D633B846F1}">
                          <asvg:svgBlip xmlns:asvg="http://schemas.microsoft.com/office/drawing/2016/SVG/main" r:embed="rId11"/>
                        </a:ext>
                      </a:extLst>
                    </a:blip>
                    <a:stretch>
                      <a:fillRect/>
                    </a:stretch>
                  </pic:blipFill>
                  <pic:spPr>
                    <a:xfrm>
                      <a:off x="0" y="0"/>
                      <a:ext cx="6400800" cy="1998980"/>
                    </a:xfrm>
                    <a:prstGeom prst="rect">
                      <a:avLst/>
                    </a:prstGeom>
                  </pic:spPr>
                </pic:pic>
              </a:graphicData>
            </a:graphic>
          </wp:inline>
        </w:drawing>
      </w:r>
    </w:p>
    <w:p w14:paraId="4615C201" w14:textId="1C42BD8F" w:rsidR="00B86A12" w:rsidRDefault="00F121D0" w:rsidP="00B1541B">
      <w:pPr>
        <w:pStyle w:val="Caption"/>
        <w:jc w:val="center"/>
      </w:pPr>
      <w:r>
        <w:t>Figure 3</w:t>
      </w:r>
      <w:r w:rsidR="004747C6">
        <w:t>:</w:t>
      </w:r>
      <w:r>
        <w:t xml:space="preserve">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r>
        <w:t>Table 3</w:t>
      </w:r>
      <w:r w:rsidR="002457BD">
        <w:t>:</w:t>
      </w:r>
      <w:r>
        <w:t xml:space="preserve"> Baseline regression summary across the three headline DER outcomes.</w:t>
      </w:r>
    </w:p>
    <w:tbl>
      <w:tblPr>
        <w:tblStyle w:val="TableGrid"/>
        <w:tblW w:w="0" w:type="auto"/>
        <w:tblLook w:val="04A0" w:firstRow="1" w:lastRow="0" w:firstColumn="1" w:lastColumn="0" w:noHBand="0" w:noVBand="1"/>
      </w:tblPr>
      <w:tblGrid>
        <w:gridCol w:w="3133"/>
        <w:gridCol w:w="2286"/>
        <w:gridCol w:w="2324"/>
        <w:gridCol w:w="2327"/>
      </w:tblGrid>
      <w:tr w:rsidR="00B86A12" w14:paraId="1A60811A" w14:textId="77777777">
        <w:tc>
          <w:tcPr>
            <w:tcW w:w="2520" w:type="dxa"/>
          </w:tcPr>
          <w:p w14:paraId="4BC07721" w14:textId="77777777" w:rsidR="00E74C8C" w:rsidRPr="00FC705B" w:rsidRDefault="00000000">
            <w:pPr>
              <w:rPr>
                <w:b/>
                <w:bCs/>
              </w:rPr>
            </w:pPr>
            <w:r w:rsidRPr="00FC705B">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sidRPr="00615DEA">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sidRPr="00615DEA">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sidRPr="00615DEA">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sidRPr="00406B15">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sidRPr="00406B15">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sidRPr="00406B15">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sidRPr="00406B15">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sidRPr="00406B15">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rsidRPr="00127991">
              <w:t>Key climate/resource control</w:t>
            </w:r>
          </w:p>
        </w:tc>
        <w:tc>
          <w:tcPr>
            <w:tcW w:w="2520" w:type="dxa"/>
          </w:tcPr>
          <w:p w14:paraId="6F5C35C9" w14:textId="77777777" w:rsidR="00E74C8C" w:rsidRDefault="00000000">
            <w:r>
              <w:t>GHI: 0.160*** (0.028)</w:t>
            </w:r>
          </w:p>
        </w:tc>
        <w:tc>
          <w:tcPr>
            <w:tcW w:w="2520" w:type="dxa"/>
          </w:tcPr>
          <w:p w14:paraId="3F8841A7" w14:textId="77777777" w:rsidR="00E74C8C" w:rsidRDefault="00000000">
            <w:r>
              <w:t>CDD/HDD: n.s.</w:t>
            </w:r>
          </w:p>
        </w:tc>
        <w:tc>
          <w:tcPr>
            <w:tcW w:w="2520" w:type="dxa"/>
          </w:tcPr>
          <w:p w14:paraId="694B7137" w14:textId="77777777" w:rsidR="00E74C8C" w:rsidRDefault="00000000">
            <w:r>
              <w:t>CDD65: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2"/>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2">
                      <a:extLst>
                        <a:ext uri="{96DAC541-7B7A-43D3-8B79-37D633B846F1}">
                          <asvg:svgBlip xmlns:asvg="http://schemas.microsoft.com/office/drawing/2016/SVG/main" r:embed="rId13"/>
                        </a:ext>
                      </a:extLst>
                    </a:blip>
                    <a:stretch>
                      <a:fillRect/>
                    </a:stretch>
                  </pic:blipFill>
                  <pic:spPr>
                    <a:xfrm>
                      <a:off x="0" y="0"/>
                      <a:ext cx="6400800" cy="5232400"/>
                    </a:xfrm>
                    <a:prstGeom prst="rect">
                      <a:avLst/>
                    </a:prstGeom>
                  </pic:spPr>
                </pic:pic>
              </a:graphicData>
            </a:graphic>
          </wp:inline>
        </w:drawing>
      </w:r>
      <w:commentRangeEnd w:id="2"/>
      <w:r w:rsidR="007C6BC8">
        <w:rPr>
          <w:rStyle w:val="CommentReference"/>
          <w:sz w:val="18"/>
          <w:szCs w:val="18"/>
        </w:rPr>
        <w:commentReference w:id="2"/>
      </w:r>
    </w:p>
    <w:p w14:paraId="388109B2" w14:textId="485995DB" w:rsidR="00B86A12" w:rsidRDefault="00F121D0" w:rsidP="00F121D0">
      <w:pPr>
        <w:pStyle w:val="Caption"/>
        <w:jc w:val="center"/>
      </w:pPr>
      <w:r>
        <w:t>Figure 4</w:t>
      </w:r>
      <w:r w:rsidR="002457BD">
        <w:t>:</w:t>
      </w:r>
      <w:r>
        <w:t xml:space="preserve">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pPr>
      <w:r>
        <w:t>5.1 Baseline patterns across DER types</w:t>
      </w:r>
    </w:p>
    <w:p w14:paraId="40EB1B72" w14:textId="739065C5" w:rsidR="00B86A12" w:rsidRDefault="00000000">
      <w:r>
        <w:t>A consistent pattern across the main specifications is that racial and socioeconomic disparities are not uniform across technologies. Table 3 and Figure 4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8">
                      <a:extLst>
                        <a:ext uri="{96DAC541-7B7A-43D3-8B79-37D633B846F1}">
                          <asvg:svgBlip xmlns:asvg="http://schemas.microsoft.com/office/drawing/2016/SVG/main" r:embed="rId19"/>
                        </a:ext>
                      </a:extLst>
                    </a:blip>
                    <a:stretch>
                      <a:fillRect/>
                    </a:stretch>
                  </pic:blipFill>
                  <pic:spPr>
                    <a:xfrm>
                      <a:off x="0" y="0"/>
                      <a:ext cx="3643645" cy="4895424"/>
                    </a:xfrm>
                    <a:prstGeom prst="rect">
                      <a:avLst/>
                    </a:prstGeom>
                  </pic:spPr>
                </pic:pic>
              </a:graphicData>
            </a:graphic>
          </wp:inline>
        </w:drawing>
      </w:r>
    </w:p>
    <w:p w14:paraId="1688B0FE" w14:textId="453087CD" w:rsidR="00B86A12" w:rsidRDefault="00F121D0" w:rsidP="00F121D0">
      <w:pPr>
        <w:pStyle w:val="Caption"/>
        <w:jc w:val="center"/>
      </w:pPr>
      <w:r>
        <w:t>Figure 5</w:t>
      </w:r>
      <w:r w:rsidR="002457BD">
        <w:t>:</w:t>
      </w:r>
      <w:r>
        <w:t xml:space="preserve">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pPr>
      <w:r>
        <w:t xml:space="preserve">5.2 Solar PV: </w:t>
      </w:r>
      <w:r w:rsidR="000A73BA">
        <w:t>P</w:t>
      </w:r>
      <w:r>
        <w:t>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Figure 6, the coefficient on </w:t>
      </w:r>
      <w:r w:rsidRPr="00175BB8">
        <w:rPr>
          <w:rFonts w:ascii="Courier New" w:hAnsi="Courier New" w:cs="Courier New"/>
          <w:sz w:val="18"/>
          <w:szCs w:val="18"/>
        </w:rPr>
        <w:t>log_median_household_income</w:t>
      </w:r>
      <w:r w:rsidRPr="00175BB8">
        <w:rPr>
          <w:sz w:val="18"/>
          <w:szCs w:val="18"/>
        </w:rPr>
        <w:t xml:space="preserve"> </w:t>
      </w:r>
      <w:r>
        <w:t xml:space="preserve">is positive and statistically significant in the baseline model, while </w:t>
      </w:r>
      <w:r w:rsidRPr="00585A84">
        <w:rPr>
          <w:rFonts w:ascii="Courier New" w:hAnsi="Courier New" w:cs="Courier New"/>
          <w:sz w:val="18"/>
          <w:szCs w:val="18"/>
        </w:rPr>
        <w:t>pct_black</w:t>
      </w:r>
      <w:r w:rsidRPr="00585A84">
        <w:rPr>
          <w:sz w:val="18"/>
          <w:szCs w:val="18"/>
        </w:rPr>
        <w:t xml:space="preserve"> </w:t>
      </w:r>
      <w:r>
        <w:t xml:space="preserve">and </w:t>
      </w:r>
      <w:r w:rsidRPr="00175BB8">
        <w:rPr>
          <w:rFonts w:ascii="Courier New" w:hAnsi="Courier New" w:cs="Courier New"/>
          <w:sz w:val="18"/>
          <w:szCs w:val="18"/>
        </w:rPr>
        <w:t>pct_asian</w:t>
      </w:r>
      <w:r w:rsidRPr="00175BB8">
        <w:rPr>
          <w:sz w:val="18"/>
          <w:szCs w:val="18"/>
        </w:rPr>
        <w:t xml:space="preserve"> </w:t>
      </w:r>
      <w:r>
        <w:t xml:space="preserve">are strongly negative. Solar resource potential behaves as expected: </w:t>
      </w:r>
      <w:r w:rsidRPr="00585A84">
        <w:rPr>
          <w:rFonts w:ascii="Courier New" w:hAnsi="Courier New" w:cs="Courier New"/>
          <w:sz w:val="18"/>
          <w:szCs w:val="18"/>
        </w:rPr>
        <w:t>ghi_mean_kwh_m2_day_2023</w:t>
      </w:r>
      <w:r w:rsidRPr="00585A84">
        <w:rPr>
          <w:sz w:val="18"/>
          <w:szCs w:val="18"/>
        </w:rPr>
        <w:t xml:space="preserve"> </w:t>
      </w:r>
      <w:r>
        <w:t>is positive and highly significant, suggesting that physical suitability is an important predictor of deployment.</w:t>
      </w:r>
    </w:p>
    <w:p w14:paraId="75EEE086" w14:textId="06910D37" w:rsidR="00B86A12" w:rsidRDefault="00000000">
      <w:r>
        <w:t xml:space="preserve">These disparities remain substantively present as the model becomes more demanding. Adding educational attainment </w:t>
      </w:r>
      <w:r w:rsidR="00511E45">
        <w:t>(Model 2)</w:t>
      </w:r>
      <w:r>
        <w:t xml:space="preserve">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w:t>
      </w:r>
      <w:r w:rsidR="00511E45">
        <w:t>(Model 5C)</w:t>
      </w:r>
      <w:r>
        <w:t>, the income effect attenuates and becomes marginal, but the negative coefficient on</w:t>
      </w:r>
      <w:r>
        <w:rPr>
          <w:rFonts w:ascii="Courier New" w:hAnsi="Courier New"/>
          <w:sz w:val="18"/>
        </w:rPr>
        <w:t xml:space="preserve"> pct_asian</w:t>
      </w:r>
      <w:r>
        <w:t xml:space="preserve"> remains strongly significant</w:t>
      </w:r>
      <w:r w:rsidR="004A1694">
        <w:t>,</w:t>
      </w:r>
      <w:r>
        <w:t xml:space="preserve"> and the negative coefficient on</w:t>
      </w:r>
      <w:r>
        <w:rPr>
          <w:rFonts w:ascii="Courier New" w:hAnsi="Courier New"/>
          <w:sz w:val="18"/>
        </w:rPr>
        <w:t xml:space="preserve"> pct_black</w:t>
      </w:r>
      <w:r>
        <w:t xml:space="preserve"> remains statistically distinguishable from zero. In the infrastructure-control and demand-proxy models </w:t>
      </w:r>
      <w:r w:rsidR="00585A84">
        <w:t xml:space="preserve">(Models 7 and 8), </w:t>
      </w:r>
      <w:r>
        <w:t>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EE584A9">
            <wp:extent cx="4438435" cy="4219595"/>
            <wp:effectExtent l="0" t="0" r="0" b="0"/>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a:blip r:embed="rId20">
                      <a:extLst>
                        <a:ext uri="{96DAC541-7B7A-43D3-8B79-37D633B846F1}">
                          <asvg:svgBlip xmlns:asvg="http://schemas.microsoft.com/office/drawing/2016/SVG/main" r:embed="rId21"/>
                        </a:ext>
                      </a:extLst>
                    </a:blip>
                    <a:stretch>
                      <a:fillRect/>
                    </a:stretch>
                  </pic:blipFill>
                  <pic:spPr>
                    <a:xfrm>
                      <a:off x="0" y="0"/>
                      <a:ext cx="4452728" cy="4233184"/>
                    </a:xfrm>
                    <a:prstGeom prst="rect">
                      <a:avLst/>
                    </a:prstGeom>
                  </pic:spPr>
                </pic:pic>
              </a:graphicData>
            </a:graphic>
          </wp:inline>
        </w:drawing>
      </w:r>
    </w:p>
    <w:p w14:paraId="7274FB24" w14:textId="5115FAF7" w:rsidR="00B86A12" w:rsidRDefault="00F121D0" w:rsidP="00F121D0">
      <w:pPr>
        <w:pStyle w:val="Caption"/>
        <w:jc w:val="center"/>
      </w:pPr>
      <w:r>
        <w:t>Figure 6</w:t>
      </w:r>
      <w:r w:rsidR="002457BD">
        <w:t>:</w:t>
      </w:r>
      <w:r>
        <w:t xml:space="preserve"> Standardized robustness summary for y_pv. This is the closest existing exported figure to a coefficient-stability view of the rooftop PV results across the model ladder.</w:t>
      </w:r>
    </w:p>
    <w:p w14:paraId="2C903875" w14:textId="77777777" w:rsidR="00B86A12" w:rsidRDefault="00000000">
      <w:pPr>
        <w:pStyle w:val="Heading2"/>
      </w:pPr>
      <w:r>
        <w:t>5.3 Storage: the strongest and most consistent inequities</w:t>
      </w:r>
    </w:p>
    <w:p w14:paraId="33D2B52D" w14:textId="77777777" w:rsidR="00B86A12" w:rsidRDefault="00000000">
      <w:r>
        <w:t xml:space="preserve">Battery storage exhibits the strongest and most stable disparity pattern of the main DER outcomes. Figure 7 shows that in the baseline storage model </w:t>
      </w:r>
      <w:r w:rsidRPr="00175BB8">
        <w:rPr>
          <w:rFonts w:ascii="Courier New" w:hAnsi="Courier New" w:cs="Courier New"/>
          <w:sz w:val="18"/>
          <w:szCs w:val="18"/>
        </w:rPr>
        <w:t>log_median_household_income</w:t>
      </w:r>
      <w:r w:rsidRPr="00175BB8">
        <w:rPr>
          <w:sz w:val="18"/>
          <w:szCs w:val="18"/>
        </w:rPr>
        <w:t xml:space="preserve"> </w:t>
      </w:r>
      <w:r>
        <w:t xml:space="preserve">is strongly positive, while </w:t>
      </w:r>
      <w:r w:rsidRPr="00175BB8">
        <w:rPr>
          <w:rFonts w:ascii="Courier New" w:hAnsi="Courier New" w:cs="Courier New"/>
          <w:sz w:val="18"/>
          <w:szCs w:val="18"/>
        </w:rPr>
        <w:t>pct_black</w:t>
      </w:r>
      <w:r>
        <w:t xml:space="preserve">, </w:t>
      </w:r>
      <w:r w:rsidRPr="00175BB8">
        <w:rPr>
          <w:rFonts w:ascii="Courier New" w:hAnsi="Courier New" w:cs="Courier New"/>
          <w:sz w:val="18"/>
          <w:szCs w:val="18"/>
        </w:rPr>
        <w:t>pct_hispanic</w:t>
      </w:r>
      <w:r>
        <w:t xml:space="preserve">, and </w:t>
      </w:r>
      <w:r w:rsidRPr="00175BB8">
        <w:rPr>
          <w:rFonts w:ascii="Courier New" w:hAnsi="Courier New" w:cs="Courier New"/>
          <w:sz w:val="18"/>
          <w:szCs w:val="18"/>
        </w:rPr>
        <w:t>pct_asian</w:t>
      </w:r>
      <w:r w:rsidRPr="00175BB8">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w:t>
      </w:r>
      <w:r w:rsidR="00175BB8">
        <w:t>n Model 2</w:t>
      </w:r>
      <w:r>
        <w:t>,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w:t>
      </w:r>
      <w:r w:rsidR="00175BB8">
        <w:t xml:space="preserve">(Model 5C), </w:t>
      </w:r>
      <w:r>
        <w:t>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We also estimate an additional robustness model</w:t>
      </w:r>
      <w:r w:rsidR="00175BB8">
        <w:t xml:space="preserve"> (</w:t>
      </w:r>
      <w:r>
        <w:t>Model 9</w:t>
      </w:r>
      <w:r w:rsidR="00175BB8">
        <w:t xml:space="preserve">) </w:t>
      </w:r>
      <w:r>
        <w:t xml:space="preserve">that adds </w:t>
      </w:r>
      <w:r w:rsidRPr="00175BB8">
        <w:rPr>
          <w:rFonts w:ascii="Courier New" w:hAnsi="Courier New" w:cs="Courier New"/>
          <w:sz w:val="20"/>
          <w:szCs w:val="20"/>
        </w:rPr>
        <w:t>y_pv</w:t>
      </w:r>
      <w:r w:rsidRPr="00175BB8">
        <w:rPr>
          <w:sz w:val="20"/>
          <w:szCs w:val="20"/>
        </w:rPr>
        <w:t xml:space="preserve"> </w:t>
      </w:r>
      <w:r>
        <w:t xml:space="preserve">to the most controlled storage specification to ask whether storage inequities persist after conditioning on local PV deployment intensity. The </w:t>
      </w:r>
      <w:r>
        <w:lastRenderedPageBreak/>
        <w:t xml:space="preserve">PV term is large and positive (1.143, p &lt; 0.001), as expected for a solar-plus-storage pathway, but the race coefficients remain negative and statistically significant: </w:t>
      </w:r>
      <w:r w:rsidRPr="00C11068">
        <w:rPr>
          <w:rFonts w:ascii="Courier New" w:hAnsi="Courier New" w:cs="Courier New"/>
          <w:sz w:val="18"/>
          <w:szCs w:val="18"/>
        </w:rPr>
        <w:t xml:space="preserve">pct_black </w:t>
      </w:r>
      <w:r>
        <w:t xml:space="preserve">= -1.297 (p &lt; 0.001), </w:t>
      </w:r>
      <w:r w:rsidRPr="00C11068">
        <w:rPr>
          <w:rFonts w:ascii="Courier New" w:hAnsi="Courier New" w:cs="Courier New"/>
          <w:sz w:val="18"/>
          <w:szCs w:val="18"/>
        </w:rPr>
        <w:t>pct_hispanic</w:t>
      </w:r>
      <w:r w:rsidRPr="00C11068">
        <w:rPr>
          <w:sz w:val="18"/>
          <w:szCs w:val="18"/>
        </w:rPr>
        <w:t xml:space="preserve"> </w:t>
      </w:r>
      <w:r>
        <w:t xml:space="preserve">= -1.003 (p &lt; 0.001), and </w:t>
      </w:r>
      <w:r w:rsidRPr="00C11068">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r>
        <w:t>Table 4</w:t>
      </w:r>
      <w:r w:rsidR="002457BD">
        <w:t>:</w:t>
      </w:r>
      <w:r>
        <w:t xml:space="preserve">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sidRPr="00406B15">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sidRPr="00406B15">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sidRPr="00406B15">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sidRPr="00406B15">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3"/>
            <w:r w:rsidRPr="00C86F74">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sidRPr="00C86F74">
              <w:rPr>
                <w:highlight w:val="yellow"/>
              </w:rPr>
              <w:t>-0.611***</w:t>
            </w:r>
          </w:p>
        </w:tc>
        <w:tc>
          <w:tcPr>
            <w:tcW w:w="2520" w:type="dxa"/>
          </w:tcPr>
          <w:p w14:paraId="0DFE6FB5" w14:textId="77777777" w:rsidR="00E74C8C" w:rsidRPr="00C86F74" w:rsidRDefault="00000000">
            <w:pPr>
              <w:rPr>
                <w:highlight w:val="yellow"/>
              </w:rPr>
            </w:pPr>
            <w:r w:rsidRPr="00C86F74">
              <w:rPr>
                <w:highlight w:val="yellow"/>
              </w:rPr>
              <w:t>0.235</w:t>
            </w:r>
          </w:p>
        </w:tc>
        <w:tc>
          <w:tcPr>
            <w:tcW w:w="2520" w:type="dxa"/>
          </w:tcPr>
          <w:p w14:paraId="751028ED" w14:textId="77777777" w:rsidR="00E74C8C" w:rsidRPr="00C86F74" w:rsidRDefault="00000000">
            <w:pPr>
              <w:rPr>
                <w:highlight w:val="yellow"/>
              </w:rPr>
            </w:pPr>
            <w:r w:rsidRPr="00C86F74">
              <w:rPr>
                <w:highlight w:val="yellow"/>
              </w:rPr>
              <w:t>0.009</w:t>
            </w:r>
            <w:commentRangeEnd w:id="3"/>
            <w:r w:rsidR="00D624F4" w:rsidRPr="00C86F74">
              <w:rPr>
                <w:rStyle w:val="CommentReference"/>
                <w:sz w:val="22"/>
                <w:szCs w:val="22"/>
                <w:highlight w:val="yellow"/>
              </w:rPr>
              <w:commentReference w:id="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sidRPr="00406B15">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lastRenderedPageBreak/>
        <w:drawing>
          <wp:inline distT="0" distB="0" distL="0" distR="0" wp14:anchorId="7792669E" wp14:editId="6655A6A5">
            <wp:extent cx="4154311" cy="4620021"/>
            <wp:effectExtent l="0" t="0" r="0" b="3175"/>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a:blip r:embed="rId22">
                      <a:extLst>
                        <a:ext uri="{96DAC541-7B7A-43D3-8B79-37D633B846F1}">
                          <asvg:svgBlip xmlns:asvg="http://schemas.microsoft.com/office/drawing/2016/SVG/main" r:embed="rId23"/>
                        </a:ext>
                      </a:extLst>
                    </a:blip>
                    <a:stretch>
                      <a:fillRect/>
                    </a:stretch>
                  </pic:blipFill>
                  <pic:spPr>
                    <a:xfrm>
                      <a:off x="0" y="0"/>
                      <a:ext cx="4192669" cy="4662679"/>
                    </a:xfrm>
                    <a:prstGeom prst="rect">
                      <a:avLst/>
                    </a:prstGeom>
                  </pic:spPr>
                </pic:pic>
              </a:graphicData>
            </a:graphic>
          </wp:inline>
        </w:drawing>
      </w:r>
    </w:p>
    <w:p w14:paraId="73069FF7" w14:textId="241DF5CF" w:rsidR="00B86A12" w:rsidRDefault="00F121D0" w:rsidP="00F121D0">
      <w:pPr>
        <w:pStyle w:val="Caption"/>
        <w:jc w:val="center"/>
      </w:pPr>
      <w:r>
        <w:t>Figure 7</w:t>
      </w:r>
      <w:r w:rsidR="002457BD">
        <w:t>:</w:t>
      </w:r>
      <w:r>
        <w:t xml:space="preserve"> Standardized robustness summary for </w:t>
      </w:r>
      <w:r w:rsidRPr="00615DEA">
        <w:rPr>
          <w:rFonts w:ascii="Courier New" w:hAnsi="Courier New" w:cs="Courier New"/>
        </w:rPr>
        <w:t>y_storage.</w:t>
      </w:r>
      <w:r>
        <w:t xml:space="preserve"> Read together with Figure 6 and </w:t>
      </w:r>
      <w:r w:rsidR="00137C58">
        <w:t>Table 4</w:t>
      </w:r>
      <w:r>
        <w:t>, this figure highlights that the storage coefficients are generally larger and more persistent than the PV coefficients.</w:t>
      </w:r>
    </w:p>
    <w:p w14:paraId="3C863A74" w14:textId="77777777" w:rsidR="00B86A12" w:rsidRDefault="00000000">
      <w:pPr>
        <w:pStyle w:val="Heading2"/>
      </w:pPr>
      <w:r>
        <w:t>5.4 EV charging: aggregate disparities mask charger-type composition</w:t>
      </w:r>
    </w:p>
    <w:p w14:paraId="047D57F3" w14:textId="77777777" w:rsidR="00B86A12" w:rsidRDefault="00000000">
      <w:r>
        <w:t xml:space="preserve">The EV charging results are more complex than the PV and storage findings. As shown in Figure 8, the refreshed aggregate charger baseline has a positive but not conventionally significant income coefficient, a near-zero Black-share coefficient, a negative Hispanic-share coefficient, and a positive Asian-share coefficient. At the same time, </w:t>
      </w:r>
      <w:r w:rsidRPr="00615DEA">
        <w:rPr>
          <w:rFonts w:ascii="Courier New" w:hAnsi="Courier New" w:cs="Courier New"/>
          <w:sz w:val="18"/>
          <w:szCs w:val="18"/>
        </w:rPr>
        <w:t>poverty_rate</w:t>
      </w:r>
      <w:r w:rsidRPr="00615DEA">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4" w:name="OLE_LINK2"/>
      <w:r w:rsidRPr="00615DEA">
        <w:rPr>
          <w:rFonts w:ascii="Courier New" w:hAnsi="Courier New" w:cs="Courier New"/>
          <w:sz w:val="18"/>
          <w:szCs w:val="18"/>
        </w:rPr>
        <w:t>poverty_rate</w:t>
      </w:r>
      <w:r w:rsidRPr="00615DEA">
        <w:rPr>
          <w:sz w:val="18"/>
          <w:szCs w:val="18"/>
        </w:rPr>
        <w:t xml:space="preserve"> </w:t>
      </w:r>
      <w:bookmarkEnd w:id="4"/>
      <w:r>
        <w:t xml:space="preserve">is not present for </w:t>
      </w:r>
      <w:r w:rsidRPr="00615DEA">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sidRPr="00615DEA">
        <w:rPr>
          <w:rFonts w:ascii="Courier New" w:hAnsi="Courier New" w:cs="Courier New"/>
          <w:sz w:val="18"/>
          <w:szCs w:val="18"/>
        </w:rPr>
        <w:t>y_level2_chargers</w:t>
      </w:r>
      <w:r>
        <w:t xml:space="preserve">, where </w:t>
      </w:r>
      <w:r w:rsidR="00615DEA" w:rsidRPr="00615DEA">
        <w:rPr>
          <w:rFonts w:ascii="Courier New" w:hAnsi="Courier New" w:cs="Courier New"/>
          <w:sz w:val="18"/>
          <w:szCs w:val="18"/>
        </w:rPr>
        <w:t>poverty_rate</w:t>
      </w:r>
      <w:r w:rsidR="00615DEA" w:rsidRPr="00615DEA">
        <w:rPr>
          <w:sz w:val="18"/>
          <w:szCs w:val="18"/>
        </w:rPr>
        <w:t xml:space="preserve"> </w:t>
      </w:r>
      <w:r>
        <w:t xml:space="preserve">is positive and highly significant (0.166, p &lt; 0.001). For </w:t>
      </w:r>
      <w:r w:rsidRPr="00615DEA">
        <w:rPr>
          <w:rFonts w:ascii="Courier New" w:hAnsi="Courier New" w:cs="Courier New"/>
          <w:sz w:val="18"/>
          <w:szCs w:val="18"/>
        </w:rPr>
        <w:t>y_dc_fast_chargers</w:t>
      </w:r>
      <w:r>
        <w:t xml:space="preserve">, the coefficient on </w:t>
      </w:r>
      <w:r w:rsidR="00615DEA" w:rsidRPr="00615DEA">
        <w:rPr>
          <w:rFonts w:ascii="Courier New" w:hAnsi="Courier New" w:cs="Courier New"/>
          <w:sz w:val="18"/>
          <w:szCs w:val="18"/>
        </w:rPr>
        <w:t>poverty_rate</w:t>
      </w:r>
      <w:r w:rsidR="00615DEA" w:rsidRPr="00615DEA">
        <w:rPr>
          <w:sz w:val="18"/>
          <w:szCs w:val="18"/>
        </w:rPr>
        <w:t xml:space="preserve"> </w:t>
      </w:r>
      <w:r>
        <w:t>is also positive, but it is imprecisely estimated in the standardized baseline model (0.028, p = 0.187).</w:t>
      </w:r>
      <w:r w:rsidR="00615DEA">
        <w:t xml:space="preserve"> </w:t>
      </w:r>
      <w:r>
        <w:t>Taken together, Figure 9 and Table 5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lastRenderedPageBreak/>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w:t>
      </w:r>
      <w:r w:rsidR="00615DEA">
        <w:t>. T</w:t>
      </w:r>
      <w:r>
        <w: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drawing>
          <wp:inline distT="0" distB="0" distL="0" distR="0" wp14:anchorId="59CDCA80" wp14:editId="42D2E89A">
            <wp:extent cx="4161033" cy="4661760"/>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a:blip r:embed="rId24">
                      <a:extLst>
                        <a:ext uri="{96DAC541-7B7A-43D3-8B79-37D633B846F1}">
                          <asvg:svgBlip xmlns:asvg="http://schemas.microsoft.com/office/drawing/2016/SVG/main" r:embed="rId25"/>
                        </a:ext>
                      </a:extLst>
                    </a:blip>
                    <a:stretch>
                      <a:fillRect/>
                    </a:stretch>
                  </pic:blipFill>
                  <pic:spPr>
                    <a:xfrm>
                      <a:off x="0" y="0"/>
                      <a:ext cx="4171511" cy="4673499"/>
                    </a:xfrm>
                    <a:prstGeom prst="rect">
                      <a:avLst/>
                    </a:prstGeom>
                  </pic:spPr>
                </pic:pic>
              </a:graphicData>
            </a:graphic>
          </wp:inline>
        </w:drawing>
      </w:r>
    </w:p>
    <w:p w14:paraId="635C3CEE" w14:textId="0433315F" w:rsidR="00B86A12" w:rsidRDefault="00F121D0" w:rsidP="00F121D0">
      <w:pPr>
        <w:pStyle w:val="Caption"/>
        <w:jc w:val="center"/>
      </w:pPr>
      <w:r>
        <w:t>Figure 8</w:t>
      </w:r>
      <w:r w:rsidR="00483EAB">
        <w:t>:</w:t>
      </w:r>
      <w:r>
        <w:t xml:space="preserve">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20BA6DDC">
            <wp:extent cx="4900773" cy="3427138"/>
            <wp:effectExtent l="0" t="0" r="1905" b="1905"/>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a:blip r:embed="rId26">
                      <a:extLst>
                        <a:ext uri="{96DAC541-7B7A-43D3-8B79-37D633B846F1}">
                          <asvg:svgBlip xmlns:asvg="http://schemas.microsoft.com/office/drawing/2016/SVG/main" r:embed="rId27"/>
                        </a:ext>
                      </a:extLst>
                    </a:blip>
                    <a:stretch>
                      <a:fillRect/>
                    </a:stretch>
                  </pic:blipFill>
                  <pic:spPr>
                    <a:xfrm>
                      <a:off x="0" y="0"/>
                      <a:ext cx="4909751" cy="3433416"/>
                    </a:xfrm>
                    <a:prstGeom prst="rect">
                      <a:avLst/>
                    </a:prstGeom>
                  </pic:spPr>
                </pic:pic>
              </a:graphicData>
            </a:graphic>
          </wp:inline>
        </w:drawing>
      </w:r>
    </w:p>
    <w:p w14:paraId="2320FBAB" w14:textId="0A421F9D" w:rsidR="00B86A12" w:rsidRDefault="00B140D9" w:rsidP="00B140D9">
      <w:pPr>
        <w:pStyle w:val="Caption"/>
        <w:jc w:val="center"/>
      </w:pPr>
      <w:r>
        <w:t>Figure 9</w:t>
      </w:r>
      <w:r w:rsidR="002457BD">
        <w:t>:</w:t>
      </w:r>
      <w:r>
        <w:t xml:space="preserve">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r>
        <w:t>Table 5</w:t>
      </w:r>
      <w:r w:rsidR="00E80772">
        <w:t>:</w:t>
      </w:r>
      <w:r>
        <w:t xml:space="preserve">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sidRPr="00E80772">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sidRPr="00E80772">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sidRPr="00E80772">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sidRPr="00E80772">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sidRPr="00E80772">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sidRPr="00E80772">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pPr>
      <w:commentRangeStart w:id="5"/>
      <w:commentRangeStart w:id="6"/>
      <w:r>
        <w:t>5.5 Energy burden outcome results</w:t>
      </w:r>
      <w:commentRangeEnd w:id="5"/>
      <w:r w:rsidR="00384EC6">
        <w:rPr>
          <w:rStyle w:val="CommentReference"/>
          <w:sz w:val="26"/>
          <w:szCs w:val="26"/>
        </w:rPr>
        <w:commentReference w:id="5"/>
      </w:r>
      <w:commentRangeEnd w:id="6"/>
      <w:r w:rsidR="00D624F4">
        <w:rPr>
          <w:rStyle w:val="CommentReference"/>
          <w:sz w:val="26"/>
          <w:szCs w:val="26"/>
        </w:rPr>
        <w:commentReference w:id="6"/>
      </w:r>
    </w:p>
    <w:p w14:paraId="5E4704F3" w14:textId="1721713D" w:rsidR="0014040F" w:rsidRDefault="00000000">
      <w:r>
        <w:t xml:space="preserve">The energy-burden outcomes provide affordability context for the DER results. In the matched burden sample, mean </w:t>
      </w:r>
      <w:bookmarkStart w:id="7" w:name="OLE_LINK3"/>
      <w:r w:rsidRPr="00D805F4">
        <w:rPr>
          <w:rFonts w:ascii="Courier New" w:hAnsi="Courier New" w:cs="Courier New"/>
          <w:sz w:val="18"/>
          <w:szCs w:val="18"/>
        </w:rPr>
        <w:t>energy_burden_pct</w:t>
      </w:r>
      <w:r w:rsidRPr="00D805F4">
        <w:rPr>
          <w:sz w:val="18"/>
          <w:szCs w:val="18"/>
        </w:rPr>
        <w:t xml:space="preserve"> </w:t>
      </w:r>
      <w:bookmarkEnd w:id="7"/>
      <w:r>
        <w:t xml:space="preserve">is about 2.2% and the interquartile range runs from roughly 1.5% to 2.8%, while </w:t>
      </w:r>
      <w:r w:rsidR="00D805F4" w:rsidRPr="00D805F4">
        <w:rPr>
          <w:rFonts w:ascii="Courier New" w:hAnsi="Courier New" w:cs="Courier New"/>
          <w:sz w:val="18"/>
          <w:szCs w:val="18"/>
        </w:rPr>
        <w:t>energy_burden_pct</w:t>
      </w:r>
      <w:r w:rsidR="00D805F4" w:rsidRPr="00D805F4">
        <w:rPr>
          <w:sz w:val="18"/>
          <w:szCs w:val="18"/>
        </w:rPr>
        <w:t xml:space="preserve"> </w:t>
      </w:r>
      <w:r>
        <w:t xml:space="preserve">is strongly negatively correlated with </w:t>
      </w:r>
      <w:bookmarkStart w:id="8" w:name="OLE_LINK4"/>
      <w:r w:rsidRPr="00D805F4">
        <w:rPr>
          <w:rFonts w:ascii="Courier New" w:hAnsi="Courier New" w:cs="Courier New"/>
          <w:sz w:val="18"/>
          <w:szCs w:val="18"/>
        </w:rPr>
        <w:t>log_median_household_income</w:t>
      </w:r>
      <w:r w:rsidRPr="00D805F4">
        <w:rPr>
          <w:sz w:val="18"/>
          <w:szCs w:val="18"/>
        </w:rPr>
        <w:t xml:space="preserve"> </w:t>
      </w:r>
      <w:bookmarkEnd w:id="8"/>
      <w:r>
        <w:t xml:space="preserve">(-0.746) and positively correlated with </w:t>
      </w:r>
      <w:r w:rsidRPr="00D805F4">
        <w:rPr>
          <w:rFonts w:ascii="Courier New" w:hAnsi="Courier New" w:cs="Courier New"/>
          <w:sz w:val="18"/>
          <w:szCs w:val="18"/>
        </w:rPr>
        <w:t>poverty_rate</w:t>
      </w:r>
      <w:r w:rsidRPr="00D805F4">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sidR="00D805F4" w:rsidRPr="00D805F4">
        <w:rPr>
          <w:rFonts w:ascii="Courier New" w:hAnsi="Courier New" w:cs="Courier New"/>
          <w:sz w:val="18"/>
          <w:szCs w:val="18"/>
        </w:rPr>
        <w:t>energy_burden_pct</w:t>
      </w:r>
      <w:r w:rsidR="00D805F4" w:rsidRPr="00D805F4">
        <w:rPr>
          <w:sz w:val="18"/>
          <w:szCs w:val="18"/>
        </w:rPr>
        <w:t xml:space="preserve"> </w:t>
      </w:r>
      <w:r>
        <w:t xml:space="preserve">as the outcome, </w:t>
      </w:r>
      <w:r w:rsidR="00D805F4" w:rsidRPr="00D805F4">
        <w:rPr>
          <w:rFonts w:ascii="Courier New" w:hAnsi="Courier New" w:cs="Courier New"/>
          <w:sz w:val="18"/>
          <w:szCs w:val="18"/>
        </w:rPr>
        <w:t>log_median_household_income</w:t>
      </w:r>
      <w:r w:rsidR="00D805F4" w:rsidRPr="00D805F4">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lastRenderedPageBreak/>
        <w:t xml:space="preserve">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w:t>
      </w:r>
      <w:r w:rsidR="00531576">
        <w:t>a singl</w:t>
      </w:r>
      <w:r>
        <w:t>e uniform affordability channel.</w:t>
      </w:r>
    </w:p>
    <w:p w14:paraId="762BFB71" w14:textId="77777777" w:rsidR="00157F04" w:rsidRDefault="00157F04">
      <w:commentRangeStart w:id="9"/>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28">
                      <a:extLst>
                        <a:ext uri="{96DAC541-7B7A-43D3-8B79-37D633B846F1}">
                          <asvg:svgBlip xmlns:asvg="http://schemas.microsoft.com/office/drawing/2016/SVG/main" r:embed="rId29"/>
                        </a:ext>
                      </a:extLst>
                    </a:blip>
                    <a:stretch>
                      <a:fillRect/>
                    </a:stretch>
                  </pic:blipFill>
                  <pic:spPr>
                    <a:xfrm>
                      <a:off x="0" y="0"/>
                      <a:ext cx="3127881" cy="2022881"/>
                    </a:xfrm>
                    <a:prstGeom prst="rect">
                      <a:avLst/>
                    </a:prstGeom>
                  </pic:spPr>
                </pic:pic>
              </a:graphicData>
            </a:graphic>
          </wp:inline>
        </w:drawing>
      </w:r>
      <w:commentRangeEnd w:id="9"/>
      <w:r w:rsidR="00384EC6">
        <w:rPr>
          <w:rStyle w:val="CommentReference"/>
          <w:noProof/>
          <w:sz w:val="22"/>
          <w:szCs w:val="22"/>
        </w:rPr>
        <w:commentReference w:id="9"/>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30">
                      <a:extLst>
                        <a:ext uri="{96DAC541-7B7A-43D3-8B79-37D633B846F1}">
                          <asvg:svgBlip xmlns:asvg="http://schemas.microsoft.com/office/drawing/2016/SVG/main" r:embed="rId31"/>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32">
                      <a:extLst>
                        <a:ext uri="{96DAC541-7B7A-43D3-8B79-37D633B846F1}">
                          <asvg:svgBlip xmlns:asvg="http://schemas.microsoft.com/office/drawing/2016/SVG/main" r:embed="rId33"/>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091ED515">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34">
                      <a:extLst>
                        <a:ext uri="{96DAC541-7B7A-43D3-8B79-37D633B846F1}">
                          <asvg:svgBlip xmlns:asvg="http://schemas.microsoft.com/office/drawing/2016/SVG/main" r:embed="rId35"/>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36">
                      <a:extLst>
                        <a:ext uri="{96DAC541-7B7A-43D3-8B79-37D633B846F1}">
                          <asvg:svgBlip xmlns:asvg="http://schemas.microsoft.com/office/drawing/2016/SVG/main" r:embed="rId37"/>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38">
                      <a:extLst>
                        <a:ext uri="{96DAC541-7B7A-43D3-8B79-37D633B846F1}">
                          <asvg:svgBlip xmlns:asvg="http://schemas.microsoft.com/office/drawing/2016/SVG/main" r:embed="rId39"/>
                        </a:ext>
                      </a:extLst>
                    </a:blip>
                    <a:stretch>
                      <a:fillRect/>
                    </a:stretch>
                  </pic:blipFill>
                  <pic:spPr>
                    <a:xfrm>
                      <a:off x="0" y="0"/>
                      <a:ext cx="3228604" cy="1966950"/>
                    </a:xfrm>
                    <a:prstGeom prst="rect">
                      <a:avLst/>
                    </a:prstGeom>
                  </pic:spPr>
                </pic:pic>
              </a:graphicData>
            </a:graphic>
          </wp:inline>
        </w:drawing>
      </w:r>
    </w:p>
    <w:p w14:paraId="4A12D37D" w14:textId="4FE15AB8" w:rsidR="00785640" w:rsidRDefault="00785640">
      <w:commentRangeStart w:id="10"/>
      <w:r>
        <w:rPr>
          <w:noProof/>
        </w:rPr>
        <w:lastRenderedPageBreak/>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40"/>
                    <a:stretch>
                      <a:fillRect/>
                    </a:stretch>
                  </pic:blipFill>
                  <pic:spPr>
                    <a:xfrm>
                      <a:off x="0" y="0"/>
                      <a:ext cx="6400800" cy="5038725"/>
                    </a:xfrm>
                    <a:prstGeom prst="rect">
                      <a:avLst/>
                    </a:prstGeom>
                  </pic:spPr>
                </pic:pic>
              </a:graphicData>
            </a:graphic>
          </wp:inline>
        </w:drawing>
      </w:r>
      <w:commentRangeEnd w:id="10"/>
      <w:r w:rsidR="002808A9">
        <w:rPr>
          <w:rStyle w:val="CommentReference"/>
          <w:sz w:val="22"/>
          <w:szCs w:val="22"/>
        </w:rPr>
        <w:commentReference w:id="10"/>
      </w:r>
    </w:p>
    <w:p w14:paraId="1FC0C5FF" w14:textId="5F250795" w:rsidR="00785640" w:rsidRDefault="00785640">
      <w:commentRangeStart w:id="11"/>
      <w:commentRangeStart w:id="12"/>
      <w:r>
        <w:rPr>
          <w:noProof/>
        </w:rPr>
        <w:lastRenderedPageBreak/>
        <w:drawing>
          <wp:inline distT="0" distB="0" distL="0" distR="0" wp14:anchorId="2AA0BF6A" wp14:editId="2D0252C6">
            <wp:extent cx="6400800" cy="4568825"/>
            <wp:effectExtent l="0" t="0" r="0" b="317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a:blip r:embed="rId41"/>
                    <a:stretch>
                      <a:fillRect/>
                    </a:stretch>
                  </pic:blipFill>
                  <pic:spPr>
                    <a:xfrm>
                      <a:off x="0" y="0"/>
                      <a:ext cx="6400800" cy="4568825"/>
                    </a:xfrm>
                    <a:prstGeom prst="rect">
                      <a:avLst/>
                    </a:prstGeom>
                  </pic:spPr>
                </pic:pic>
              </a:graphicData>
            </a:graphic>
          </wp:inline>
        </w:drawing>
      </w:r>
      <w:commentRangeEnd w:id="11"/>
      <w:r w:rsidR="007C6BC8">
        <w:rPr>
          <w:rStyle w:val="CommentReference"/>
          <w:sz w:val="22"/>
          <w:szCs w:val="22"/>
        </w:rPr>
        <w:commentReference w:id="11"/>
      </w:r>
      <w:commentRangeEnd w:id="12"/>
      <w:r w:rsidR="002808A9">
        <w:rPr>
          <w:rStyle w:val="CommentReference"/>
          <w:sz w:val="22"/>
          <w:szCs w:val="22"/>
        </w:rPr>
        <w:commentReference w:id="12"/>
      </w:r>
    </w:p>
    <w:p w14:paraId="105A1604" w14:textId="77777777" w:rsidR="0014040F" w:rsidRDefault="00000000">
      <w:pPr>
        <w:pStyle w:val="Heading2"/>
      </w:pPr>
      <w:r>
        <w:t>5.6 Descriptive nonlinear gradients</w:t>
      </w:r>
    </w:p>
    <w:p w14:paraId="6B0B4395" w14:textId="41EA00CE" w:rsidR="00B86A12" w:rsidRDefault="00000000">
      <w:r>
        <w:t xml:space="preserve">The regression tables summarize conditional associations, but the raw outcome gradients are also informative. Figure 10 plots a combined non-white </w:t>
      </w:r>
      <w:r w:rsidR="00BC5A60">
        <w:t xml:space="preserve">racial </w:t>
      </w:r>
      <w:r>
        <w:t>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2A2CAACF" w14:textId="1F2D757B" w:rsidR="00B86A12" w:rsidRDefault="00000000">
      <w:r>
        <w:t xml:space="preserve">Figure 11 provides the corresponding education view using </w:t>
      </w:r>
      <w:r w:rsidRPr="00BC5A60">
        <w:rPr>
          <w:rFonts w:ascii="Courier New" w:hAnsi="Courier New" w:cs="Courier New"/>
          <w:sz w:val="18"/>
          <w:szCs w:val="18"/>
        </w:rPr>
        <w:t>pct_bachelors_plus</w:t>
      </w:r>
      <w:r>
        <w:t xml:space="preserve">. The regenerated deterministic LOWESS audit shows a mildly negative unconditional gradient for PV (-0.06) but </w:t>
      </w:r>
      <w:r w:rsidRPr="00C86F74">
        <w:rPr>
          <w:highlight w:val="yellow"/>
        </w:rPr>
        <w:t>positive gradients for storage (0.61)</w:t>
      </w:r>
      <w:r>
        <w:t xml:space="preserve"> and EV charging (1.17). The corresponding standardized Model 2 charger regression also estimates a positive education coefficient (0.432, p &lt; 0.001)</w:t>
      </w:r>
      <w:r w:rsidR="00B87FB7">
        <w:t xml:space="preserve">, indicating that </w:t>
      </w:r>
      <w:r>
        <w:t>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42">
                      <a:extLst>
                        <a:ext uri="{96DAC541-7B7A-43D3-8B79-37D633B846F1}">
                          <asvg:svgBlip xmlns:asvg="http://schemas.microsoft.com/office/drawing/2016/SVG/main" r:embed="rId43"/>
                        </a:ext>
                      </a:extLst>
                    </a:blip>
                    <a:stretch>
                      <a:fillRect/>
                    </a:stretch>
                  </pic:blipFill>
                  <pic:spPr>
                    <a:xfrm>
                      <a:off x="0" y="0"/>
                      <a:ext cx="6400800" cy="2042160"/>
                    </a:xfrm>
                    <a:prstGeom prst="rect">
                      <a:avLst/>
                    </a:prstGeom>
                  </pic:spPr>
                </pic:pic>
              </a:graphicData>
            </a:graphic>
          </wp:inline>
        </w:drawing>
      </w:r>
    </w:p>
    <w:p w14:paraId="0EA18E76" w14:textId="2C0DFB0F" w:rsidR="00B86A12" w:rsidRDefault="00B87FB7" w:rsidP="00B140D9">
      <w:pPr>
        <w:pStyle w:val="Caption"/>
        <w:jc w:val="center"/>
      </w:pPr>
      <w:r>
        <w:t>F</w:t>
      </w:r>
      <w:r w:rsidR="00B140D9">
        <w:t>igure 10</w:t>
      </w:r>
      <w:r w:rsidR="002808A9">
        <w:t>:</w:t>
      </w:r>
      <w:r w:rsidR="00B140D9">
        <w:t xml:space="preserve">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44">
                      <a:extLst>
                        <a:ext uri="{96DAC541-7B7A-43D3-8B79-37D633B846F1}">
                          <asvg:svgBlip xmlns:asvg="http://schemas.microsoft.com/office/drawing/2016/SVG/main" r:embed="rId45"/>
                        </a:ext>
                      </a:extLst>
                    </a:blip>
                    <a:stretch>
                      <a:fillRect/>
                    </a:stretch>
                  </pic:blipFill>
                  <pic:spPr>
                    <a:xfrm>
                      <a:off x="0" y="0"/>
                      <a:ext cx="6400800" cy="2042160"/>
                    </a:xfrm>
                    <a:prstGeom prst="rect">
                      <a:avLst/>
                    </a:prstGeom>
                  </pic:spPr>
                </pic:pic>
              </a:graphicData>
            </a:graphic>
          </wp:inline>
        </w:drawing>
      </w:r>
    </w:p>
    <w:p w14:paraId="2ADFCAD8" w14:textId="3BB9E4A4" w:rsidR="00B86A12" w:rsidRDefault="00B140D9" w:rsidP="00B140D9">
      <w:pPr>
        <w:pStyle w:val="Caption"/>
        <w:jc w:val="center"/>
      </w:pPr>
      <w:r>
        <w:t>Figure 11</w:t>
      </w:r>
      <w:r w:rsidR="002808A9">
        <w:t>:</w:t>
      </w:r>
      <w:r>
        <w:t xml:space="preserve"> Descriptive LOWESS gradients between the percent of people with a </w:t>
      </w:r>
      <w:r w:rsidR="005031A8">
        <w:t>bachelor’s</w:t>
      </w:r>
      <w:r>
        <w:t xml:space="preserve">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pPr>
      <w:r>
        <w:t>5.7 Exploratory clustering of ZIP/ZCTA types</w:t>
      </w:r>
    </w:p>
    <w:p w14:paraId="528BBBEA" w14:textId="693F0BF4" w:rsidR="00B86A12" w:rsidRDefault="00000000">
      <w:r>
        <w:t xml:space="preserve">In addition to the regression ladder, </w:t>
      </w:r>
      <w:r w:rsidR="00732685">
        <w:t>we</w:t>
      </w:r>
      <w:r>
        <w:t xml:space="preserve"> use </w:t>
      </w:r>
      <w:r w:rsidR="002808A9">
        <w:t>unsupervised machine learning methods, namely principal component analysis (</w:t>
      </w:r>
      <w:r>
        <w:t>PCA</w:t>
      </w:r>
      <w:r w:rsidR="002808A9">
        <w:t>) and</w:t>
      </w:r>
      <w:r>
        <w:t xml:space="preserve"> </w:t>
      </w:r>
      <w:r w:rsidR="002808A9">
        <w:t>k</w:t>
      </w:r>
      <w:r>
        <w:t>-means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w:t>
      </w:r>
      <w:r w:rsidR="002808A9">
        <w:t xml:space="preserve"> </w:t>
      </w:r>
      <w:r>
        <w:t xml:space="preserve">The cluster map in Figure 12 shows that these profiles are spatially coherent rather than randomly scattered. Table 6 indicates that the clusters differ along multiple dimensions at once: </w:t>
      </w:r>
      <w:r w:rsidRPr="006F5932">
        <w:t xml:space="preserve">cluster </w:t>
      </w:r>
      <w:r w:rsidR="006F5932" w:rsidRPr="006F5932">
        <w:t>2</w:t>
      </w:r>
      <w:r w:rsidRPr="006F5932">
        <w:t xml:space="preserve"> is affluent with a large Asian share and relatively strong charging outcomes; cluster </w:t>
      </w:r>
      <w:r w:rsidR="006F5932" w:rsidRPr="006F5932">
        <w:t>3</w:t>
      </w:r>
      <w:r w:rsidRPr="006F5932">
        <w:t xml:space="preserve"> has the highest Hispanic and combined non-white shares together with the highest poverty rate and the weakest charging deployment; and cluster </w:t>
      </w:r>
      <w:r w:rsidR="006F5932" w:rsidRPr="006F5932">
        <w:t>1</w:t>
      </w:r>
      <w:r w:rsidRPr="006F5932">
        <w:t xml:space="preserve"> combines comparatively strong PV, storage, and charging outcomes with a larger residual white/other share.</w:t>
      </w:r>
      <w:r>
        <w:t xml:space="preserve"> These differences are consistent with the broader paper argument that technology access is shaped by bundles of demographic, economic, and infrastructural conditions rather than by one variable in isolation.</w:t>
      </w:r>
      <w:r w:rsidR="004C7FF5">
        <w:br/>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46"/>
                    <a:stretch>
                      <a:fillRect/>
                    </a:stretch>
                  </pic:blipFill>
                  <pic:spPr>
                    <a:xfrm>
                      <a:off x="0" y="0"/>
                      <a:ext cx="4471901" cy="5301782"/>
                    </a:xfrm>
                    <a:prstGeom prst="rect">
                      <a:avLst/>
                    </a:prstGeom>
                  </pic:spPr>
                </pic:pic>
              </a:graphicData>
            </a:graphic>
          </wp:inline>
        </w:drawing>
      </w:r>
    </w:p>
    <w:p w14:paraId="55B4F45F" w14:textId="0EA9F946" w:rsidR="00B86A12" w:rsidRDefault="00B140D9" w:rsidP="00B140D9">
      <w:pPr>
        <w:pStyle w:val="Caption"/>
        <w:jc w:val="center"/>
      </w:pPr>
      <w:r>
        <w:t>Figure 12</w:t>
      </w:r>
      <w:r w:rsidR="002808A9">
        <w:t>:</w:t>
      </w:r>
      <w:r>
        <w:t xml:space="preserve">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r>
        <w:t>T</w:t>
      </w:r>
      <w:r w:rsidR="00B140D9">
        <w:t>able 6</w:t>
      </w:r>
      <w:r>
        <w:t>:</w:t>
      </w:r>
      <w:r w:rsidR="00B140D9">
        <w:t xml:space="preserve">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sidRPr="00D40A32">
              <w:rPr>
                <w:b/>
                <w:sz w:val="20"/>
                <w:szCs w:val="20"/>
              </w:rPr>
              <w:t>Cluster</w:t>
            </w:r>
          </w:p>
        </w:tc>
        <w:tc>
          <w:tcPr>
            <w:tcW w:w="720" w:type="dxa"/>
          </w:tcPr>
          <w:p w14:paraId="06AA487C" w14:textId="77777777" w:rsidR="00B86A12" w:rsidRPr="00D40A32" w:rsidRDefault="00000000">
            <w:pPr>
              <w:rPr>
                <w:sz w:val="20"/>
                <w:szCs w:val="20"/>
              </w:rPr>
            </w:pPr>
            <w:r w:rsidRPr="00D40A32">
              <w:rPr>
                <w:b/>
                <w:sz w:val="20"/>
                <w:szCs w:val="20"/>
              </w:rPr>
              <w:t>N ZIPs</w:t>
            </w:r>
          </w:p>
        </w:tc>
        <w:tc>
          <w:tcPr>
            <w:tcW w:w="990" w:type="dxa"/>
          </w:tcPr>
          <w:p w14:paraId="4DAB83C7" w14:textId="77777777" w:rsidR="00B86A12" w:rsidRPr="00D40A32" w:rsidRDefault="00000000">
            <w:pPr>
              <w:rPr>
                <w:sz w:val="20"/>
                <w:szCs w:val="20"/>
              </w:rPr>
            </w:pPr>
            <w:r w:rsidRPr="00D40A32">
              <w:rPr>
                <w:b/>
                <w:sz w:val="20"/>
                <w:szCs w:val="20"/>
              </w:rPr>
              <w:t>Income</w:t>
            </w:r>
          </w:p>
        </w:tc>
        <w:tc>
          <w:tcPr>
            <w:tcW w:w="900" w:type="dxa"/>
          </w:tcPr>
          <w:p w14:paraId="47EB551D" w14:textId="77777777" w:rsidR="00B86A12" w:rsidRPr="00D40A32" w:rsidRDefault="00000000">
            <w:pPr>
              <w:rPr>
                <w:sz w:val="20"/>
                <w:szCs w:val="20"/>
              </w:rPr>
            </w:pPr>
            <w:r w:rsidRPr="00D40A32">
              <w:rPr>
                <w:b/>
                <w:sz w:val="20"/>
                <w:szCs w:val="20"/>
              </w:rPr>
              <w:t>Poverty</w:t>
            </w:r>
          </w:p>
        </w:tc>
        <w:tc>
          <w:tcPr>
            <w:tcW w:w="720" w:type="dxa"/>
          </w:tcPr>
          <w:p w14:paraId="2A2D21FD" w14:textId="77777777" w:rsidR="00B86A12" w:rsidRPr="00D40A32" w:rsidRDefault="00000000">
            <w:pPr>
              <w:rPr>
                <w:sz w:val="20"/>
                <w:szCs w:val="20"/>
              </w:rPr>
            </w:pPr>
            <w:r w:rsidRPr="00D40A32">
              <w:rPr>
                <w:b/>
                <w:sz w:val="20"/>
                <w:szCs w:val="20"/>
              </w:rPr>
              <w:t>Black</w:t>
            </w:r>
          </w:p>
        </w:tc>
        <w:tc>
          <w:tcPr>
            <w:tcW w:w="990" w:type="dxa"/>
          </w:tcPr>
          <w:p w14:paraId="207DA255" w14:textId="77777777" w:rsidR="00B86A12" w:rsidRPr="00D40A32" w:rsidRDefault="00000000">
            <w:pPr>
              <w:rPr>
                <w:sz w:val="20"/>
                <w:szCs w:val="20"/>
              </w:rPr>
            </w:pPr>
            <w:r w:rsidRPr="00D40A32">
              <w:rPr>
                <w:b/>
                <w:sz w:val="20"/>
                <w:szCs w:val="20"/>
              </w:rPr>
              <w:t>Hispanic</w:t>
            </w:r>
          </w:p>
        </w:tc>
        <w:tc>
          <w:tcPr>
            <w:tcW w:w="810" w:type="dxa"/>
          </w:tcPr>
          <w:p w14:paraId="0EC94BEE" w14:textId="77777777" w:rsidR="00B86A12" w:rsidRPr="00D40A32" w:rsidRDefault="00000000">
            <w:pPr>
              <w:rPr>
                <w:sz w:val="20"/>
                <w:szCs w:val="20"/>
              </w:rPr>
            </w:pPr>
            <w:r w:rsidRPr="00D40A32">
              <w:rPr>
                <w:b/>
                <w:sz w:val="20"/>
                <w:szCs w:val="20"/>
              </w:rPr>
              <w:t>Asian</w:t>
            </w:r>
          </w:p>
        </w:tc>
        <w:tc>
          <w:tcPr>
            <w:tcW w:w="1260" w:type="dxa"/>
          </w:tcPr>
          <w:p w14:paraId="5B72B403" w14:textId="77777777" w:rsidR="00B86A12" w:rsidRPr="00D40A32" w:rsidRDefault="00000000">
            <w:pPr>
              <w:rPr>
                <w:sz w:val="20"/>
                <w:szCs w:val="20"/>
              </w:rPr>
            </w:pPr>
            <w:r w:rsidRPr="00D40A32">
              <w:rPr>
                <w:b/>
                <w:sz w:val="20"/>
                <w:szCs w:val="20"/>
              </w:rPr>
              <w:t>Residual white/other share</w:t>
            </w:r>
          </w:p>
        </w:tc>
        <w:tc>
          <w:tcPr>
            <w:tcW w:w="630" w:type="dxa"/>
          </w:tcPr>
          <w:p w14:paraId="5A70CD07" w14:textId="77777777" w:rsidR="00B86A12" w:rsidRPr="00D40A32" w:rsidRDefault="00000000">
            <w:pPr>
              <w:rPr>
                <w:sz w:val="20"/>
                <w:szCs w:val="20"/>
              </w:rPr>
            </w:pPr>
            <w:r w:rsidRPr="00D40A32">
              <w:rPr>
                <w:b/>
                <w:sz w:val="20"/>
                <w:szCs w:val="20"/>
              </w:rPr>
              <w:t>PV / 1k</w:t>
            </w:r>
          </w:p>
        </w:tc>
        <w:tc>
          <w:tcPr>
            <w:tcW w:w="900" w:type="dxa"/>
          </w:tcPr>
          <w:p w14:paraId="34765BA3" w14:textId="77777777" w:rsidR="00B86A12" w:rsidRPr="00D40A32" w:rsidRDefault="00000000">
            <w:pPr>
              <w:rPr>
                <w:sz w:val="20"/>
                <w:szCs w:val="20"/>
              </w:rPr>
            </w:pPr>
            <w:r w:rsidRPr="00D40A32">
              <w:rPr>
                <w:b/>
                <w:sz w:val="20"/>
                <w:szCs w:val="20"/>
              </w:rPr>
              <w:t>Storage / 100k</w:t>
            </w:r>
          </w:p>
        </w:tc>
        <w:tc>
          <w:tcPr>
            <w:tcW w:w="1075" w:type="dxa"/>
          </w:tcPr>
          <w:p w14:paraId="3BA64ABE" w14:textId="77777777" w:rsidR="00B86A12" w:rsidRPr="00D40A32" w:rsidRDefault="00000000">
            <w:pPr>
              <w:rPr>
                <w:sz w:val="20"/>
                <w:szCs w:val="20"/>
              </w:rPr>
            </w:pPr>
            <w:r w:rsidRPr="00D40A32">
              <w:rPr>
                <w:b/>
                <w:sz w:val="20"/>
                <w:szCs w:val="20"/>
              </w:rPr>
              <w:t>Chargers / 1k</w:t>
            </w:r>
          </w:p>
        </w:tc>
      </w:tr>
      <w:tr w:rsidR="00B86A12" w14:paraId="325FEC98" w14:textId="77777777" w:rsidTr="00D40A32">
        <w:tc>
          <w:tcPr>
            <w:tcW w:w="1075" w:type="dxa"/>
          </w:tcPr>
          <w:p w14:paraId="67DFFE60" w14:textId="77777777" w:rsidR="00B86A12" w:rsidRDefault="00000000">
            <w:r>
              <w:t>Blue (1)</w:t>
            </w:r>
          </w:p>
        </w:tc>
        <w:tc>
          <w:tcPr>
            <w:tcW w:w="720" w:type="dxa"/>
          </w:tcPr>
          <w:p w14:paraId="172E8B42" w14:textId="77777777" w:rsidR="00B86A12" w:rsidRDefault="00000000">
            <w:r>
              <w:t>1,218</w:t>
            </w:r>
          </w:p>
        </w:tc>
        <w:tc>
          <w:tcPr>
            <w:tcW w:w="990" w:type="dxa"/>
          </w:tcPr>
          <w:p w14:paraId="6FA12968" w14:textId="77777777" w:rsidR="00B86A12" w:rsidRDefault="00000000">
            <w:r>
              <w:t>$87.5k</w:t>
            </w:r>
          </w:p>
        </w:tc>
        <w:tc>
          <w:tcPr>
            <w:tcW w:w="900" w:type="dxa"/>
          </w:tcPr>
          <w:p w14:paraId="14BE7119" w14:textId="77777777" w:rsidR="00B86A12" w:rsidRDefault="00000000">
            <w:r>
              <w:t>12.9%</w:t>
            </w:r>
          </w:p>
        </w:tc>
        <w:tc>
          <w:tcPr>
            <w:tcW w:w="720" w:type="dxa"/>
          </w:tcPr>
          <w:p w14:paraId="6905785D" w14:textId="77777777" w:rsidR="00B86A12" w:rsidRDefault="00000000">
            <w:r>
              <w:t>2.5%</w:t>
            </w:r>
          </w:p>
        </w:tc>
        <w:tc>
          <w:tcPr>
            <w:tcW w:w="990" w:type="dxa"/>
          </w:tcPr>
          <w:p w14:paraId="11E76F0A" w14:textId="77777777" w:rsidR="00B86A12" w:rsidRDefault="00000000">
            <w:r>
              <w:t>30.1%</w:t>
            </w:r>
          </w:p>
        </w:tc>
        <w:tc>
          <w:tcPr>
            <w:tcW w:w="810" w:type="dxa"/>
          </w:tcPr>
          <w:p w14:paraId="769B91A5" w14:textId="77777777" w:rsidR="00B86A12" w:rsidRDefault="00000000">
            <w:r>
              <w:t>4.1%</w:t>
            </w:r>
          </w:p>
        </w:tc>
        <w:tc>
          <w:tcPr>
            <w:tcW w:w="1260" w:type="dxa"/>
          </w:tcPr>
          <w:p w14:paraId="492F5DED" w14:textId="77777777" w:rsidR="00B86A12" w:rsidRDefault="00000000">
            <w:r>
              <w:t>63.3%</w:t>
            </w:r>
          </w:p>
        </w:tc>
        <w:tc>
          <w:tcPr>
            <w:tcW w:w="630" w:type="dxa"/>
          </w:tcPr>
          <w:p w14:paraId="39333805" w14:textId="77777777" w:rsidR="00B86A12" w:rsidRDefault="00000000">
            <w:r>
              <w:t>0.89</w:t>
            </w:r>
          </w:p>
        </w:tc>
        <w:tc>
          <w:tcPr>
            <w:tcW w:w="900" w:type="dxa"/>
          </w:tcPr>
          <w:p w14:paraId="7CF8F95F" w14:textId="77777777" w:rsidR="00B86A12" w:rsidRDefault="00000000">
            <w:r>
              <w:t>11.00</w:t>
            </w:r>
          </w:p>
        </w:tc>
        <w:tc>
          <w:tcPr>
            <w:tcW w:w="1075" w:type="dxa"/>
          </w:tcPr>
          <w:p w14:paraId="76839E61" w14:textId="77777777" w:rsidR="00B86A12" w:rsidRDefault="00000000">
            <w:r>
              <w:t>13.66</w:t>
            </w:r>
          </w:p>
        </w:tc>
      </w:tr>
      <w:tr w:rsidR="00B86A12" w14:paraId="110F5E7D" w14:textId="77777777" w:rsidTr="00D40A32">
        <w:tc>
          <w:tcPr>
            <w:tcW w:w="1075" w:type="dxa"/>
          </w:tcPr>
          <w:p w14:paraId="250458B7" w14:textId="77777777" w:rsidR="00B86A12" w:rsidRDefault="00000000">
            <w:r>
              <w:t>Orange (2)</w:t>
            </w:r>
          </w:p>
        </w:tc>
        <w:tc>
          <w:tcPr>
            <w:tcW w:w="720" w:type="dxa"/>
          </w:tcPr>
          <w:p w14:paraId="32CC21A0" w14:textId="77777777" w:rsidR="00B86A12" w:rsidRDefault="00000000">
            <w:r>
              <w:t>279</w:t>
            </w:r>
          </w:p>
        </w:tc>
        <w:tc>
          <w:tcPr>
            <w:tcW w:w="990" w:type="dxa"/>
          </w:tcPr>
          <w:p w14:paraId="5C32B2FE" w14:textId="77777777" w:rsidR="00B86A12" w:rsidRDefault="00000000">
            <w:r>
              <w:t>$159.6k</w:t>
            </w:r>
          </w:p>
        </w:tc>
        <w:tc>
          <w:tcPr>
            <w:tcW w:w="900" w:type="dxa"/>
          </w:tcPr>
          <w:p w14:paraId="20099923" w14:textId="77777777" w:rsidR="00B86A12" w:rsidRDefault="00000000">
            <w:r>
              <w:t>7.8%</w:t>
            </w:r>
          </w:p>
        </w:tc>
        <w:tc>
          <w:tcPr>
            <w:tcW w:w="720" w:type="dxa"/>
          </w:tcPr>
          <w:p w14:paraId="2B44858B" w14:textId="77777777" w:rsidR="00B86A12" w:rsidRDefault="00000000">
            <w:r>
              <w:t>3.3%</w:t>
            </w:r>
          </w:p>
        </w:tc>
        <w:tc>
          <w:tcPr>
            <w:tcW w:w="990" w:type="dxa"/>
          </w:tcPr>
          <w:p w14:paraId="7EC3F750" w14:textId="77777777" w:rsidR="00B86A12" w:rsidRDefault="00000000">
            <w:r>
              <w:t>15.9%</w:t>
            </w:r>
          </w:p>
        </w:tc>
        <w:tc>
          <w:tcPr>
            <w:tcW w:w="810" w:type="dxa"/>
          </w:tcPr>
          <w:p w14:paraId="3EF3C5C1" w14:textId="77777777" w:rsidR="00B86A12" w:rsidRDefault="00000000">
            <w:r>
              <w:t>24.0%</w:t>
            </w:r>
          </w:p>
        </w:tc>
        <w:tc>
          <w:tcPr>
            <w:tcW w:w="1260" w:type="dxa"/>
          </w:tcPr>
          <w:p w14:paraId="28F6432C" w14:textId="77777777" w:rsidR="00B86A12" w:rsidRDefault="00000000">
            <w:r>
              <w:t>56.8%</w:t>
            </w:r>
          </w:p>
        </w:tc>
        <w:tc>
          <w:tcPr>
            <w:tcW w:w="630" w:type="dxa"/>
          </w:tcPr>
          <w:p w14:paraId="0A7BC275" w14:textId="77777777" w:rsidR="00B86A12" w:rsidRDefault="00000000">
            <w:r>
              <w:t>0.52</w:t>
            </w:r>
          </w:p>
        </w:tc>
        <w:tc>
          <w:tcPr>
            <w:tcW w:w="900" w:type="dxa"/>
          </w:tcPr>
          <w:p w14:paraId="48DFC351" w14:textId="77777777" w:rsidR="00B86A12" w:rsidRDefault="00000000">
            <w:r>
              <w:t>10.66</w:t>
            </w:r>
          </w:p>
        </w:tc>
        <w:tc>
          <w:tcPr>
            <w:tcW w:w="1075" w:type="dxa"/>
          </w:tcPr>
          <w:p w14:paraId="4B54D8D6" w14:textId="77777777" w:rsidR="00B86A12" w:rsidRDefault="00000000">
            <w:r>
              <w:t>10.83</w:t>
            </w:r>
          </w:p>
        </w:tc>
      </w:tr>
      <w:tr w:rsidR="00B86A12" w14:paraId="7B3AF64D" w14:textId="77777777" w:rsidTr="00D40A32">
        <w:tc>
          <w:tcPr>
            <w:tcW w:w="1075" w:type="dxa"/>
          </w:tcPr>
          <w:p w14:paraId="15A8A599" w14:textId="77777777" w:rsidR="00B86A12" w:rsidRDefault="00000000">
            <w:r>
              <w:t>Green (3)</w:t>
            </w:r>
          </w:p>
        </w:tc>
        <w:tc>
          <w:tcPr>
            <w:tcW w:w="720" w:type="dxa"/>
          </w:tcPr>
          <w:p w14:paraId="01E59D4D" w14:textId="77777777" w:rsidR="00B86A12" w:rsidRDefault="00000000">
            <w:r>
              <w:t>323</w:t>
            </w:r>
          </w:p>
        </w:tc>
        <w:tc>
          <w:tcPr>
            <w:tcW w:w="990" w:type="dxa"/>
          </w:tcPr>
          <w:p w14:paraId="60D047B8" w14:textId="77777777" w:rsidR="00B86A12" w:rsidRDefault="00000000">
            <w:r>
              <w:t>$64.2k</w:t>
            </w:r>
          </w:p>
        </w:tc>
        <w:tc>
          <w:tcPr>
            <w:tcW w:w="900" w:type="dxa"/>
          </w:tcPr>
          <w:p w14:paraId="315C5941" w14:textId="77777777" w:rsidR="00B86A12" w:rsidRDefault="00000000">
            <w:r>
              <w:t>20.2%</w:t>
            </w:r>
          </w:p>
        </w:tc>
        <w:tc>
          <w:tcPr>
            <w:tcW w:w="720" w:type="dxa"/>
          </w:tcPr>
          <w:p w14:paraId="3ED8E350" w14:textId="77777777" w:rsidR="00B86A12" w:rsidRDefault="00000000">
            <w:r>
              <w:t>5.6%</w:t>
            </w:r>
          </w:p>
        </w:tc>
        <w:tc>
          <w:tcPr>
            <w:tcW w:w="990" w:type="dxa"/>
          </w:tcPr>
          <w:p w14:paraId="21953F98" w14:textId="77777777" w:rsidR="00B86A12" w:rsidRDefault="00000000">
            <w:r>
              <w:t>63.4%</w:t>
            </w:r>
          </w:p>
        </w:tc>
        <w:tc>
          <w:tcPr>
            <w:tcW w:w="810" w:type="dxa"/>
          </w:tcPr>
          <w:p w14:paraId="75B5614A" w14:textId="77777777" w:rsidR="00B86A12" w:rsidRDefault="00000000">
            <w:r>
              <w:t>4.7%</w:t>
            </w:r>
          </w:p>
        </w:tc>
        <w:tc>
          <w:tcPr>
            <w:tcW w:w="1260" w:type="dxa"/>
          </w:tcPr>
          <w:p w14:paraId="4A624121" w14:textId="77777777" w:rsidR="00B86A12" w:rsidRDefault="00000000">
            <w:r>
              <w:t>26.3%</w:t>
            </w:r>
          </w:p>
        </w:tc>
        <w:tc>
          <w:tcPr>
            <w:tcW w:w="630" w:type="dxa"/>
          </w:tcPr>
          <w:p w14:paraId="36696262" w14:textId="77777777" w:rsidR="00B86A12" w:rsidRDefault="00000000">
            <w:r>
              <w:t>0.92</w:t>
            </w:r>
          </w:p>
        </w:tc>
        <w:tc>
          <w:tcPr>
            <w:tcW w:w="900" w:type="dxa"/>
          </w:tcPr>
          <w:p w14:paraId="03F029D0" w14:textId="77777777" w:rsidR="00B86A12" w:rsidRDefault="00000000">
            <w:r>
              <w:t>5.62</w:t>
            </w:r>
          </w:p>
        </w:tc>
        <w:tc>
          <w:tcPr>
            <w:tcW w:w="1075" w:type="dxa"/>
          </w:tcPr>
          <w:p w14:paraId="2F80CCBB" w14:textId="77777777" w:rsidR="00B86A12" w:rsidRDefault="00000000">
            <w:r>
              <w:t>2.81</w:t>
            </w:r>
          </w:p>
        </w:tc>
      </w:tr>
      <w:tr w:rsidR="00B86A12" w14:paraId="7361E314" w14:textId="77777777" w:rsidTr="00D40A32">
        <w:tc>
          <w:tcPr>
            <w:tcW w:w="1075" w:type="dxa"/>
          </w:tcPr>
          <w:p w14:paraId="2007D60B" w14:textId="77777777" w:rsidR="00B86A12" w:rsidRDefault="00000000">
            <w:r>
              <w:t>Red (4)</w:t>
            </w:r>
          </w:p>
        </w:tc>
        <w:tc>
          <w:tcPr>
            <w:tcW w:w="720" w:type="dxa"/>
          </w:tcPr>
          <w:p w14:paraId="67AB3764" w14:textId="77777777" w:rsidR="00B86A12" w:rsidRDefault="00000000">
            <w:r>
              <w:t>488</w:t>
            </w:r>
          </w:p>
        </w:tc>
        <w:tc>
          <w:tcPr>
            <w:tcW w:w="990" w:type="dxa"/>
          </w:tcPr>
          <w:p w14:paraId="2E78D78A" w14:textId="77777777" w:rsidR="00B86A12" w:rsidRDefault="00000000">
            <w:r>
              <w:t>$104.9k</w:t>
            </w:r>
          </w:p>
        </w:tc>
        <w:tc>
          <w:tcPr>
            <w:tcW w:w="900" w:type="dxa"/>
          </w:tcPr>
          <w:p w14:paraId="6CF1854C" w14:textId="77777777" w:rsidR="00B86A12" w:rsidRDefault="00000000">
            <w:r>
              <w:t>10.4%</w:t>
            </w:r>
          </w:p>
        </w:tc>
        <w:tc>
          <w:tcPr>
            <w:tcW w:w="720" w:type="dxa"/>
          </w:tcPr>
          <w:p w14:paraId="0893AF58" w14:textId="77777777" w:rsidR="00B86A12" w:rsidRDefault="00000000">
            <w:r>
              <w:t>6.0%</w:t>
            </w:r>
          </w:p>
        </w:tc>
        <w:tc>
          <w:tcPr>
            <w:tcW w:w="990" w:type="dxa"/>
          </w:tcPr>
          <w:p w14:paraId="24BA8AAD" w14:textId="77777777" w:rsidR="00B86A12" w:rsidRDefault="00000000">
            <w:r>
              <w:t>33.9%</w:t>
            </w:r>
          </w:p>
        </w:tc>
        <w:tc>
          <w:tcPr>
            <w:tcW w:w="810" w:type="dxa"/>
          </w:tcPr>
          <w:p w14:paraId="2366E22C" w14:textId="77777777" w:rsidR="00B86A12" w:rsidRDefault="00000000">
            <w:r>
              <w:t>16.8%</w:t>
            </w:r>
          </w:p>
        </w:tc>
        <w:tc>
          <w:tcPr>
            <w:tcW w:w="1260" w:type="dxa"/>
          </w:tcPr>
          <w:p w14:paraId="3CFF64DC" w14:textId="77777777" w:rsidR="00B86A12" w:rsidRDefault="00000000">
            <w:r>
              <w:t>43.3%</w:t>
            </w:r>
          </w:p>
        </w:tc>
        <w:tc>
          <w:tcPr>
            <w:tcW w:w="630" w:type="dxa"/>
          </w:tcPr>
          <w:p w14:paraId="2CCD3293" w14:textId="77777777" w:rsidR="00B86A12" w:rsidRDefault="00000000">
            <w:r>
              <w:t>0.43</w:t>
            </w:r>
          </w:p>
        </w:tc>
        <w:tc>
          <w:tcPr>
            <w:tcW w:w="900" w:type="dxa"/>
          </w:tcPr>
          <w:p w14:paraId="571A0565" w14:textId="77777777" w:rsidR="00B86A12" w:rsidRDefault="00000000">
            <w:r>
              <w:t>5.13</w:t>
            </w:r>
          </w:p>
        </w:tc>
        <w:tc>
          <w:tcPr>
            <w:tcW w:w="1075" w:type="dxa"/>
          </w:tcPr>
          <w:p w14:paraId="1C4DE549" w14:textId="77777777" w:rsidR="00B86A12" w:rsidRDefault="00000000">
            <w:r>
              <w:t>2.39</w:t>
            </w:r>
          </w:p>
        </w:tc>
      </w:tr>
      <w:tr w:rsidR="00B86A12" w14:paraId="62944C25" w14:textId="77777777" w:rsidTr="00D40A32">
        <w:tc>
          <w:tcPr>
            <w:tcW w:w="1075" w:type="dxa"/>
          </w:tcPr>
          <w:p w14:paraId="0D517400" w14:textId="77777777" w:rsidR="00B86A12" w:rsidRDefault="00000000">
            <w:r>
              <w:t>Purple (5)</w:t>
            </w:r>
          </w:p>
        </w:tc>
        <w:tc>
          <w:tcPr>
            <w:tcW w:w="720" w:type="dxa"/>
          </w:tcPr>
          <w:p w14:paraId="08DBCF89" w14:textId="77777777" w:rsidR="00B86A12" w:rsidRDefault="00000000">
            <w:r>
              <w:t>252</w:t>
            </w:r>
          </w:p>
        </w:tc>
        <w:tc>
          <w:tcPr>
            <w:tcW w:w="990" w:type="dxa"/>
          </w:tcPr>
          <w:p w14:paraId="73B582B3" w14:textId="77777777" w:rsidR="00B86A12" w:rsidRDefault="00000000">
            <w:r>
              <w:t>$74.4k</w:t>
            </w:r>
          </w:p>
        </w:tc>
        <w:tc>
          <w:tcPr>
            <w:tcW w:w="900" w:type="dxa"/>
          </w:tcPr>
          <w:p w14:paraId="1563F541" w14:textId="77777777" w:rsidR="00B86A12" w:rsidRDefault="00000000">
            <w:r>
              <w:t>13.7%</w:t>
            </w:r>
          </w:p>
        </w:tc>
        <w:tc>
          <w:tcPr>
            <w:tcW w:w="720" w:type="dxa"/>
          </w:tcPr>
          <w:p w14:paraId="36C48B91" w14:textId="77777777" w:rsidR="00B86A12" w:rsidRDefault="00000000">
            <w:r>
              <w:t>0.9%</w:t>
            </w:r>
          </w:p>
        </w:tc>
        <w:tc>
          <w:tcPr>
            <w:tcW w:w="990" w:type="dxa"/>
          </w:tcPr>
          <w:p w14:paraId="2D2B020F" w14:textId="77777777" w:rsidR="00B86A12" w:rsidRDefault="00000000">
            <w:r>
              <w:t>14.9%</w:t>
            </w:r>
          </w:p>
        </w:tc>
        <w:tc>
          <w:tcPr>
            <w:tcW w:w="810" w:type="dxa"/>
          </w:tcPr>
          <w:p w14:paraId="65FABEC2" w14:textId="77777777" w:rsidR="00B86A12" w:rsidRDefault="00000000">
            <w:r>
              <w:t>1.5%</w:t>
            </w:r>
          </w:p>
        </w:tc>
        <w:tc>
          <w:tcPr>
            <w:tcW w:w="1260" w:type="dxa"/>
          </w:tcPr>
          <w:p w14:paraId="5F74F2FD" w14:textId="77777777" w:rsidR="00B86A12" w:rsidRDefault="00000000">
            <w:r>
              <w:t>82.7%</w:t>
            </w:r>
          </w:p>
        </w:tc>
        <w:tc>
          <w:tcPr>
            <w:tcW w:w="630" w:type="dxa"/>
          </w:tcPr>
          <w:p w14:paraId="249ABDF0" w14:textId="77777777" w:rsidR="00B86A12" w:rsidRDefault="00000000">
            <w:r>
              <w:t>0.45</w:t>
            </w:r>
          </w:p>
        </w:tc>
        <w:tc>
          <w:tcPr>
            <w:tcW w:w="900" w:type="dxa"/>
          </w:tcPr>
          <w:p w14:paraId="5F75547C" w14:textId="77777777" w:rsidR="00B86A12" w:rsidRDefault="00000000">
            <w:r>
              <w:t>10.63</w:t>
            </w:r>
          </w:p>
        </w:tc>
        <w:tc>
          <w:tcPr>
            <w:tcW w:w="1075" w:type="dxa"/>
          </w:tcPr>
          <w:p w14:paraId="33371102" w14:textId="77777777" w:rsidR="00B86A12" w:rsidRDefault="00000000">
            <w:r>
              <w:t>5.40</w:t>
            </w:r>
          </w:p>
        </w:tc>
      </w:tr>
    </w:tbl>
    <w:p w14:paraId="6E3A2026" w14:textId="77777777" w:rsidR="00B86A12" w:rsidRDefault="00B86A12"/>
    <w:p w14:paraId="46F0438C" w14:textId="77777777" w:rsidR="00B86A12" w:rsidRDefault="00000000">
      <w:pPr>
        <w:pStyle w:val="Heading2"/>
      </w:pPr>
      <w:r>
        <w:lastRenderedPageBreak/>
        <w:t>5.8 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w:t>
      </w:r>
      <w:r w:rsidR="00A80216">
        <w:t xml:space="preserve"> </w:t>
      </w:r>
      <w:r>
        <w:t>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47">
                      <a:extLst>
                        <a:ext uri="{96DAC541-7B7A-43D3-8B79-37D633B846F1}">
                          <asvg:svgBlip xmlns:asvg="http://schemas.microsoft.com/office/drawing/2016/SVG/main" r:embed="rId48"/>
                        </a:ext>
                      </a:extLst>
                    </a:blip>
                    <a:stretch>
                      <a:fillRect/>
                    </a:stretch>
                  </pic:blipFill>
                  <pic:spPr>
                    <a:xfrm>
                      <a:off x="0" y="0"/>
                      <a:ext cx="4158114" cy="3953096"/>
                    </a:xfrm>
                    <a:prstGeom prst="rect">
                      <a:avLst/>
                    </a:prstGeom>
                  </pic:spPr>
                </pic:pic>
              </a:graphicData>
            </a:graphic>
          </wp:inline>
        </w:drawing>
      </w:r>
    </w:p>
    <w:p w14:paraId="2C0DEE82" w14:textId="6DB7EBC9" w:rsidR="00B86A12" w:rsidRDefault="00B140D9" w:rsidP="00B140D9">
      <w:pPr>
        <w:pStyle w:val="Caption"/>
        <w:jc w:val="center"/>
      </w:pPr>
      <w:r>
        <w:t>Figure 13</w:t>
      </w:r>
      <w:r w:rsidR="00A80216">
        <w:t>:</w:t>
      </w:r>
      <w:r>
        <w:t xml:space="preserve"> Standardized robustness summary for y_wind_mw, included mainly as contextual evidence rather than as a headline equity result.</w:t>
      </w:r>
    </w:p>
    <w:p w14:paraId="3054E7EA" w14:textId="77777777" w:rsidR="00B86A12" w:rsidRDefault="00000000">
      <w:pPr>
        <w:pStyle w:val="Heading2"/>
      </w:pPr>
      <w:r>
        <w:t>5.9 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pPr>
      <w:r>
        <w:lastRenderedPageBreak/>
        <w:t>5. Discussion</w:t>
      </w:r>
    </w:p>
    <w:p w14:paraId="3308C8B4" w14:textId="54A9FFC1" w:rsidR="00B86A12" w:rsidRDefault="00091F08">
      <w:pPr>
        <w:pStyle w:val="Heading2"/>
      </w:pPr>
      <w:r>
        <w:t>5.1 What persists and what changes across DER types</w:t>
      </w:r>
    </w:p>
    <w:p w14:paraId="730867E5" w14:textId="4A09D824" w:rsidR="00B86A12" w:rsidRDefault="00000000">
      <w:r>
        <w:t xml:space="preserve">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w:t>
      </w:r>
      <w:r w:rsidR="009657B3">
        <w:t>disparities’</w:t>
      </w:r>
      <w:r>
        <w:t xml:space="preserve">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pPr>
      <w:r>
        <w:t>5.2 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pPr>
      <w:r>
        <w:t>5.3 Policy relevance</w:t>
      </w:r>
    </w:p>
    <w:p w14:paraId="525D3816" w14:textId="3522DC70" w:rsidR="00B86A12" w:rsidRDefault="0000000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pPr>
      <w:r>
        <w:t>5.4 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w:t>
      </w:r>
      <w:r w:rsidR="009657B3">
        <w:t xml:space="preserve">cost </w:t>
      </w:r>
      <w:r>
        <w:t>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pPr>
      <w:r>
        <w:t>5.5 Potential policy measures to address inequities</w:t>
      </w:r>
    </w:p>
    <w:p w14:paraId="67FAD764" w14:textId="297118C1" w:rsidR="00614286" w:rsidRPr="00614286" w:rsidRDefault="00614286" w:rsidP="00614286">
      <w:r>
        <w:t>The results imply different levers for different actors, and different emphases by technology.</w:t>
      </w:r>
      <w:r w:rsidR="00FC7C7A">
        <w:t xml:space="preserve"> The cross-technology divergence argues against a single “DER equity” mandate. PV, storage, and charging require distinct </w:t>
      </w:r>
      <w:r w:rsidR="00FC7C7A">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pPr>
      <w:r>
        <w:t>6. Methods</w:t>
      </w:r>
    </w:p>
    <w:p w14:paraId="090A744C" w14:textId="2765185F" w:rsidR="00091F08" w:rsidRDefault="00091F08" w:rsidP="00091F08">
      <w:pPr>
        <w:pStyle w:val="Heading2"/>
      </w:pPr>
      <w:r>
        <w:t>6.1 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w:t>
      </w:r>
      <w:r w:rsidR="009657B3">
        <w:t xml:space="preserve"> </w:t>
      </w:r>
      <w:r>
        <w:t xml:space="preserve">To do this, </w:t>
      </w:r>
      <w:r w:rsidR="009657B3">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t>
      </w:r>
      <w:r w:rsidR="00306FC0">
        <w:t>We</w:t>
      </w:r>
      <w:r>
        <w:t xml:space="preserv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pPr>
      <w:r>
        <w:lastRenderedPageBreak/>
        <w:t>6.2 Dataset Construction and Sample</w:t>
      </w:r>
    </w:p>
    <w:p w14:paraId="28DFB4A1"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292156D6" w14:textId="77777777" w:rsidR="00091F08" w:rsidRDefault="00091F08" w:rsidP="00091F08">
      <w:r>
        <w:t>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Figure 1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 xml:space="preserve">The unit of analysis is the ZIP/ZCTA. </w:t>
      </w:r>
      <w:r w:rsidR="00306FC0">
        <w:t>We</w:t>
      </w:r>
      <w:r>
        <w:t xml:space="preserv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pPr>
      <w:r>
        <w:t>6.3 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rsidR="009657B3">
        <w:rPr>
          <w:rFonts w:ascii="Courier New" w:hAnsi="Courier New"/>
          <w:sz w:val="18"/>
        </w:rPr>
        <w:t>)</w:t>
      </w:r>
      <w:r>
        <w:t>. This helps reduce skew and allows ZIP/ZCTAs with zero deployment to remain in the sample.</w:t>
      </w:r>
      <w:r w:rsidR="008653DC">
        <w:t xml:space="preserve"> </w:t>
      </w:r>
      <w:r>
        <w:t>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w:t>
      </w:r>
      <w:r w:rsidR="008653DC">
        <w:t xml:space="preserve"> </w:t>
      </w:r>
      <w:r>
        <w:t xml:space="preserve">In supplementary analysis, </w:t>
      </w:r>
      <w:r w:rsidR="009657B3">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pPr>
      <w:r>
        <w:t>6.4 Key Explanatory Variables</w:t>
      </w:r>
    </w:p>
    <w:p w14:paraId="716824F1" w14:textId="75DC4F9C" w:rsidR="00091F08" w:rsidRDefault="00091F08" w:rsidP="00091F08">
      <w:r>
        <w:t>The main explanatory variables fall into two groups: racial/ethnic composition and socioeconomic status.</w:t>
      </w:r>
      <w:r w:rsidR="008653DC">
        <w:t xml:space="preserve"> </w:t>
      </w:r>
      <w:r>
        <w:t xml:space="preserve">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8653DC">
        <w:t>we</w:t>
      </w:r>
      <w:r>
        <w:t xml:space="preserv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pPr>
      <w:r>
        <w:t>6.5 Contextual Controls</w:t>
      </w:r>
    </w:p>
    <w:p w14:paraId="2E726336" w14:textId="6453AC01" w:rsidR="00091F08" w:rsidRDefault="00306FC0" w:rsidP="00091F08">
      <w:r>
        <w:t>We</w:t>
      </w:r>
      <w:r w:rsidR="00091F08">
        <w:t xml:space="preserve"> include several categories of place-based controls to account for non-demographic factors that may shape DER deployment. First, </w:t>
      </w:r>
      <w:r w:rsidR="00191111">
        <w:t>we</w:t>
      </w:r>
      <w:r w:rsidR="00091F08">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 xml:space="preserve">Second, </w:t>
      </w:r>
      <w:r w:rsidR="00191111">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 xml:space="preserve">Third, </w:t>
      </w:r>
      <w:r w:rsidR="00191111">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FC526E">
        <w:t>w</w:t>
      </w:r>
      <w:r w:rsidR="00306FC0">
        <w:t>e</w:t>
      </w:r>
      <w:r>
        <w:t xml:space="preserve"> refer below to county-clustered standard errors, </w:t>
      </w:r>
      <w:r w:rsidR="00FC526E">
        <w:t>w</w:t>
      </w:r>
      <w:r w:rsidR="00306FC0">
        <w:t>e</w:t>
      </w:r>
      <w:r>
        <w:t xml:space="preserve"> mean that inference is adjusted for within-county error correlation rather than assuming each ZIP/ZCTA contributes an independent disturbance.</w:t>
      </w:r>
    </w:p>
    <w:p w14:paraId="544354D0" w14:textId="46BD488D" w:rsidR="00091F08" w:rsidRDefault="00091F08" w:rsidP="00091F08">
      <w:r>
        <w:t xml:space="preserve">Fourth, </w:t>
      </w:r>
      <w:r w:rsidR="00191111">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pPr>
      <w:r>
        <w:lastRenderedPageBreak/>
        <w:t>6.6 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91111">
        <w:t>we</w:t>
      </w:r>
      <w:r>
        <w:t xml:space="preserve"> also cluster standard errors at the county level to allow for within-county correlation in errors.</w:t>
      </w:r>
    </w:p>
    <w:p w14:paraId="2340E6FB" w14:textId="265012DE" w:rsidR="00091F08" w:rsidRDefault="00091F08" w:rsidP="00091F08">
      <w:r>
        <w:t xml:space="preserve">Rather than relying on one preferred specification, </w:t>
      </w:r>
      <w:r w:rsidR="00191111">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pPr>
      <w:bookmarkStart w:id="13" w:name="_Ref236222995"/>
      <w:r>
        <w:t>6.7 Model Series</w:t>
      </w:r>
      <w:bookmarkEnd w:id="13"/>
    </w:p>
    <w:p w14:paraId="282C32C1" w14:textId="1D86728E" w:rsidR="00091F08" w:rsidRDefault="002B54C7" w:rsidP="00091F08">
      <w:pPr>
        <w:pStyle w:val="Heading3"/>
      </w:pPr>
      <w:r w:rsidRPr="002B54C7">
        <w:t xml:space="preserve">Model 1: </w:t>
      </w:r>
      <w:r w:rsidR="00091F08">
        <w:t>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pPr>
      <w:r>
        <w:t xml:space="preserve">Model 2: </w:t>
      </w:r>
      <w:r w:rsidR="00091F08">
        <w:t>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w:t>
      </w:r>
      <w:r w:rsidR="00091F08">
        <w:t xml:space="preserv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t>
      </w:r>
      <w:r w:rsidR="00FC526E">
        <w:t>w</w:t>
      </w:r>
      <w:r w:rsidR="00306FC0">
        <w:t>e</w:t>
      </w:r>
      <w:r>
        <w:t xml:space="preserve"> estimate alternative versions of the baseline model with different climate or physical-suitability controls. For PV, this includes solar </w:t>
      </w:r>
      <w:r>
        <w:lastRenderedPageBreak/>
        <w:t xml:space="preserve">irradiance. For some outcomes, </w:t>
      </w:r>
      <w:r w:rsidR="00FC526E">
        <w:t>we</w:t>
      </w:r>
      <w:r>
        <w:t xml:space="preserve"> compare degree-day controls with mean-temperature-based controls. For wind-related outcomes, </w:t>
      </w:r>
      <w:r w:rsidR="00FC526E">
        <w:t>we</w:t>
      </w:r>
      <w:r>
        <w:t xml:space="preserv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w:t>
      </w:r>
      <w:r w:rsidR="00091F08">
        <w:t xml:space="preserv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⋅Asian_c_z + gamma X_z + epsilon_z</m:t>
          </m:r>
        </m:oMath>
      </m:oMathPara>
    </w:p>
    <w:p w14:paraId="61F18E92" w14:textId="77777777" w:rsidR="00091F08" w:rsidRDefault="00091F08" w:rsidP="00091F08">
      <w:pPr>
        <w:pStyle w:val="Heading3"/>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4"/>
      <w:r>
        <w:t>we</w:t>
      </w:r>
      <w:r w:rsidR="00091F08">
        <w:t xml:space="preserve"> estimate specifications with utility territory fixed effects to absorb institutional differences across service areas. </w:t>
      </w:r>
      <w:r>
        <w:t>we</w:t>
      </w:r>
      <w:r w:rsidR="00091F08">
        <w:t xml:space="preserve"> also estimate county-clustered standard errors as a robustness check for inference.</w:t>
      </w:r>
      <w:commentRangeEnd w:id="14"/>
      <w:r w:rsidR="00C848A2">
        <w:rPr>
          <w:rStyle w:val="CommentReference"/>
          <w:sz w:val="22"/>
          <w:szCs w:val="22"/>
        </w:rPr>
        <w:commentReference w:id="14"/>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tabs>
          <w:tab w:val="left" w:pos="2647"/>
        </w:tabs>
      </w:pPr>
      <w:r>
        <w:t>Geographic Robustness</w:t>
      </w:r>
      <w:r w:rsidR="008E511D">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pPr>
      <w:r>
        <w:t xml:space="preserve">Model 7: </w:t>
      </w:r>
      <w:r w:rsidR="00091F08">
        <w:t>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w:t>
      </w:r>
      <w:r w:rsidR="00091F08">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1FE3D08D" w14:textId="4961AA92" w:rsidR="00091F08" w:rsidRDefault="002B54C7" w:rsidP="00091F08">
      <w:pPr>
        <w:pStyle w:val="Heading3"/>
      </w:pPr>
      <w:r w:rsidRPr="008E511D">
        <w:lastRenderedPageBreak/>
        <w:t xml:space="preserve">Model 8: </w:t>
      </w:r>
      <w:r>
        <w:t xml:space="preserve"> </w:t>
      </w:r>
      <w:r w:rsidR="00091F08">
        <w:t>Electricity Demand Controls</w:t>
      </w:r>
    </w:p>
    <w:p w14:paraId="01C46A66" w14:textId="3E147886" w:rsidR="00091F08" w:rsidRDefault="00C47129" w:rsidP="00091F08">
      <w:r>
        <w:t>Here</w:t>
      </w:r>
      <w:r w:rsidR="00091F08">
        <w:t xml:space="preserve">, </w:t>
      </w:r>
      <w:r>
        <w:t xml:space="preserve">we </w:t>
      </w:r>
      <w:r w:rsidR="00091F08">
        <w:t>add a demand proxy based on annual electricity consumption. This is particularly relevant for EV charging, where infrastructure deployment may track commercial activity and underlying load as much as residential adoption potential.</w:t>
      </w:r>
    </w:p>
    <w:p w14:paraId="35D857C7" w14:textId="7535A322" w:rsidR="004A1694" w:rsidRDefault="00191111" w:rsidP="004A1694">
      <m:oMathPara>
        <m:oMath>
          <m:r>
            <w:rPr>
              <w:rFonts w:ascii="Cambria Math" w:hAnsi="Cambria Math"/>
            </w:rPr>
            <m:t>y_z = beta_0 + beta RaceSES_z + gamma X_z + lambda Infrastructure_z + phi Demand_z + epsilon_z</m:t>
          </m:r>
        </m:oMath>
      </m:oMathPara>
    </w:p>
    <w:p w14:paraId="67D5CC51" w14:textId="63844D9C" w:rsidR="002B54C7" w:rsidRPr="002B54C7" w:rsidRDefault="002B54C7" w:rsidP="002B54C7">
      <w:r w:rsidRPr="00191111">
        <w:rPr>
          <w:rStyle w:val="Heading3Char"/>
        </w:rPr>
        <w:t>Model 9: Outcome-Specific DER Cross-Control / Extension Models</w:t>
      </w:r>
      <w:r w:rsidRPr="002B54C7">
        <w:br/>
      </w:r>
      <w:r w:rsidR="00191111">
        <w:t>This a</w:t>
      </w:r>
      <w:r>
        <w:t>dds</w:t>
      </w:r>
      <w:r w:rsidRPr="002B54C7">
        <w:t xml:space="preserve"> local PV deployment to the storage model to test whether storage disparities persist after conditioning on upstream PV deployment.</w:t>
      </w:r>
      <w:r w:rsidRPr="002B54C7">
        <w:br/>
        <w:t>Model 9 (predicting burden): adds DER deployment terms to the energy-burden outcome models to examine whether DER deployment is associated with household energy burden or affordability gaps.</w:t>
      </w:r>
    </w:p>
    <w:p w14:paraId="100C390A" w14:textId="77777777" w:rsidR="002B54C7" w:rsidRPr="002B54C7" w:rsidRDefault="002B54C7" w:rsidP="002B54C7">
      <w:r w:rsidRPr="002B54C7">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r w:rsidRPr="002B54C7">
        <w:t xml:space="preserve">Because Model 9 </w:t>
      </w:r>
      <w:r>
        <w:t>varies</w:t>
      </w:r>
      <w:r w:rsidRPr="002B54C7">
        <w:t xml:space="preserve"> </w:t>
      </w:r>
      <w:r>
        <w:t>with</w:t>
      </w:r>
      <w:r w:rsidRPr="002B54C7">
        <w:t xml:space="preserve"> the outcome, </w:t>
      </w:r>
      <w:r w:rsidR="00C47129">
        <w:t>we</w:t>
      </w:r>
      <w:r w:rsidRPr="002B54C7">
        <w:t xml:space="preserve"> treat it as a targeted robustness or extension model rather than a single</w:t>
      </w:r>
      <w:r>
        <w:t>,</w:t>
      </w:r>
      <w:r w:rsidRPr="002B54C7">
        <w:t xml:space="preserve"> uniform specification across all outcomes.</w:t>
      </w:r>
    </w:p>
    <w:p w14:paraId="67326EDE" w14:textId="38C881A9" w:rsidR="00091F08" w:rsidRDefault="00091F08" w:rsidP="00091F08">
      <w:r>
        <w:t xml:space="preserve">Taken together, this model ladder allows us to ask a structured question: do racial/ethnic disparities shrink meaningfully once </w:t>
      </w:r>
      <w:r w:rsidR="00FC526E">
        <w:t>w</w:t>
      </w:r>
      <w:r w:rsidR="00306FC0">
        <w:t>e</w:t>
      </w:r>
      <w:r>
        <w:t xml:space="preserve"> account for socioeconomic status, geography, utility context, and infrastructure, or do they remain persistent across specifications?</w:t>
      </w:r>
    </w:p>
    <w:p w14:paraId="14D4341D" w14:textId="758A24E6" w:rsidR="00091F08" w:rsidRDefault="0042424C" w:rsidP="00091F08">
      <w:pPr>
        <w:pStyle w:val="Heading2"/>
      </w:pPr>
      <w:r>
        <w:t>6.8 Estimation and Inference</w:t>
      </w:r>
    </w:p>
    <w:p w14:paraId="5B977C0B" w14:textId="6DBC1526" w:rsidR="00091F08" w:rsidRDefault="00091F08" w:rsidP="00091F08">
      <w:r>
        <w:t xml:space="preserve">The main quantities of interest are the coefficients on the race/ethnicity variables and how those coefficients change across specifications. </w:t>
      </w:r>
      <w:r w:rsidR="00306FC0">
        <w:t>We</w:t>
      </w:r>
      <w:r>
        <w:t xml:space="preserve"> compare both the direction and relative magnitude of these coefficients across solar PV, storage, and EV charging outcomes.</w:t>
      </w:r>
      <w:r w:rsidR="00191111">
        <w:t xml:space="preserve"> </w:t>
      </w:r>
      <w:r>
        <w:t xml:space="preserve">The interpretation is comparative rather than </w:t>
      </w:r>
      <w:r w:rsidR="004A1694">
        <w:t xml:space="preserve">at the individual </w:t>
      </w:r>
      <w:r>
        <w:t>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w:t>
      </w:r>
      <w:r w:rsidR="00191111">
        <w:t xml:space="preserve"> </w:t>
      </w:r>
      <w:r>
        <w:t>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pPr>
      <w:r>
        <w:t>6.9 Robustness and Diagnostic Checks</w:t>
      </w:r>
    </w:p>
    <w:p w14:paraId="5A294987" w14:textId="2DBCA13E" w:rsidR="00091F08" w:rsidRDefault="00091F08" w:rsidP="00091F08">
      <w:r>
        <w:t xml:space="preserve">In addition to the main regression ladder, </w:t>
      </w:r>
      <w:r w:rsidR="00877620">
        <w:t>we</w:t>
      </w:r>
      <w:r>
        <w:t xml:space="preserve"> conduct several supporting checks. </w:t>
      </w:r>
      <w:r w:rsidR="00306FC0">
        <w:t>We</w:t>
      </w:r>
      <w:r>
        <w:t xml:space="preserv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t>
      </w:r>
      <w:r w:rsidR="00306FC0">
        <w:t>We</w:t>
      </w:r>
      <w:r>
        <w:t xml:space="preserv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 xml:space="preserve">In exploratory analysis, </w:t>
      </w:r>
      <w:r w:rsidR="00877620">
        <w:t>we</w:t>
      </w:r>
      <w:r>
        <w:t xml:space="preserv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091F08">
      <w:pPr>
        <w:pStyle w:val="Heading2"/>
      </w:pPr>
      <w:r>
        <w:t>6.10 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w:t>
      </w:r>
      <w:r w:rsidR="00877620">
        <w:t xml:space="preserve"> </w:t>
      </w:r>
      <w:r>
        <w:t>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pPr>
      <w:r>
        <w:t>7. 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14:paraId="52FB18CC" w14:textId="77777777" w:rsidR="00B86A12" w:rsidRDefault="00000000">
      <w:pPr>
        <w:pStyle w:val="Heading1"/>
      </w:pPr>
      <w:r>
        <w:lastRenderedPageBreak/>
        <w:t>8. 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79B19795" w14:textId="77777777" w:rsidR="00B86A12" w:rsidRDefault="00000000">
      <w:pPr>
        <w:pStyle w:val="Heading1"/>
      </w:pPr>
      <w:commentRangeStart w:id="15"/>
      <w:r>
        <w:t>Appendix: Additional Robustness Visuals</w:t>
      </w:r>
      <w:commentRangeEnd w:id="15"/>
      <w:r w:rsidR="00554FC3">
        <w:rPr>
          <w:rStyle w:val="CommentReference"/>
          <w:sz w:val="28"/>
          <w:szCs w:val="28"/>
        </w:rPr>
        <w:commentReference w:id="15"/>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49"/>
                    <a:stretch>
                      <a:fillRect/>
                    </a:stretch>
                  </pic:blipFill>
                  <pic:spPr>
                    <a:xfrm>
                      <a:off x="0" y="0"/>
                      <a:ext cx="5943600" cy="3366210"/>
                    </a:xfrm>
                    <a:prstGeom prst="rect">
                      <a:avLst/>
                    </a:prstGeom>
                  </pic:spPr>
                </pic:pic>
              </a:graphicData>
            </a:graphic>
          </wp:inline>
        </w:drawing>
      </w:r>
    </w:p>
    <w:p w14:paraId="6236841C" w14:textId="77777777" w:rsidR="00B86A12" w:rsidRDefault="00000000">
      <w:r>
        <w:lastRenderedPageBreak/>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50"/>
                    <a:stretch>
                      <a:fillRect/>
                    </a:stretch>
                  </pic:blipFill>
                  <pic:spPr>
                    <a:xfrm>
                      <a:off x="0" y="0"/>
                      <a:ext cx="5943600" cy="3366210"/>
                    </a:xfrm>
                    <a:prstGeom prst="rect">
                      <a:avLst/>
                    </a:prstGeom>
                  </pic:spPr>
                </pic:pic>
              </a:graphicData>
            </a:graphic>
          </wp:inline>
        </w:drawing>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51"/>
                    <a:stretch>
                      <a:fillRect/>
                    </a:stretch>
                  </pic:blipFill>
                  <pic:spPr>
                    <a:xfrm>
                      <a:off x="0" y="0"/>
                      <a:ext cx="5943600" cy="2830607"/>
                    </a:xfrm>
                    <a:prstGeom prst="rect">
                      <a:avLst/>
                    </a:prstGeom>
                  </pic:spPr>
                </pic:pic>
              </a:graphicData>
            </a:graphic>
          </wp:inline>
        </w:drawing>
      </w:r>
    </w:p>
    <w:p w14:paraId="0256F616" w14:textId="77777777" w:rsidR="00B86A12" w:rsidRDefault="00000000">
      <w:r>
        <w:t xml:space="preserve">Representative baseline spatial output for rooftop PV. </w:t>
      </w:r>
      <w:commentRangeStart w:id="16"/>
      <w:r>
        <w:t>Matching storage and charging spatial maps are linked in the same appendix asset folder.</w:t>
      </w:r>
      <w:commentRangeEnd w:id="16"/>
      <w:r w:rsidR="00877620">
        <w:rPr>
          <w:rStyle w:val="CommentReference"/>
          <w:sz w:val="22"/>
          <w:szCs w:val="22"/>
        </w:rPr>
        <w:commentReference w:id="16"/>
      </w:r>
    </w:p>
    <w:p w14:paraId="5D2B68B5" w14:textId="77777777" w:rsidR="00B86A12" w:rsidRDefault="00000000">
      <w:pPr>
        <w:pStyle w:val="Heading3"/>
      </w:pPr>
      <w:r>
        <w:lastRenderedPageBreak/>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52"/>
                    <a:stretch>
                      <a:fillRect/>
                    </a:stretch>
                  </pic:blipFill>
                  <pic:spPr>
                    <a:xfrm>
                      <a:off x="0" y="0"/>
                      <a:ext cx="5943600" cy="3367847"/>
                    </a:xfrm>
                    <a:prstGeom prst="rect">
                      <a:avLst/>
                    </a:prstGeom>
                  </pic:spPr>
                </pic:pic>
              </a:graphicData>
            </a:graphic>
          </wp:inline>
        </w:drawing>
      </w:r>
    </w:p>
    <w:p w14:paraId="32ACAAB2" w14:textId="77777777" w:rsidR="00B86A12" w:rsidRDefault="00000000">
      <w:r>
        <w:t>Wind remains supplementary in the paper, but the model-comparison export is preserved here as a contextual benchmark against the consumer-facing DER outcomes.</w:t>
      </w:r>
    </w:p>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sidRPr="00CB57CA">
            <w:rPr>
              <w:rFonts w:eastAsia="Times New Roman" w:cs="Times New Roman"/>
              <w:color w:val="000000"/>
            </w:rPr>
            <w:t>[1]</w:t>
          </w:r>
          <w:r w:rsidRPr="00CB57CA">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CB57CA">
            <w:rPr>
              <w:rFonts w:eastAsia="Times New Roman" w:cs="Times New Roman"/>
              <w:i/>
              <w:iCs/>
              <w:color w:val="000000"/>
            </w:rPr>
            <w:t>Energy Policy</w:t>
          </w:r>
          <w:r w:rsidRPr="00CB57CA">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sidRPr="00CB57CA">
            <w:rPr>
              <w:rFonts w:eastAsia="Times New Roman" w:cs="Times New Roman"/>
              <w:color w:val="000000"/>
            </w:rPr>
            <w:t>[2]</w:t>
          </w:r>
          <w:r w:rsidRPr="00CB57CA">
            <w:rPr>
              <w:rFonts w:eastAsia="Times New Roman" w:cs="Times New Roman"/>
              <w:color w:val="000000"/>
            </w:rPr>
            <w:tab/>
            <w:t xml:space="preserve">D. A. Sunter, S. Castellanos, and D. M. Kammen, “Disparities in rooftop photovoltaics deployment in the United States by race and ethnicity,” </w:t>
          </w:r>
          <w:r w:rsidRPr="00CB57CA">
            <w:rPr>
              <w:rFonts w:eastAsia="Times New Roman" w:cs="Times New Roman"/>
              <w:i/>
              <w:iCs/>
              <w:color w:val="000000"/>
            </w:rPr>
            <w:t>Nat. Sustain.</w:t>
          </w:r>
          <w:r w:rsidRPr="00CB57CA">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sidRPr="00CB57CA">
            <w:rPr>
              <w:rFonts w:eastAsia="Times New Roman" w:cs="Times New Roman"/>
              <w:color w:val="000000"/>
            </w:rPr>
            <w:t>[3]</w:t>
          </w:r>
          <w:r w:rsidRPr="00CB57CA">
            <w:rPr>
              <w:rFonts w:eastAsia="Times New Roman" w:cs="Times New Roman"/>
              <w:color w:val="000000"/>
            </w:rPr>
            <w:tab/>
            <w:t xml:space="preserve">L. Kurdgelashvili, C. H. Shih, F. Yang, and M. Garg, “An empirical analysis of county-level residential PV adoption in California,” </w:t>
          </w:r>
          <w:r w:rsidRPr="00CB57CA">
            <w:rPr>
              <w:rFonts w:eastAsia="Times New Roman" w:cs="Times New Roman"/>
              <w:i/>
              <w:iCs/>
              <w:color w:val="000000"/>
            </w:rPr>
            <w:t>Technol. Forecast. Soc. Change</w:t>
          </w:r>
          <w:r w:rsidRPr="00CB57CA">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sidRPr="00CB57CA">
            <w:rPr>
              <w:rFonts w:eastAsia="Times New Roman" w:cs="Times New Roman"/>
              <w:color w:val="000000"/>
            </w:rPr>
            <w:t>[4]</w:t>
          </w:r>
          <w:r w:rsidRPr="00CB57CA">
            <w:rPr>
              <w:rFonts w:eastAsia="Times New Roman" w:cs="Times New Roman"/>
              <w:color w:val="000000"/>
            </w:rPr>
            <w:tab/>
            <w:t xml:space="preserve">T. G. Reames, “Distributional disparities in residential rooftop solar potential and penetration in four cities in the United States,” </w:t>
          </w:r>
          <w:r w:rsidRPr="00CB57CA">
            <w:rPr>
              <w:rFonts w:eastAsia="Times New Roman" w:cs="Times New Roman"/>
              <w:i/>
              <w:iCs/>
              <w:color w:val="000000"/>
            </w:rPr>
            <w:t>Energy Res. Soc. Sci.</w:t>
          </w:r>
          <w:r w:rsidRPr="00CB57CA">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sidRPr="00CB57CA">
            <w:rPr>
              <w:rFonts w:eastAsia="Times New Roman" w:cs="Times New Roman"/>
              <w:color w:val="000000"/>
            </w:rPr>
            <w:t>[5]</w:t>
          </w:r>
          <w:r w:rsidRPr="00CB57CA">
            <w:rPr>
              <w:rFonts w:eastAsia="Times New Roman" w:cs="Times New Roman"/>
              <w:color w:val="000000"/>
            </w:rPr>
            <w:tab/>
            <w:t xml:space="preserve">N. R. Darghouth, E. O’Shaughnessy, S. Forrester, and G. Barbose, “Characterizing local rooftop solar adoption inequity in the US,” </w:t>
          </w:r>
          <w:r w:rsidRPr="00CB57CA">
            <w:rPr>
              <w:rFonts w:eastAsia="Times New Roman" w:cs="Times New Roman"/>
              <w:i/>
              <w:iCs/>
              <w:color w:val="000000"/>
            </w:rPr>
            <w:t>Environmental Research Letters</w:t>
          </w:r>
          <w:r w:rsidRPr="00CB57CA">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sidRPr="00CB57CA">
            <w:rPr>
              <w:rFonts w:eastAsia="Times New Roman" w:cs="Times New Roman"/>
              <w:color w:val="000000"/>
            </w:rPr>
            <w:t>[6]</w:t>
          </w:r>
          <w:r w:rsidRPr="00CB57CA">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sidRPr="00CB57CA">
            <w:rPr>
              <w:rFonts w:eastAsia="Times New Roman" w:cs="Times New Roman"/>
              <w:color w:val="000000"/>
            </w:rPr>
            <w:lastRenderedPageBreak/>
            <w:t>[7]</w:t>
          </w:r>
          <w:r w:rsidRPr="00CB57CA">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sidRPr="00CB57CA">
            <w:rPr>
              <w:rFonts w:eastAsia="Times New Roman" w:cs="Times New Roman"/>
              <w:color w:val="000000"/>
            </w:rPr>
            <w:t>[8]</w:t>
          </w:r>
          <w:r w:rsidRPr="00CB57CA">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sidRPr="00CB57CA">
            <w:rPr>
              <w:rFonts w:eastAsia="Times New Roman" w:cs="Times New Roman"/>
              <w:color w:val="000000"/>
            </w:rPr>
            <w:t>[9]</w:t>
          </w:r>
          <w:r w:rsidRPr="00CB57CA">
            <w:rPr>
              <w:rFonts w:eastAsia="Times New Roman" w:cs="Times New Roman"/>
              <w:color w:val="000000"/>
            </w:rPr>
            <w:tab/>
            <w:t xml:space="preserve">T. Light, E. McIntosh, and O. Stephenson, “Advancing Equity in Access to Distributed Energy Resources in California,” </w:t>
          </w:r>
          <w:r w:rsidRPr="00CB57CA">
            <w:rPr>
              <w:rFonts w:eastAsia="Times New Roman" w:cs="Times New Roman"/>
              <w:i/>
              <w:iCs/>
              <w:color w:val="000000"/>
            </w:rPr>
            <w:t>Journal of Science Policy &amp; Governance</w:t>
          </w:r>
          <w:r w:rsidRPr="00CB57CA">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sidRPr="00CB57CA">
            <w:rPr>
              <w:rFonts w:eastAsia="Times New Roman" w:cs="Times New Roman"/>
              <w:color w:val="000000"/>
            </w:rPr>
            <w:t>[10]</w:t>
          </w:r>
          <w:r w:rsidRPr="00CB57CA">
            <w:rPr>
              <w:rFonts w:eastAsia="Times New Roman" w:cs="Times New Roman"/>
              <w:color w:val="000000"/>
            </w:rPr>
            <w:tab/>
            <w:t xml:space="preserve">S. P. Forrester, C. C. Montañés, E. O’Shaughnessy, and G. Barbose, “Modeling the potential effects of rooftop solar on household energy burden in the United States,” </w:t>
          </w:r>
          <w:r w:rsidRPr="00CB57CA">
            <w:rPr>
              <w:rFonts w:eastAsia="Times New Roman" w:cs="Times New Roman"/>
              <w:i/>
              <w:iCs/>
              <w:color w:val="000000"/>
            </w:rPr>
            <w:t>Nature Communications 2024 15:1</w:t>
          </w:r>
          <w:r w:rsidRPr="00CB57CA">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sidRPr="00CB57CA">
            <w:rPr>
              <w:rFonts w:eastAsia="Times New Roman" w:cs="Times New Roman"/>
              <w:color w:val="000000"/>
            </w:rPr>
            <w:t>[11]</w:t>
          </w:r>
          <w:r w:rsidRPr="00CB57CA">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sidRPr="00CB57CA">
            <w:rPr>
              <w:rFonts w:eastAsia="Times New Roman" w:cs="Times New Roman"/>
              <w:color w:val="000000"/>
            </w:rPr>
            <w:t>[12]</w:t>
          </w:r>
          <w:r w:rsidRPr="00CB57CA">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CB57CA">
            <w:rPr>
              <w:rFonts w:eastAsia="Times New Roman" w:cs="Times New Roman"/>
              <w:i/>
              <w:iCs/>
              <w:color w:val="000000"/>
            </w:rPr>
            <w:t>International Journal of Electrical Power &amp; Energy Systems</w:t>
          </w:r>
          <w:r w:rsidRPr="00CB57CA">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sidRPr="00CB57CA">
            <w:rPr>
              <w:rFonts w:eastAsia="Times New Roman" w:cs="Times New Roman"/>
              <w:color w:val="000000"/>
            </w:rPr>
            <w:t>[13]</w:t>
          </w:r>
          <w:r w:rsidRPr="00CB57CA">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sidRPr="00CB57CA">
            <w:rPr>
              <w:rFonts w:eastAsia="Times New Roman" w:cs="Times New Roman"/>
              <w:color w:val="000000"/>
            </w:rPr>
            <w:t>[14]</w:t>
          </w:r>
          <w:r w:rsidRPr="00CB57CA">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sidRPr="00CB57CA">
            <w:rPr>
              <w:rFonts w:eastAsia="Times New Roman" w:cs="Times New Roman"/>
              <w:color w:val="000000"/>
            </w:rPr>
            <w:t>[15]</w:t>
          </w:r>
          <w:r w:rsidRPr="00CB57CA">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sidRPr="00CB57CA">
            <w:rPr>
              <w:rFonts w:eastAsia="Times New Roman" w:cs="Times New Roman"/>
              <w:color w:val="000000"/>
            </w:rPr>
            <w:t>[16]</w:t>
          </w:r>
          <w:r w:rsidRPr="00CB57CA">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sidRPr="00CB57CA">
            <w:rPr>
              <w:rFonts w:eastAsia="Times New Roman" w:cs="Times New Roman"/>
              <w:color w:val="000000"/>
            </w:rPr>
            <w:t>[17]</w:t>
          </w:r>
          <w:r w:rsidRPr="00CB57CA">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sidRPr="00CB57CA">
            <w:rPr>
              <w:rFonts w:eastAsia="Times New Roman" w:cs="Times New Roman"/>
              <w:color w:val="000000"/>
            </w:rPr>
            <w:t>[18]</w:t>
          </w:r>
          <w:r w:rsidRPr="00CB57CA">
            <w:rPr>
              <w:rFonts w:eastAsia="Times New Roman" w:cs="Times New Roman"/>
              <w:color w:val="000000"/>
            </w:rPr>
            <w:tab/>
            <w:t xml:space="preserve">L. C. Stokes and C. Warshaw, “Renewable energy policy design and framing influence public support in the United States,” </w:t>
          </w:r>
          <w:r w:rsidRPr="00CB57CA">
            <w:rPr>
              <w:rFonts w:eastAsia="Times New Roman" w:cs="Times New Roman"/>
              <w:i/>
              <w:iCs/>
              <w:color w:val="000000"/>
            </w:rPr>
            <w:t>Nat. Energy</w:t>
          </w:r>
          <w:r w:rsidRPr="00CB57CA">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sidRPr="00CB57CA">
            <w:rPr>
              <w:rFonts w:eastAsia="Times New Roman" w:cs="Times New Roman"/>
              <w:color w:val="000000"/>
            </w:rPr>
            <w:t>[19]</w:t>
          </w:r>
          <w:r w:rsidRPr="00CB57CA">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sidRPr="00CB57CA">
            <w:rPr>
              <w:rFonts w:eastAsia="Times New Roman" w:cs="Times New Roman"/>
              <w:color w:val="000000"/>
            </w:rPr>
            <w:t>[20]</w:t>
          </w:r>
          <w:r w:rsidRPr="00CB57CA">
            <w:rPr>
              <w:rFonts w:eastAsia="Times New Roman" w:cs="Times New Roman"/>
              <w:color w:val="000000"/>
            </w:rPr>
            <w:tab/>
            <w:t xml:space="preserve">T. Light, E. McIntosh, and O. Stephenson, “Advancing Equity in Access to Distributed Energy Resources in California,” </w:t>
          </w:r>
          <w:r w:rsidRPr="00CB57CA">
            <w:rPr>
              <w:rFonts w:eastAsia="Times New Roman" w:cs="Times New Roman"/>
              <w:i/>
              <w:iCs/>
              <w:color w:val="000000"/>
            </w:rPr>
            <w:t>Journal of Science Policy &amp; Governance</w:t>
          </w:r>
          <w:r w:rsidRPr="00CB57CA">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sidRPr="00CB57CA">
            <w:rPr>
              <w:rFonts w:eastAsia="Times New Roman" w:cs="Times New Roman"/>
              <w:color w:val="000000"/>
            </w:rPr>
            <w:t>[21]</w:t>
          </w:r>
          <w:r w:rsidRPr="00CB57CA">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sidRPr="00CB57CA">
            <w:rPr>
              <w:rFonts w:eastAsia="Times New Roman" w:cs="Times New Roman"/>
              <w:color w:val="000000"/>
            </w:rPr>
            <w:t>[22]</w:t>
          </w:r>
          <w:r w:rsidRPr="00CB57CA">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CB57CA">
            <w:rPr>
              <w:rFonts w:eastAsia="Times New Roman" w:cs="Times New Roman"/>
              <w:i/>
              <w:iCs/>
              <w:color w:val="000000"/>
            </w:rPr>
            <w:t>Renew. Energy</w:t>
          </w:r>
          <w:r w:rsidRPr="00CB57CA">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sidRPr="00CB57CA">
            <w:rPr>
              <w:rFonts w:eastAsia="Times New Roman" w:cs="Times New Roman"/>
              <w:color w:val="000000"/>
            </w:rPr>
            <w:lastRenderedPageBreak/>
            <w:t>[23]</w:t>
          </w:r>
          <w:r w:rsidRPr="00CB57CA">
            <w:rPr>
              <w:rFonts w:eastAsia="Times New Roman" w:cs="Times New Roman"/>
              <w:color w:val="000000"/>
            </w:rPr>
            <w:tab/>
            <w:t xml:space="preserve">R. Haider, Y. Xu, and W. Yang, “Towards closing the data gap: A project-driven distributed energy resource dataset for the U.S. Grid,” in </w:t>
          </w:r>
          <w:r w:rsidRPr="00CB57CA">
            <w:rPr>
              <w:rFonts w:eastAsia="Times New Roman" w:cs="Times New Roman"/>
              <w:i/>
              <w:iCs/>
              <w:color w:val="000000"/>
            </w:rPr>
            <w:t>e-Energy 2023 Companion - Proceedings of the 14th ACM International Conference on Future Energy Systems</w:t>
          </w:r>
          <w:r w:rsidRPr="00CB57CA">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sidRPr="00CB57CA">
            <w:rPr>
              <w:rFonts w:eastAsia="Times New Roman" w:cs="Times New Roman"/>
              <w:color w:val="000000"/>
            </w:rPr>
            <w:t>[24]</w:t>
          </w:r>
          <w:r w:rsidRPr="00CB57CA">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sidRPr="00CB57CA">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5"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6"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9"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10"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11"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12"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4"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5"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6"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0"/>
  <w15:commentEx w15:paraId="2BBCA10A" w15:done="0"/>
  <w15:commentEx w15:paraId="38E70CC7" w15:paraIdParent="2BBCA10A"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85640"/>
    <w:rsid w:val="0079116D"/>
    <w:rsid w:val="0079166C"/>
    <w:rsid w:val="0079640E"/>
    <w:rsid w:val="007B6D7D"/>
    <w:rsid w:val="007C6BC8"/>
    <w:rsid w:val="007D2DAE"/>
    <w:rsid w:val="007D314E"/>
    <w:rsid w:val="007D5B77"/>
    <w:rsid w:val="007E05F8"/>
    <w:rsid w:val="007E10A5"/>
    <w:rsid w:val="0080320E"/>
    <w:rsid w:val="00807E68"/>
    <w:rsid w:val="008448B0"/>
    <w:rsid w:val="008620FF"/>
    <w:rsid w:val="008653DC"/>
    <w:rsid w:val="00877620"/>
    <w:rsid w:val="00880690"/>
    <w:rsid w:val="00881233"/>
    <w:rsid w:val="00886579"/>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42EF5"/>
    <w:rsid w:val="00B47730"/>
    <w:rsid w:val="00B60DF6"/>
    <w:rsid w:val="00B6658C"/>
    <w:rsid w:val="00B74DA5"/>
    <w:rsid w:val="00B86A12"/>
    <w:rsid w:val="00B87FB7"/>
    <w:rsid w:val="00BB4F94"/>
    <w:rsid w:val="00BC5A60"/>
    <w:rsid w:val="00BE3296"/>
    <w:rsid w:val="00C0319E"/>
    <w:rsid w:val="00C11068"/>
    <w:rsid w:val="00C4201B"/>
    <w:rsid w:val="00C47129"/>
    <w:rsid w:val="00C82ADA"/>
    <w:rsid w:val="00C848A2"/>
    <w:rsid w:val="00C86F74"/>
    <w:rsid w:val="00CB0664"/>
    <w:rsid w:val="00CB57CA"/>
    <w:rsid w:val="00CC36AC"/>
    <w:rsid w:val="00CD6657"/>
    <w:rsid w:val="00CE3C99"/>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svg"/><Relationship Id="rId21" Type="http://schemas.openxmlformats.org/officeDocument/2006/relationships/image" Target="media/image12.sv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glossaryDocument" Target="glossary/document.xml"/><Relationship Id="rId7" Type="http://schemas.openxmlformats.org/officeDocument/2006/relationships/image" Target="media/image2.svg"/><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20.svg"/><Relationship Id="rId11" Type="http://schemas.openxmlformats.org/officeDocument/2006/relationships/image" Target="media/image6.sv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svg"/><Relationship Id="rId40" Type="http://schemas.openxmlformats.org/officeDocument/2006/relationships/image" Target="media/image31.png"/><Relationship Id="rId45" Type="http://schemas.openxmlformats.org/officeDocument/2006/relationships/image" Target="media/image36.sv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0.sv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comments" Target="comments.xml"/><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sv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7.png"/><Relationship Id="rId17" Type="http://schemas.microsoft.com/office/2018/08/relationships/commentsExtensible" Target="commentsExtensible.xml"/><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5" Type="http://schemas.microsoft.com/office/2011/relationships/commentsExtended" Target="commentsExtended.xml"/><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3442C4"/>
    <w:rsid w:val="00384861"/>
    <w:rsid w:val="00454AF2"/>
    <w:rsid w:val="00562F98"/>
    <w:rsid w:val="0062078F"/>
    <w:rsid w:val="00644B63"/>
    <w:rsid w:val="00731622"/>
    <w:rsid w:val="00881233"/>
    <w:rsid w:val="009368C5"/>
    <w:rsid w:val="00A14FD4"/>
    <w:rsid w:val="00AC1D30"/>
    <w:rsid w:val="00B22EC3"/>
    <w:rsid w:val="00C0319E"/>
    <w:rsid w:val="00C27543"/>
    <w:rsid w:val="00C9282C"/>
    <w:rsid w:val="00DF2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35</Pages>
  <Words>11972</Words>
  <Characters>68243</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88</cp:revision>
  <dcterms:created xsi:type="dcterms:W3CDTF">2026-06-27T01:50:00Z</dcterms:created>
  <dcterms:modified xsi:type="dcterms:W3CDTF">2026-07-29T23:46:00Z</dcterms:modified>
  <cp:category/>
</cp:coreProperties>
</file>