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1.svg" ContentType="image/svg+xml"/>
  <Override PartName="/word/media/image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asvg="http://schemas.microsoft.com/office/drawing/2016/SVG/main" mc:Ignorable="w14 w15 w16se w16cid w16 w16cex w16sdtdh w16sdtfl w16du wp14">
  <w:body>
    <w:p w:rsidR="003D485F" w:rsidP="00880690" w:rsidRDefault="003D485F" w14:paraId="459709E8" w14:textId="77777777">
      <w:pPr>
        <w:pStyle w:val="Title"/>
        <w:rPr>
          <w:b/>
          <w:bCs/>
        </w:rPr>
      </w:pPr>
      <w:r>
        <w:t>The Unequal Energy Transition: Racial and Socioeconomic Disparities in Distributed Energy Resource Adoption Across California</w:t>
      </w:r>
    </w:p>
    <w:p w:rsidR="00B86A12" w:rsidRDefault="00000000" w14:paraId="1027EAA4" w14:textId="75A5EF59">
      <w:pPr>
        <w:pStyle w:val="Heading1"/>
      </w:pPr>
      <w:r>
        <w:t>Abstract</w:t>
      </w:r>
    </w:p>
    <w:p w:rsidR="00614286" w:rsidRDefault="00000000" w14:paraId="1E2F3169" w14:textId="2AEEAE51">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results support a race-aware interpretation of DER equity and challenge the assumption that race-neutral planning frameworks are sufficient for equitable clean energy deployment.</w:t>
      </w:r>
    </w:p>
    <w:p w:rsidR="00B86A12" w:rsidRDefault="00000000" w14:paraId="3EEB9C5C" w14:textId="77777777">
      <w:pPr>
        <w:pStyle w:val="Heading1"/>
        <w:numPr>
          <w:ilvl w:val="0"/>
          <w:numId w:val="11"/>
        </w:numPr>
      </w:pPr>
      <w:bookmarkStart w:name="_Ref_sec_intro" w:id="9408"/>
      <w:r>
        <w:t>Introduction</w:t>
      </w:r>
      <w:bookmarkEnd w:id="9408"/>
    </w:p>
    <w:p w:rsidR="00B86A12" w:rsidRDefault="00000000" w14:paraId="6FDA4A77" w14:textId="27DAAB98">
      <w:pPr>
        <w:pStyle w:val="Heading2"/>
        <w:numPr>
          <w:ilvl w:val="1"/>
          <w:numId w:val="11"/>
        </w:numPr>
      </w:pPr>
      <w:r>
        <w:t>Motivation and problem</w:t>
      </w:r>
    </w:p>
    <w:p w:rsidR="00B86A12" w:rsidRDefault="00000000" w14:paraId="388212EF" w14:textId="6C8326D8">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rsidR="00B86A12" w:rsidRDefault="00000000" w14:paraId="711D21C7" w14:textId="77777777">
      <w:pPr>
        <w:pStyle w:val="Heading2"/>
        <w:numPr>
          <w:ilvl w:val="1"/>
          <w:numId w:val="11"/>
        </w:numPr>
      </w:pPr>
      <w:r>
        <w:t>Research question</w:t>
      </w:r>
    </w:p>
    <w:p w:rsidR="00B86A12" w:rsidRDefault="00000000" w14:paraId="452A2BE7" w14:textId="4E81F8A5">
      <w:r w:rsidR="00000000">
        <w:rPr/>
        <w:t xml:space="preserve">The central research question is: </w:t>
      </w:r>
      <w:r w:rsidRPr="3DC018EE" w:rsidR="00000000">
        <w:rPr>
          <w:i w:val="1"/>
          <w:iCs w:val="1"/>
        </w:rPr>
        <w:t xml:space="preserve">how do demographic and infrastructure-related factors shape inequitable access to </w:t>
      </w:r>
      <w:r w:rsidRPr="3DC018EE" w:rsidR="00000000">
        <w:rPr>
          <w:i w:val="1"/>
          <w:iCs w:val="1"/>
        </w:rPr>
        <w:t>different types</w:t>
      </w:r>
      <w:r w:rsidRPr="3DC018EE" w:rsidR="00000000">
        <w:rPr>
          <w:i w:val="1"/>
          <w:iCs w:val="1"/>
        </w:rPr>
        <w:t xml:space="preserve"> of DERs in California?</w:t>
      </w:r>
      <w:r w:rsidR="00000000">
        <w:rPr/>
        <w:t xml:space="preserve"> A related question is whether race </w:t>
      </w:r>
      <w:r w:rsidR="00000000">
        <w:rPr/>
        <w:t>remains</w:t>
      </w:r>
      <w:r w:rsidR="00000000">
        <w:rPr/>
        <w:t xml:space="preserve">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w:t>
      </w:r>
      <w:r w:rsidR="00000000">
        <w:rPr/>
        <w:t>remains</w:t>
      </w:r>
      <w:r w:rsidR="00000000">
        <w:rPr/>
        <w:t xml:space="preserve"> after those adjustments? </w:t>
      </w:r>
      <w:r w:rsidR="00000000">
        <w:rPr/>
        <w:t>The rest of the paper is structured as follow</w:t>
      </w:r>
      <w:r w:rsidR="00000000">
        <w:rPr/>
        <w:t>s</w:t>
      </w:r>
      <w:r w:rsidR="00000000">
        <w:rPr/>
        <w:t>.</w:t>
      </w:r>
      <w:r w:rsidR="00000000">
        <w:rPr/>
        <w:t xml:space="preserve"> Section </w:t>
      </w:r>
      <w:r>
        <w:fldChar w:fldCharType="begin"/>
      </w:r>
      <w:r>
        <w:instrText xml:space="preserve"> REF _Ref_sec_background \r \h </w:instrText>
      </w:r>
      <w:r>
        <w:fldChar w:fldCharType="separate"/>
      </w:r>
      <w:r w:rsidR="00000000">
        <w:rPr/>
        <w:t>2</w:t>
      </w:r>
      <w:r>
        <w:fldChar w:fldCharType="end"/>
      </w:r>
      <w:r w:rsidR="00000000">
        <w:rPr/>
        <w:t xml:space="preserve"> reviews the prior literature and </w:t>
      </w:r>
      <w:r w:rsidR="00000000">
        <w:rPr/>
        <w:t>states</w:t>
      </w:r>
      <w:r w:rsidR="00000000">
        <w:rPr/>
        <w:t xml:space="preserve"> the gap this paper addresses, and Section </w:t>
      </w:r>
      <w:r>
        <w:fldChar w:fldCharType="begin"/>
      </w:r>
      <w:r>
        <w:instrText xml:space="preserve"> REF _Ref_sec_data \r \h </w:instrText>
      </w:r>
      <w:r>
        <w:fldChar w:fldCharType="separate"/>
      </w:r>
      <w:r w:rsidR="00000000">
        <w:rPr/>
        <w:t>3</w:t>
      </w:r>
      <w:r>
        <w:fldChar w:fldCharType="end"/>
      </w:r>
      <w:r w:rsidR="00000000">
        <w:rPr/>
        <w:t xml:space="preserve"> describes the data and measures. Section </w:t>
      </w:r>
      <w:r>
        <w:fldChar w:fldCharType="begin"/>
      </w:r>
      <w:r>
        <w:instrText xml:space="preserve"> REF _Ref_sec_results \r \h </w:instrText>
      </w:r>
      <w:r>
        <w:fldChar w:fldCharType="separate"/>
      </w:r>
      <w:r w:rsidR="00000000">
        <w:rPr/>
        <w:t>4</w:t>
      </w:r>
      <w:r>
        <w:fldChar w:fldCharType="end"/>
      </w:r>
      <w:r w:rsidR="00000000">
        <w:rPr/>
        <w:t xml:space="preserve"> reports the results, Section </w:t>
      </w:r>
      <w:r>
        <w:fldChar w:fldCharType="begin"/>
      </w:r>
      <w:r>
        <w:instrText xml:space="preserve"> REF _Ref_sec_discussion \r \h </w:instrText>
      </w:r>
      <w:r>
        <w:fldChar w:fldCharType="separate"/>
      </w:r>
      <w:r w:rsidR="00000000">
        <w:rPr/>
        <w:t>5</w:t>
      </w:r>
      <w:r>
        <w:fldChar w:fldCharType="end"/>
      </w:r>
      <w:r w:rsidR="00000000">
        <w:rPr/>
        <w:t xml:space="preserve"> discusses mechanisms and policy implications, and Section </w:t>
      </w:r>
      <w:r>
        <w:fldChar w:fldCharType="begin"/>
      </w:r>
      <w:r>
        <w:instrText xml:space="preserve"> REF _Ref_sec_methods \r \h </w:instrText>
      </w:r>
      <w:r>
        <w:fldChar w:fldCharType="separate"/>
      </w:r>
      <w:r w:rsidR="00000000">
        <w:rPr/>
        <w:t>6</w:t>
      </w:r>
      <w:r>
        <w:fldChar w:fldCharType="end"/>
      </w:r>
      <w:r w:rsidR="00000000">
        <w:rPr/>
        <w:t xml:space="preserve"> sets out the empirical strategy and the full model ladder. Section </w:t>
      </w:r>
      <w:r>
        <w:fldChar w:fldCharType="begin"/>
      </w:r>
      <w:r>
        <w:instrText xml:space="preserve"> REF _Ref_sec_limitations \r \h </w:instrText>
      </w:r>
      <w:r>
        <w:fldChar w:fldCharType="separate"/>
      </w:r>
      <w:r w:rsidR="00000000">
        <w:rPr/>
        <w:t>7</w:t>
      </w:r>
      <w:r>
        <w:fldChar w:fldCharType="end"/>
      </w:r>
      <w:r w:rsidR="00000000">
        <w:rPr/>
        <w:t xml:space="preserve"> states the </w:t>
      </w:r>
      <w:r w:rsidR="00000000">
        <w:rPr/>
        <w:t>limitations</w:t>
      </w:r>
      <w:r w:rsidR="00000000">
        <w:rPr/>
        <w:t xml:space="preserve"> and Section </w:t>
      </w:r>
      <w:r>
        <w:fldChar w:fldCharType="begin"/>
      </w:r>
      <w:r>
        <w:instrText xml:space="preserve"> REF _Ref_sec_conclusion \r \h </w:instrText>
      </w:r>
      <w:r>
        <w:fldChar w:fldCharType="separate"/>
      </w:r>
      <w:r w:rsidR="00000000">
        <w:rPr/>
        <w:t>8</w:t>
      </w:r>
      <w:r>
        <w:fldChar w:fldCharType="end"/>
      </w:r>
      <w:r w:rsidR="00000000">
        <w:rPr/>
        <w:t xml:space="preserve"> concludes. Supporting robustness visuals and statistical diagnostics are collected in </w:t>
      </w:r>
      <w:r>
        <w:fldChar w:fldCharType="begin"/>
      </w:r>
      <w:r>
        <w:instrText xml:space="preserve"> REF _Ref_sec_appendix \h </w:instrText>
      </w:r>
      <w:r>
        <w:fldChar w:fldCharType="separate"/>
      </w:r>
      <w:r w:rsidR="00000000">
        <w:rPr/>
        <w:t>Appendix: Additional Robustness Visuals</w:t>
      </w:r>
      <w:r>
        <w:fldChar w:fldCharType="end"/>
      </w:r>
      <w:r w:rsidR="00000000">
        <w:rPr/>
        <w:t>.</w:t>
      </w:r>
    </w:p>
    <w:p w:rsidR="00B86A12" w:rsidRDefault="00000000" w14:paraId="38F4B20A" w14:textId="77777777">
      <w:pPr>
        <w:pStyle w:val="Heading1"/>
        <w:numPr>
          <w:ilvl w:val="0"/>
          <w:numId w:val="11"/>
        </w:numPr>
      </w:pPr>
      <w:bookmarkStart w:name="_Ref_sec_background" w:id="9409"/>
      <w:bookmarkStart w:name="_Ref233983716" w:id="0"/>
      <w:r>
        <w:t>Background and Prior Work</w:t>
      </w:r>
      <w:bookmarkEnd w:id="0"/>
      <w:bookmarkEnd w:id="9409"/>
    </w:p>
    <w:p w:rsidR="00B86A12" w:rsidRDefault="00000000" w14:paraId="1E5F05CC" w14:textId="77777777">
      <w:pPr>
        <w:pStyle w:val="Heading2"/>
        <w:numPr>
          <w:ilvl w:val="1"/>
          <w:numId w:val="11"/>
        </w:numPr>
      </w:pPr>
      <w:r>
        <w:t>Foundational DER and PV adoption work</w:t>
      </w:r>
    </w:p>
    <w:p w:rsidR="008448B0" w:rsidRDefault="00000000" w14:paraId="24113023" w14:textId="59BDEC7B">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rsidR="00663EFC" w:rsidP="00663EFC" w:rsidRDefault="00663EFC" w14:paraId="6B5860D6" w14:textId="77777777">
      <w:pPr>
        <w:pStyle w:val="Heading2"/>
        <w:numPr>
          <w:ilvl w:val="1"/>
          <w:numId w:val="11"/>
        </w:numPr>
      </w:pPr>
      <w:r>
        <w:t>Why the equity lens needs to extend beyond PV</w:t>
      </w:r>
    </w:p>
    <w:p w:rsidRPr="00B74DA5" w:rsidR="00443A1A" w:rsidP="004C0D73" w:rsidRDefault="00443A1A" w14:paraId="3F0EB35E" w14:textId="77777777">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rsidRPr="00B74DA5" w:rsidR="00443A1A" w:rsidP="004C0D73" w:rsidRDefault="00443A1A" w14:paraId="3203FDE2" w14:textId="77777777">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rsidRPr="00B74DA5" w:rsidR="00443A1A" w:rsidP="004C0D73" w:rsidRDefault="00443A1A" w14:paraId="5E2F8DAF" w14:textId="77777777">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rsidR="00B86A12" w:rsidP="0032353E" w:rsidRDefault="00000000" w14:paraId="7765E7EB" w14:textId="5C4E4F91">
      <w:pPr>
        <w:pStyle w:val="Heading2"/>
        <w:numPr>
          <w:ilvl w:val="1"/>
          <w:numId w:val="11"/>
        </w:numPr>
      </w:pPr>
      <w:r>
        <w:t>Race, energy burden, and race-neutral policy critiques</w:t>
      </w:r>
    </w:p>
    <w:p w:rsidRPr="00B74DA5" w:rsidR="00B86A12" w:rsidRDefault="00000000" w14:paraId="1B7F2220" w14:textId="418646AC">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rsidR="00B86A12" w:rsidRDefault="00000000" w14:paraId="774CF3EC" w14:textId="77777777">
      <w:pPr>
        <w:pStyle w:val="Heading2"/>
        <w:numPr>
          <w:ilvl w:val="1"/>
          <w:numId w:val="11"/>
        </w:numPr>
      </w:pPr>
      <w:r>
        <w:t>Infrastructure constraints and technical limits</w:t>
      </w:r>
    </w:p>
    <w:p w:rsidR="00B86A12" w:rsidRDefault="00000000" w14:paraId="5E369DD1" w14:textId="0AA96F85">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lastRenderedPageBreak/>
      </w:r>
      <w:r>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rsidR="00B86A12" w:rsidRDefault="00000000" w14:paraId="70514925" w14:textId="77777777">
      <w:pPr>
        <w:pStyle w:val="Heading2"/>
        <w:numPr>
          <w:ilvl w:val="1"/>
          <w:numId w:val="11"/>
        </w:numPr>
      </w:pPr>
      <w:r>
        <w:t>Other DERs, storage, flexible loads, and planning frameworks</w:t>
      </w:r>
    </w:p>
    <w:p w:rsidR="00B86A12" w:rsidP="00C4201B" w:rsidRDefault="00000000" w14:paraId="796FF1B2" w14:textId="1E07C4DE">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rsidR="00B86A12" w:rsidRDefault="00000000" w14:paraId="56983106" w14:textId="5F79E5F3">
      <w:pPr>
        <w:pStyle w:val="Heading2"/>
        <w:numPr>
          <w:ilvl w:val="1"/>
          <w:numId w:val="11"/>
        </w:numPr>
      </w:pPr>
      <w:r>
        <w:t>Gap and novel contribution</w:t>
      </w:r>
    </w:p>
    <w:p w:rsidR="00B86A12" w:rsidRDefault="00000000" w14:paraId="279D9AA8" w14:textId="63A6C7BC">
      <w:r>
        <w:t xml:space="preserve">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rsidR="00663EFC" w:rsidP="004A7202" w:rsidRDefault="00000000" w14:paraId="182D8C40" w14:textId="1DD75A6C">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rsidR="00663EFC" w:rsidRDefault="004A7202" w14:paraId="56ABCEE8" w14:textId="30C8C24C">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rsidR="009B78FE" w:rsidP="003C3701" w:rsidRDefault="00000000" w14:paraId="16ACAA42" w14:textId="77777777">
      <w:pPr>
        <w:pStyle w:val="Heading1"/>
        <w:numPr>
          <w:ilvl w:val="0"/>
          <w:numId w:val="11"/>
        </w:numPr>
      </w:pPr>
      <w:bookmarkStart w:name="_Ref_sec_data" w:id="9410"/>
      <w:r>
        <w:t>Data and Measures</w:t>
      </w:r>
      <w:bookmarkEnd w:id="9410"/>
    </w:p>
    <w:p w:rsidR="009B78FE" w:rsidP="009B78FE" w:rsidRDefault="009B78FE" w14:paraId="790C6669" w14:textId="77777777">
      <w:pPr>
        <w:pStyle w:val="Caption"/>
        <w:keepNext/>
      </w:pPr>
      <w:bookmarkStart w:name="_Ref_tbl1" w:id="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rsidTr="000A7270" w14:paraId="1CE1D700" w14:textId="77777777">
        <w:tc>
          <w:tcPr>
            <w:tcW w:w="3360" w:type="dxa"/>
          </w:tcPr>
          <w:p w:rsidR="009B78FE" w:rsidP="000A7270" w:rsidRDefault="009B78FE" w14:paraId="6BC1D270" w14:textId="77777777">
            <w:r>
              <w:rPr>
                <w:b/>
              </w:rPr>
              <w:t>Variable</w:t>
            </w:r>
          </w:p>
        </w:tc>
        <w:tc>
          <w:tcPr>
            <w:tcW w:w="3360" w:type="dxa"/>
          </w:tcPr>
          <w:p w:rsidR="009B78FE" w:rsidP="000A7270" w:rsidRDefault="009B78FE" w14:paraId="05B2FC1E" w14:textId="77777777">
            <w:r>
              <w:rPr>
                <w:b/>
              </w:rPr>
              <w:t>Meaning</w:t>
            </w:r>
          </w:p>
        </w:tc>
        <w:tc>
          <w:tcPr>
            <w:tcW w:w="3360" w:type="dxa"/>
          </w:tcPr>
          <w:p w:rsidR="009B78FE" w:rsidP="000A7270" w:rsidRDefault="009B78FE" w14:paraId="3E7EADE4" w14:textId="77777777">
            <w:r>
              <w:rPr>
                <w:b/>
              </w:rPr>
              <w:t>Scale / notes</w:t>
            </w:r>
          </w:p>
        </w:tc>
      </w:tr>
      <w:tr w:rsidR="009B78FE" w:rsidTr="000A7270" w14:paraId="59DF3476" w14:textId="77777777">
        <w:tc>
          <w:tcPr>
            <w:tcW w:w="3360" w:type="dxa"/>
          </w:tcPr>
          <w:p w:rsidR="009B78FE" w:rsidP="000A7270" w:rsidRDefault="009B78FE" w14:paraId="1F01E64E" w14:textId="77777777">
            <w:r>
              <w:rPr>
                <w:rFonts w:ascii="Courier New" w:hAnsi="Courier New"/>
                <w:sz w:val="18"/>
              </w:rPr>
              <w:t>y_pv</w:t>
            </w:r>
          </w:p>
        </w:tc>
        <w:tc>
          <w:tcPr>
            <w:tcW w:w="3360" w:type="dxa"/>
          </w:tcPr>
          <w:p w:rsidR="009B78FE" w:rsidP="000A7270" w:rsidRDefault="009B78FE" w14:paraId="26ED06DE" w14:textId="77777777">
            <w:r>
              <w:t>Solar PV deployment intensity</w:t>
            </w:r>
          </w:p>
        </w:tc>
        <w:tc>
          <w:tcPr>
            <w:tcW w:w="3360" w:type="dxa"/>
          </w:tcPr>
          <w:p w:rsidR="009B78FE" w:rsidP="000A7270" w:rsidRDefault="009B78FE" w14:paraId="6E2D45E4" w14:textId="77777777">
            <w:r>
              <w:rPr>
                <w:rFonts w:ascii="Courier New" w:hAnsi="Courier New"/>
                <w:sz w:val="18"/>
              </w:rPr>
              <w:t>log(1 + PV kW DC per 1,000 residents)</w:t>
            </w:r>
          </w:p>
        </w:tc>
      </w:tr>
      <w:tr w:rsidR="009B78FE" w:rsidTr="000A7270" w14:paraId="784690F5" w14:textId="77777777">
        <w:tc>
          <w:tcPr>
            <w:tcW w:w="3360" w:type="dxa"/>
          </w:tcPr>
          <w:p w:rsidR="009B78FE" w:rsidP="000A7270" w:rsidRDefault="009B78FE" w14:paraId="62EC7DA3" w14:textId="77777777">
            <w:r>
              <w:rPr>
                <w:rFonts w:ascii="Courier New" w:hAnsi="Courier New"/>
                <w:sz w:val="18"/>
              </w:rPr>
              <w:t>y_storage</w:t>
            </w:r>
          </w:p>
        </w:tc>
        <w:tc>
          <w:tcPr>
            <w:tcW w:w="3360" w:type="dxa"/>
          </w:tcPr>
          <w:p w:rsidR="009B78FE" w:rsidP="000A7270" w:rsidRDefault="009B78FE" w14:paraId="259CD033" w14:textId="77777777">
            <w:r>
              <w:t>Battery storage deployment intensity</w:t>
            </w:r>
          </w:p>
        </w:tc>
        <w:tc>
          <w:tcPr>
            <w:tcW w:w="3360" w:type="dxa"/>
          </w:tcPr>
          <w:p w:rsidR="009B78FE" w:rsidP="000A7270" w:rsidRDefault="009B78FE" w14:paraId="0BEC0348" w14:textId="77777777">
            <w:r>
              <w:rPr>
                <w:rFonts w:ascii="Courier New" w:hAnsi="Courier New"/>
                <w:sz w:val="18"/>
              </w:rPr>
              <w:t>log(1 + storage MW per 100,000 residents)</w:t>
            </w:r>
          </w:p>
        </w:tc>
      </w:tr>
      <w:tr w:rsidR="009B78FE" w:rsidTr="000A7270" w14:paraId="767E05C3" w14:textId="77777777">
        <w:tc>
          <w:tcPr>
            <w:tcW w:w="3360" w:type="dxa"/>
          </w:tcPr>
          <w:p w:rsidR="009B78FE" w:rsidP="000A7270" w:rsidRDefault="009B78FE" w14:paraId="463402DC" w14:textId="77777777">
            <w:r>
              <w:rPr>
                <w:rFonts w:ascii="Courier New" w:hAnsi="Courier New"/>
                <w:sz w:val="18"/>
              </w:rPr>
              <w:t>y_chargers</w:t>
            </w:r>
          </w:p>
        </w:tc>
        <w:tc>
          <w:tcPr>
            <w:tcW w:w="3360" w:type="dxa"/>
          </w:tcPr>
          <w:p w:rsidR="009B78FE" w:rsidP="000A7270" w:rsidRDefault="009B78FE" w14:paraId="545E9580" w14:textId="77777777">
            <w:r>
              <w:t>EV charging availability</w:t>
            </w:r>
          </w:p>
        </w:tc>
        <w:tc>
          <w:tcPr>
            <w:tcW w:w="3360" w:type="dxa"/>
          </w:tcPr>
          <w:p w:rsidR="009B78FE" w:rsidP="000A7270" w:rsidRDefault="009B78FE" w14:paraId="4B9A38B3" w14:textId="77777777">
            <w:r>
              <w:rPr>
                <w:rFonts w:ascii="Courier New" w:hAnsi="Courier New"/>
                <w:sz w:val="18"/>
              </w:rPr>
              <w:t>log(1 + total chargers per 1,000 residents)</w:t>
            </w:r>
          </w:p>
        </w:tc>
      </w:tr>
      <w:tr w:rsidR="009B78FE" w:rsidTr="000A7270" w14:paraId="3B75B25E" w14:textId="77777777">
        <w:tc>
          <w:tcPr>
            <w:tcW w:w="3360" w:type="dxa"/>
          </w:tcPr>
          <w:p w:rsidR="009B78FE" w:rsidP="000A7270" w:rsidRDefault="009B78FE" w14:paraId="5BB008C4" w14:textId="77777777">
            <w:r>
              <w:rPr>
                <w:rFonts w:ascii="Courier New" w:hAnsi="Courier New"/>
                <w:sz w:val="18"/>
              </w:rPr>
              <w:t>pct_black</w:t>
            </w:r>
          </w:p>
        </w:tc>
        <w:tc>
          <w:tcPr>
            <w:tcW w:w="3360" w:type="dxa"/>
          </w:tcPr>
          <w:p w:rsidR="009B78FE" w:rsidP="000A7270" w:rsidRDefault="009B78FE" w14:paraId="0B4D3BDF" w14:textId="77777777">
            <w:r>
              <w:t>Share of ZIP/ZCTA population identifying as Black</w:t>
            </w:r>
          </w:p>
        </w:tc>
        <w:tc>
          <w:tcPr>
            <w:tcW w:w="3360" w:type="dxa"/>
          </w:tcPr>
          <w:p w:rsidR="009B78FE" w:rsidP="000A7270" w:rsidRDefault="009B78FE" w14:paraId="2CFE865F" w14:textId="77777777">
            <w:r>
              <w:t>ACS 2023 5-year estimate</w:t>
            </w:r>
          </w:p>
        </w:tc>
      </w:tr>
      <w:tr w:rsidR="009B78FE" w:rsidTr="000A7270" w14:paraId="7EEFE99D" w14:textId="77777777">
        <w:tc>
          <w:tcPr>
            <w:tcW w:w="3360" w:type="dxa"/>
          </w:tcPr>
          <w:p w:rsidR="009B78FE" w:rsidP="000A7270" w:rsidRDefault="009B78FE" w14:paraId="2D48A168" w14:textId="77777777">
            <w:r>
              <w:rPr>
                <w:rFonts w:ascii="Courier New" w:hAnsi="Courier New"/>
                <w:sz w:val="18"/>
              </w:rPr>
              <w:t>pct_hispanic</w:t>
            </w:r>
          </w:p>
        </w:tc>
        <w:tc>
          <w:tcPr>
            <w:tcW w:w="3360" w:type="dxa"/>
          </w:tcPr>
          <w:p w:rsidR="009B78FE" w:rsidP="000A7270" w:rsidRDefault="009B78FE" w14:paraId="5664E3C7" w14:textId="77777777">
            <w:r>
              <w:t>Share of ZIP/ZCTA population identifying as Hispanic or Latino</w:t>
            </w:r>
          </w:p>
        </w:tc>
        <w:tc>
          <w:tcPr>
            <w:tcW w:w="3360" w:type="dxa"/>
          </w:tcPr>
          <w:p w:rsidR="009B78FE" w:rsidP="000A7270" w:rsidRDefault="009B78FE" w14:paraId="778330B1" w14:textId="77777777">
            <w:r>
              <w:t>ACS 2023 5-year estimate</w:t>
            </w:r>
          </w:p>
        </w:tc>
      </w:tr>
      <w:tr w:rsidR="009B78FE" w:rsidTr="000A7270" w14:paraId="748C7BA4" w14:textId="77777777">
        <w:tc>
          <w:tcPr>
            <w:tcW w:w="3360" w:type="dxa"/>
          </w:tcPr>
          <w:p w:rsidR="009B78FE" w:rsidP="000A7270" w:rsidRDefault="009B78FE" w14:paraId="54E21ADA" w14:textId="77777777">
            <w:r>
              <w:rPr>
                <w:rFonts w:ascii="Courier New" w:hAnsi="Courier New"/>
                <w:sz w:val="18"/>
              </w:rPr>
              <w:t>pct_asian</w:t>
            </w:r>
          </w:p>
        </w:tc>
        <w:tc>
          <w:tcPr>
            <w:tcW w:w="3360" w:type="dxa"/>
          </w:tcPr>
          <w:p w:rsidR="009B78FE" w:rsidP="000A7270" w:rsidRDefault="009B78FE" w14:paraId="012D0FEA" w14:textId="77777777">
            <w:r>
              <w:t>Share of ZIP/ZCTA population identifying as Asian</w:t>
            </w:r>
          </w:p>
        </w:tc>
        <w:tc>
          <w:tcPr>
            <w:tcW w:w="3360" w:type="dxa"/>
          </w:tcPr>
          <w:p w:rsidR="009B78FE" w:rsidP="000A7270" w:rsidRDefault="009B78FE" w14:paraId="38C83B02" w14:textId="77777777">
            <w:r>
              <w:t>ACS 2023 5-year estimate</w:t>
            </w:r>
          </w:p>
        </w:tc>
      </w:tr>
      <w:tr w:rsidR="009B78FE" w:rsidTr="000A7270" w14:paraId="5B670451" w14:textId="77777777">
        <w:tc>
          <w:tcPr>
            <w:tcW w:w="3360" w:type="dxa"/>
          </w:tcPr>
          <w:p w:rsidR="009B78FE" w:rsidP="000A7270" w:rsidRDefault="009B78FE" w14:paraId="4C70258F" w14:textId="77777777">
            <w:r>
              <w:rPr>
                <w:rFonts w:ascii="Courier New" w:hAnsi="Courier New"/>
                <w:sz w:val="18"/>
              </w:rPr>
              <w:t>log_median_household_income</w:t>
            </w:r>
          </w:p>
        </w:tc>
        <w:tc>
          <w:tcPr>
            <w:tcW w:w="3360" w:type="dxa"/>
          </w:tcPr>
          <w:p w:rsidR="009B78FE" w:rsidP="000A7270" w:rsidRDefault="009B78FE" w14:paraId="055DB6D8" w14:textId="77777777">
            <w:r>
              <w:t>Logged median household income</w:t>
            </w:r>
          </w:p>
        </w:tc>
        <w:tc>
          <w:tcPr>
            <w:tcW w:w="3360" w:type="dxa"/>
          </w:tcPr>
          <w:p w:rsidR="009B78FE" w:rsidP="000A7270" w:rsidRDefault="009B78FE" w14:paraId="773C326A" w14:textId="77777777">
            <w:r>
              <w:t>Socioeconomic/adoption-capacity proxy</w:t>
            </w:r>
          </w:p>
        </w:tc>
      </w:tr>
      <w:tr w:rsidR="009B78FE" w:rsidTr="000A7270" w14:paraId="5441003C" w14:textId="77777777">
        <w:tc>
          <w:tcPr>
            <w:tcW w:w="3360" w:type="dxa"/>
          </w:tcPr>
          <w:p w:rsidR="009B78FE" w:rsidP="000A7270" w:rsidRDefault="009B78FE" w14:paraId="1A1D825A" w14:textId="77777777">
            <w:r>
              <w:rPr>
                <w:rFonts w:ascii="Courier New" w:hAnsi="Courier New"/>
                <w:sz w:val="18"/>
              </w:rPr>
              <w:t>poverty_rate</w:t>
            </w:r>
          </w:p>
        </w:tc>
        <w:tc>
          <w:tcPr>
            <w:tcW w:w="3360" w:type="dxa"/>
          </w:tcPr>
          <w:p w:rsidR="009B78FE" w:rsidP="000A7270" w:rsidRDefault="009B78FE" w14:paraId="791E71E3" w14:textId="77777777">
            <w:r>
              <w:t>Share of residents below the poverty line</w:t>
            </w:r>
          </w:p>
        </w:tc>
        <w:tc>
          <w:tcPr>
            <w:tcW w:w="3360" w:type="dxa"/>
          </w:tcPr>
          <w:p w:rsidR="009B78FE" w:rsidP="000A7270" w:rsidRDefault="009B78FE" w14:paraId="2003FE57" w14:textId="77777777">
            <w:r>
              <w:t>Socioeconomic control</w:t>
            </w:r>
          </w:p>
        </w:tc>
      </w:tr>
      <w:tr w:rsidR="009B78FE" w:rsidTr="000A7270" w14:paraId="7AE54DD1" w14:textId="77777777">
        <w:tc>
          <w:tcPr>
            <w:tcW w:w="3360" w:type="dxa"/>
          </w:tcPr>
          <w:p w:rsidR="009B78FE" w:rsidP="000A7270" w:rsidRDefault="009B78FE" w14:paraId="5CB2D337" w14:textId="77777777">
            <w:r>
              <w:rPr>
                <w:rFonts w:ascii="Courier New" w:hAnsi="Courier New"/>
                <w:sz w:val="18"/>
              </w:rPr>
              <w:t>pct_bachelors_plus</w:t>
            </w:r>
          </w:p>
        </w:tc>
        <w:tc>
          <w:tcPr>
            <w:tcW w:w="3360" w:type="dxa"/>
          </w:tcPr>
          <w:p w:rsidR="009B78FE" w:rsidP="000A7270" w:rsidRDefault="009B78FE" w14:paraId="535DC184" w14:textId="77777777">
            <w:r>
              <w:t>Share of adults with a bachelor’s degree or higher</w:t>
            </w:r>
          </w:p>
        </w:tc>
        <w:tc>
          <w:tcPr>
            <w:tcW w:w="3360" w:type="dxa"/>
          </w:tcPr>
          <w:p w:rsidR="009B78FE" w:rsidP="000A7270" w:rsidRDefault="009B78FE" w14:paraId="4ED5CB4E" w14:textId="77777777">
            <w:r>
              <w:t>Education and adoption-capacity control</w:t>
            </w:r>
          </w:p>
        </w:tc>
      </w:tr>
      <w:tr w:rsidR="009B78FE" w:rsidTr="000A7270" w14:paraId="450A5050" w14:textId="77777777">
        <w:tc>
          <w:tcPr>
            <w:tcW w:w="3360" w:type="dxa"/>
          </w:tcPr>
          <w:p w:rsidR="009B78FE" w:rsidP="000A7270" w:rsidRDefault="009B78FE" w14:paraId="49E74D00" w14:textId="77777777">
            <w:r>
              <w:rPr>
                <w:rFonts w:ascii="Courier New" w:hAnsi="Courier New"/>
                <w:sz w:val="18"/>
              </w:rPr>
              <w:t>ghi_mean_kwh_m2_day_2023</w:t>
            </w:r>
          </w:p>
        </w:tc>
        <w:tc>
          <w:tcPr>
            <w:tcW w:w="3360" w:type="dxa"/>
          </w:tcPr>
          <w:p w:rsidR="009B78FE" w:rsidP="000A7270" w:rsidRDefault="009B78FE" w14:paraId="4981DF6D" w14:textId="77777777">
            <w:r>
              <w:t>Mean daily global horizontal irradiance</w:t>
            </w:r>
          </w:p>
        </w:tc>
        <w:tc>
          <w:tcPr>
            <w:tcW w:w="3360" w:type="dxa"/>
          </w:tcPr>
          <w:p w:rsidR="009B78FE" w:rsidP="000A7270" w:rsidRDefault="009B78FE" w14:paraId="16653E0E" w14:textId="77777777">
            <w:r>
              <w:t>Solar resource / physical suitability control</w:t>
            </w:r>
          </w:p>
        </w:tc>
      </w:tr>
      <w:tr w:rsidR="009B78FE" w:rsidTr="000A7270" w14:paraId="78206930" w14:textId="77777777">
        <w:tc>
          <w:tcPr>
            <w:tcW w:w="3360" w:type="dxa"/>
          </w:tcPr>
          <w:p w:rsidR="009B78FE" w:rsidP="000A7270" w:rsidRDefault="009B78FE" w14:paraId="37B7F3DD" w14:textId="77777777">
            <w:r>
              <w:rPr>
                <w:rFonts w:ascii="Courier New" w:hAnsi="Courier New"/>
                <w:sz w:val="18"/>
              </w:rPr>
              <w:t>cdd65_2023</w:t>
            </w:r>
          </w:p>
        </w:tc>
        <w:tc>
          <w:tcPr>
            <w:tcW w:w="3360" w:type="dxa"/>
          </w:tcPr>
          <w:p w:rsidR="009B78FE" w:rsidP="000A7270" w:rsidRDefault="009B78FE" w14:paraId="27134738" w14:textId="77777777">
            <w:r>
              <w:t>Cooling degree days relative to 65°F</w:t>
            </w:r>
          </w:p>
        </w:tc>
        <w:tc>
          <w:tcPr>
            <w:tcW w:w="3360" w:type="dxa"/>
          </w:tcPr>
          <w:p w:rsidR="009B78FE" w:rsidP="000A7270" w:rsidRDefault="009B78FE" w14:paraId="299FF255" w14:textId="77777777">
            <w:r>
              <w:t>Climate control</w:t>
            </w:r>
          </w:p>
        </w:tc>
      </w:tr>
      <w:tr w:rsidR="009B78FE" w:rsidTr="000A7270" w14:paraId="585F430D" w14:textId="77777777">
        <w:tc>
          <w:tcPr>
            <w:tcW w:w="3360" w:type="dxa"/>
          </w:tcPr>
          <w:p w:rsidR="009B78FE" w:rsidP="000A7270" w:rsidRDefault="009B78FE" w14:paraId="0E704D21" w14:textId="77777777">
            <w:r>
              <w:rPr>
                <w:rFonts w:ascii="Courier New" w:hAnsi="Courier New"/>
                <w:sz w:val="18"/>
              </w:rPr>
              <w:t>hdd65_2023</w:t>
            </w:r>
          </w:p>
        </w:tc>
        <w:tc>
          <w:tcPr>
            <w:tcW w:w="3360" w:type="dxa"/>
          </w:tcPr>
          <w:p w:rsidR="009B78FE" w:rsidP="000A7270" w:rsidRDefault="009B78FE" w14:paraId="054B93AE" w14:textId="77777777">
            <w:r>
              <w:t>Heating degree days relative to 65°F</w:t>
            </w:r>
          </w:p>
        </w:tc>
        <w:tc>
          <w:tcPr>
            <w:tcW w:w="3360" w:type="dxa"/>
          </w:tcPr>
          <w:p w:rsidR="009B78FE" w:rsidP="000A7270" w:rsidRDefault="009B78FE" w14:paraId="3F6D1F87" w14:textId="77777777">
            <w:r>
              <w:t>Climate control</w:t>
            </w:r>
          </w:p>
        </w:tc>
      </w:tr>
      <w:tr w:rsidR="009B78FE" w:rsidTr="000A7270" w14:paraId="0D1D1BA1" w14:textId="77777777">
        <w:tc>
          <w:tcPr>
            <w:tcW w:w="3360" w:type="dxa"/>
          </w:tcPr>
          <w:p w:rsidR="009B78FE" w:rsidP="000A7270" w:rsidRDefault="009B78FE" w14:paraId="599C2EBA" w14:textId="77777777">
            <w:r>
              <w:rPr>
                <w:rFonts w:ascii="Courier New" w:hAnsi="Courier New"/>
                <w:sz w:val="18"/>
              </w:rPr>
              <w:t>log_kwh</w:t>
            </w:r>
          </w:p>
        </w:tc>
        <w:tc>
          <w:tcPr>
            <w:tcW w:w="3360" w:type="dxa"/>
          </w:tcPr>
          <w:p w:rsidR="009B78FE" w:rsidP="000A7270" w:rsidRDefault="009B78FE" w14:paraId="57B969B7" w14:textId="77777777">
            <w:r>
              <w:t>Logged annual electricity consumption</w:t>
            </w:r>
          </w:p>
        </w:tc>
        <w:tc>
          <w:tcPr>
            <w:tcW w:w="3360" w:type="dxa"/>
          </w:tcPr>
          <w:p w:rsidR="009B78FE" w:rsidP="000A7270" w:rsidRDefault="009B78FE" w14:paraId="7F196AA4" w14:textId="77777777">
            <w:r>
              <w:t>Demand/load proxy</w:t>
            </w:r>
          </w:p>
        </w:tc>
      </w:tr>
      <w:tr w:rsidR="009B78FE" w:rsidTr="000A7270" w14:paraId="6E247DF6" w14:textId="77777777">
        <w:tc>
          <w:tcPr>
            <w:tcW w:w="3360" w:type="dxa"/>
          </w:tcPr>
          <w:p w:rsidRPr="00E713DB" w:rsidR="009B78FE" w:rsidP="000A7270" w:rsidRDefault="009B78FE" w14:paraId="30B9A151" w14:textId="77777777">
            <w:pPr>
              <w:rPr>
                <w:rFonts w:ascii="Courier New" w:hAnsi="Courier New" w:cs="Courier New"/>
                <w:sz w:val="18"/>
                <w:szCs w:val="18"/>
              </w:rPr>
            </w:pPr>
            <w:r>
              <w:rPr>
                <w:rFonts w:ascii="Courier New" w:hAnsi="Courier New" w:cs="Courier New"/>
                <w:sz w:val="18"/>
                <w:szCs w:val="18"/>
              </w:rPr>
              <w:t>energy_burden_pct</w:t>
            </w:r>
          </w:p>
        </w:tc>
        <w:tc>
          <w:tcPr>
            <w:tcW w:w="3360" w:type="dxa"/>
          </w:tcPr>
          <w:p w:rsidR="009B78FE" w:rsidP="000A7270" w:rsidRDefault="009B78FE" w14:paraId="5C6E723F" w14:textId="77777777">
            <w:r>
              <w:t>Household energy burden</w:t>
            </w:r>
          </w:p>
        </w:tc>
        <w:tc>
          <w:tcPr>
            <w:tcW w:w="3360" w:type="dxa"/>
          </w:tcPr>
          <w:p w:rsidR="009B78FE" w:rsidP="000A7270" w:rsidRDefault="009B78FE" w14:paraId="1421C237" w14:textId="77777777">
            <w:r>
              <w:t>ZIP-level energy costs as a share of income; used in the energy-burden outcome model</w:t>
            </w:r>
          </w:p>
        </w:tc>
      </w:tr>
      <w:tr w:rsidR="009B78FE" w:rsidTr="000A7270" w14:paraId="27E25240" w14:textId="77777777">
        <w:tc>
          <w:tcPr>
            <w:tcW w:w="3360" w:type="dxa"/>
          </w:tcPr>
          <w:p w:rsidRPr="00E713DB" w:rsidR="009B78FE" w:rsidP="000A7270" w:rsidRDefault="009B78FE" w14:paraId="0901393C" w14:textId="77777777">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rsidR="009B78FE" w:rsidP="000A7270" w:rsidRDefault="009B78FE" w14:paraId="0EFD77CF" w14:textId="77777777">
            <w:r>
              <w:t>Logged per-capita energy affordability gap</w:t>
            </w:r>
          </w:p>
        </w:tc>
        <w:tc>
          <w:tcPr>
            <w:tcW w:w="3360" w:type="dxa"/>
          </w:tcPr>
          <w:p w:rsidR="009B78FE" w:rsidP="000A7270" w:rsidRDefault="009B78FE" w14:paraId="2CE9FED7" w14:textId="77777777">
            <w:r>
              <w:t>Scale-adjusted burden-gap measure used alongside energy_burden_pct</w:t>
            </w:r>
          </w:p>
        </w:tc>
      </w:tr>
    </w:tbl>
    <w:p w:rsidR="00B86A12" w:rsidP="003C3701" w:rsidRDefault="00000000" w14:paraId="776F3EE6" w14:textId="49C47CED">
      <w:pPr>
        <w:pStyle w:val="Heading2"/>
        <w:numPr>
          <w:ilvl w:val="1"/>
          <w:numId w:val="11"/>
        </w:numPr>
      </w:pPr>
      <w:r>
        <w:rPr>
          <w:rStyle w:val="Heading2Char"/>
          <w:b/>
          <w:bCs/>
        </w:rPr>
        <w:t>Unit of analysis</w:t>
      </w:r>
    </w:p>
    <w:p w:rsidR="00B86A12" w:rsidRDefault="00000000" w14:paraId="01CCE99B" w14:textId="77E5593D">
      <w:r>
        <w:t xml:space="preserve">The unit of analysis is the ZIP-code level, implemented using Census ZIP Code Tabulation Areas (ZCTAs), </w:t>
      </w:r>
      <w:r>
        <w:rPr/>
        <w:t xml:space="preserve"> </w:t>
      </w:r>
      <w:r>
        <w:t xml:space="preserve">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rsidR="00B86A12" w:rsidRDefault="00000000" w14:paraId="2D2A8FF0" w14:textId="77777777">
      <w:pPr>
        <w:pStyle w:val="Heading2"/>
        <w:numPr>
          <w:ilvl w:val="1"/>
          <w:numId w:val="11"/>
        </w:numPr>
      </w:pPr>
      <w:r>
        <w:t>Outcomes</w:t>
      </w:r>
    </w:p>
    <w:p w:rsidR="00B86A12" w:rsidRDefault="00000000" w14:paraId="54E0BF9B" w14:textId="38E88646">
      <w:bookmarkStart w:name="OLE_LINK1" w:id="2"/>
      <w:r w:rsidR="00000000">
        <w:rPr/>
        <w:t>To make outcomes comparable across technologies, each DER measure is converted into a population-normalized intensity metric and then transformed using</w:t>
      </w:r>
      <w:r w:rsidR="00000000">
        <w:rPr>
          <w:rFonts w:ascii="Courier New" w:hAnsi="Courier New"/>
        </w:rPr>
        <w:t xml:space="preserve"> </w:t>
      </w:r>
      <m:oMath xmlns:m="http://schemas.openxmlformats.org/officeDocument/2006/math">
        <m:func xmlns:m="http://schemas.openxmlformats.org/officeDocument/2006/math">
          <m:funcPr>
            <m:ctrlPr>
              <w:rPr xmlns:w="http://schemas.openxmlformats.org/wordprocessingml/2006/main">
                <w:rFonts w:ascii="Cambria Math" w:hAnsi="Cambria Math"/>
                <w:i/>
              </w:rPr>
            </m:ctrlPr>
          </m:funcPr>
          <m:fName>
            <m:r>
              <m:rPr>
                <m:sty m:val="p"/>
              </m:rPr>
              <w:rPr xmlns:w="http://schemas.openxmlformats.org/wordprocessingml/2006/main">
                <w:rFonts w:ascii="Cambria Math" w:hAnsi="Cambria Math"/>
              </w:rPr>
              <m:t>log</m:t>
            </m:r>
          </m:fName>
          <m:e>
            <m:d>
              <m:dPr>
                <m:ctrlPr>
                  <w:rPr xmlns:w="http://schemas.openxmlformats.org/wordprocessingml/2006/main">
                    <w:rFonts w:ascii="Cambria Math" w:hAnsi="Cambria Math"/>
                    <w:i/>
                  </w:rPr>
                </m:ctrlPr>
              </m:dPr>
              <m:e>
                <m:r>
                  <w:rPr xmlns:w="http://schemas.openxmlformats.org/wordprocessingml/2006/main">
                    <w:rFonts w:ascii="Cambria Math" w:hAnsi="Cambria Math"/>
                  </w:rPr>
                  <m:t>1+</m:t>
                </m:r>
                <m:r>
                  <w:rPr xmlns:w="http://schemas.openxmlformats.org/wordprocessingml/2006/main">
                    <w:rFonts w:ascii="Cambria Math" w:hAnsi="Cambria Math"/>
                  </w:rPr>
                  <m:t>rate</m:t>
                </m:r>
              </m:e>
            </m:d>
          </m:e>
        </m:func>
      </m:oMath>
      <w:r w:rsidR="00000000">
        <w:rPr>
          <w:rFonts w:ascii="Courier New" w:hAnsi="Courier New"/>
        </w:rPr>
        <w:t xml:space="preserve"> </w:t>
      </w:r>
      <w:r w:rsidR="00000000">
        <w:rPr>
          <w:rFonts w:cs="Times New Roman"/>
        </w:rPr>
        <w:t xml:space="preserve">where </w:t>
      </w:r>
      <m:oMath xmlns:m="http://schemas.openxmlformats.org/officeDocument/2006/math">
        <m:r xmlns:m="http://schemas.openxmlformats.org/officeDocument/2006/math">
          <w:rPr xmlns:w="http://schemas.openxmlformats.org/wordprocessingml/2006/main">
            <w:rFonts w:ascii="Cambria Math" w:hAnsi="Cambria Math" w:cs="Times New Roman"/>
            <w:sz w:val="14"/>
            <w:szCs w:val="14"/>
          </w:rPr>
          <m:t xmlns:m="http://schemas.openxmlformats.org/officeDocument/2006/math">rate</m:t>
        </m:r>
      </m:oMath>
      <w:r w:rsidR="00000000">
        <w:rPr/>
        <w:t xml:space="preserve"> is the per-capita DER deployment metric.</w:t>
      </w:r>
      <w:bookmarkEnd w:id="2"/>
      <w:r w:rsidR="00000000">
        <w:rPr/>
        <w:t xml:space="preserve"> </w:t>
      </w:r>
      <w:r w:rsidR="00000000">
        <w:rPr/>
        <w:t xml:space="preserve">The three primary outcomes</w:t>
      </w:r>
      <w:r w:rsidR="00000000">
        <w:rPr/>
        <w:t xml:space="preserve">, defined alongside the full variable list in </w:t>
      </w:r>
      <w:r>
        <w:fldChar w:fldCharType="begin"/>
      </w:r>
      <w:r>
        <w:instrText xml:space="preserve"> REF _Ref_tbl1 \h </w:instrText>
      </w:r>
      <w:r>
        <w:fldChar w:fldCharType="separate"/>
      </w:r>
      <w:r w:rsidR="00000000">
        <w:rPr/>
        <w:t xml:space="preserve">Table 1</w:t>
      </w:r>
      <w:r>
        <w:fldChar w:fldCharType="end"/>
      </w:r>
      <w:r w:rsidR="00000000">
        <w:rPr/>
        <w:t xml:space="preserve">,</w:t>
      </w:r>
      <w:r w:rsidR="00000000">
        <w:rPr/>
        <w:t xml:space="preserve"> are </w:t>
      </w:r>
      <w:r w:rsidRPr="3DC018EE" w:rsidR="00000000">
        <w:rPr>
          <w:rFonts w:ascii="Courier New" w:hAnsi="Courier New"/>
          <w:sz w:val="18"/>
          <w:szCs w:val="18"/>
        </w:rPr>
        <w:t>y_chargers</w:t>
      </w:r>
      <w:r w:rsidR="00000000">
        <w:rPr/>
        <w:t>, based on total chargers per 1,000 residents;</w:t>
      </w:r>
      <w:r w:rsidRPr="3DC018EE" w:rsidR="00000000">
        <w:rPr>
          <w:rFonts w:ascii="Courier New" w:hAnsi="Courier New"/>
          <w:sz w:val="18"/>
          <w:szCs w:val="18"/>
        </w:rPr>
        <w:t xml:space="preserve"> </w:t>
      </w:r>
      <w:r w:rsidRPr="3DC018EE" w:rsidR="00000000">
        <w:rPr>
          <w:rFonts w:ascii="Courier New" w:hAnsi="Courier New"/>
          <w:sz w:val="18"/>
          <w:szCs w:val="18"/>
        </w:rPr>
        <w:t>y_pv</w:t>
      </w:r>
      <w:r w:rsidR="00000000">
        <w:rPr/>
        <w:t>, based on PV system size in kW DC per 1,000 residents; and</w:t>
      </w:r>
      <w:r w:rsidRPr="3DC018EE" w:rsidR="00000000">
        <w:rPr>
          <w:rFonts w:ascii="Courier New" w:hAnsi="Courier New"/>
          <w:sz w:val="18"/>
          <w:szCs w:val="18"/>
        </w:rPr>
        <w:t xml:space="preserve"> </w:t>
      </w:r>
      <w:r w:rsidRPr="3DC018EE" w:rsidR="00000000">
        <w:rPr>
          <w:rFonts w:ascii="Courier New" w:hAnsi="Courier New"/>
          <w:sz w:val="18"/>
          <w:szCs w:val="18"/>
        </w:rPr>
        <w:t>y_storage</w:t>
      </w:r>
      <w:r w:rsidR="00000000">
        <w:rPr/>
        <w:t xml:space="preserve">, based on storage capacity in MW per </w:t>
      </w:r>
      <w:r w:rsidR="00000000">
        <w:rPr/>
        <w:t>100,000 residents</w:t>
      </w:r>
      <w:r w:rsidR="00000000">
        <w:rPr/>
        <w:t xml:space="preserve">. </w:t>
      </w:r>
      <w:r w:rsidR="00000000">
        <w:rPr/>
        <w:t xml:space="preserve">Supplementary analysis also examines charger subtypes and a wind-capacity outcome used as contextual evidence rather than as a headline policy result.</w:t>
      </w:r>
      <w:r w:rsidR="00000000">
        <w:rPr/>
        <w:t xml:space="preserve"> Section </w:t>
      </w:r>
      <w:r>
        <w:fldChar w:fldCharType="begin"/>
      </w:r>
      <w:r>
        <w:instrText xml:space="preserve"> REF _Ref_sec_m_outcomes \r \h </w:instrText>
      </w:r>
      <w:r>
        <w:fldChar w:fldCharType="separate"/>
      </w:r>
      <w:r w:rsidR="00000000">
        <w:rPr/>
        <w:t xml:space="preserve">6.3</w:t>
      </w:r>
      <w:r>
        <w:fldChar w:fldCharType="end"/>
      </w:r>
      <w:r w:rsidR="00000000">
        <w:rPr/>
        <w:t xml:space="preserve"> gives the exact construction of each outcome in Equations </w:t>
      </w:r>
      <w:r>
        <w:fldChar w:fldCharType="begin"/>
      </w:r>
      <w:r>
        <w:instrText xml:space="preserve"> REF _Ref_eq_chargers \h </w:instrText>
      </w:r>
      <w:r>
        <w:fldChar w:fldCharType="separate"/>
      </w:r>
      <w:r w:rsidR="00000000">
        <w:rPr/>
        <w:t xml:space="preserve">(1)</w:t>
      </w:r>
      <w:r>
        <w:fldChar w:fldCharType="end"/>
      </w:r>
      <w:r w:rsidR="00000000">
        <w:rPr/>
        <w:t xml:space="preserve">, </w:t>
      </w:r>
      <w:r>
        <w:fldChar w:fldCharType="begin"/>
      </w:r>
      <w:r>
        <w:instrText xml:space="preserve"> REF _Ref_eq_pv \h </w:instrText>
      </w:r>
      <w:r>
        <w:fldChar w:fldCharType="separate"/>
      </w:r>
      <w:r w:rsidR="00000000">
        <w:rPr/>
        <w:t xml:space="preserve">(2)</w:t>
      </w:r>
      <w:r>
        <w:fldChar w:fldCharType="end"/>
      </w:r>
      <w:r w:rsidR="00000000">
        <w:rPr/>
        <w:t xml:space="preserve"> and </w:t>
      </w:r>
      <w:r>
        <w:fldChar w:fldCharType="begin"/>
      </w:r>
      <w:r>
        <w:instrText xml:space="preserve"> REF _Ref_eq_storage \h </w:instrText>
      </w:r>
      <w:r>
        <w:fldChar w:fldCharType="separate"/>
      </w:r>
      <w:r w:rsidR="00000000">
        <w:rPr/>
        <w:t xml:space="preserve">(3)</w:t>
      </w:r>
      <w:r>
        <w:fldChar w:fldCharType="end"/>
      </w:r>
      <w:r w:rsidR="00000000">
        <w:rPr/>
        <w:t xml:space="preserve">, and Section </w:t>
      </w:r>
      <w:r>
        <w:fldChar w:fldCharType="begin"/>
      </w:r>
      <w:r>
        <w:instrText xml:space="preserve"> REF _Ref_sec_r_wind \r \h </w:instrText>
      </w:r>
      <w:r>
        <w:fldChar w:fldCharType="separate"/>
      </w:r>
      <w:r w:rsidR="00000000">
        <w:rPr/>
        <w:t xml:space="preserve">4.8</w:t>
      </w:r>
      <w:r>
        <w:fldChar w:fldCharType="end"/>
      </w:r>
      <w:r w:rsidR="00000000">
        <w:rPr/>
        <w:t xml:space="preserve"> reports the wind results.</w:t>
      </w:r>
    </w:p>
    <w:p w:rsidR="00B86A12" w:rsidRDefault="00000000" w14:paraId="4D2390D9" w14:textId="77777777">
      <w:pPr>
        <w:pStyle w:val="Heading2"/>
        <w:numPr>
          <w:ilvl w:val="1"/>
          <w:numId w:val="11"/>
        </w:numPr>
      </w:pPr>
      <w:r>
        <w:t>Key predictors</w:t>
      </w:r>
    </w:p>
    <w:p w:rsidR="00B86A12" w:rsidRDefault="00000000" w14:paraId="6878B21E" w14:textId="022DE58B">
      <w:r w:rsidR="00000000">
        <w:rPr/>
        <w:t>The main explanatory variables fall into two categories. The first is racial and ethnic composition, measured using ZIP/ZCTA population shares such as</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The second is socioeconomic status, including</w:t>
      </w:r>
      <w:r w:rsidRPr="3DC018EE" w:rsidR="00000000">
        <w:rPr>
          <w:rFonts w:ascii="Courier New" w:hAnsi="Courier New"/>
          <w:sz w:val="18"/>
          <w:szCs w:val="18"/>
        </w:rPr>
        <w:t xml:space="preserve"> </w:t>
      </w:r>
      <w:r w:rsidRPr="3DC018EE" w:rsidR="00000000">
        <w:rPr>
          <w:rFonts w:ascii="Courier New" w:hAnsi="Courier New"/>
          <w:sz w:val="18"/>
          <w:szCs w:val="18"/>
        </w:rPr>
        <w:t>log_median_household_income</w:t>
      </w:r>
      <w:r w:rsidR="00000000">
        <w:rPr/>
        <w:t>,</w:t>
      </w:r>
      <w:r w:rsidRPr="3DC018EE" w:rsidR="00000000">
        <w:rPr>
          <w:rFonts w:ascii="Courier New" w:hAnsi="Courier New"/>
          <w:sz w:val="18"/>
          <w:szCs w:val="18"/>
        </w:rPr>
        <w:t xml:space="preserve"> </w:t>
      </w:r>
      <w:r w:rsidRPr="3DC018EE" w:rsidR="00000000">
        <w:rPr>
          <w:rFonts w:ascii="Courier New" w:hAnsi="Courier New"/>
          <w:sz w:val="18"/>
          <w:szCs w:val="18"/>
        </w:rPr>
        <w:t>poverty_rate</w:t>
      </w:r>
      <w:r w:rsidR="00000000">
        <w:rPr/>
        <w:t xml:space="preserve">, and in expanded </w:t>
      </w:r>
      <w:r w:rsidR="00000000">
        <w:rPr/>
        <w:t>specifications</w:t>
      </w:r>
      <w:r w:rsidR="00000000">
        <w:rPr/>
        <w:t xml:space="preserve"> variables such as educational attainment and housing value. </w:t>
      </w:r>
      <w:r w:rsidR="00000000">
        <w:rPr/>
        <w:t>For descriptive smoothing plots, we also use a combined non-white share equal to the sum of the Black, Hispanic, and Asian shares in the merged ACS export.</w:t>
      </w:r>
      <w:r w:rsidR="00000000">
        <w:rPr/>
        <w:t xml:space="preserve"> Those plots are shown in </w:t>
      </w:r>
      <w:r>
        <w:fldChar w:fldCharType="begin"/>
      </w:r>
      <w:r>
        <w:instrText xml:space="preserve"> REF _Ref_fig10 \h </w:instrText>
      </w:r>
      <w:r>
        <w:fldChar w:fldCharType="separate"/>
      </w:r>
      <w:r w:rsidR="00000000">
        <w:rPr/>
        <w:t>Figure 13</w:t>
      </w:r>
      <w:r>
        <w:fldChar w:fldCharType="end"/>
      </w:r>
      <w:r w:rsidR="00000000">
        <w:rPr/>
        <w:t xml:space="preserve"> and </w:t>
      </w:r>
      <w:r>
        <w:fldChar w:fldCharType="begin"/>
      </w:r>
      <w:r>
        <w:instrText xml:space="preserve"> REF _Ref_fig11 \h </w:instrText>
      </w:r>
      <w:r>
        <w:fldChar w:fldCharType="separate"/>
      </w:r>
      <w:r w:rsidR="00000000">
        <w:rPr/>
        <w:t>Figure 14</w:t>
      </w:r>
      <w:r>
        <w:fldChar w:fldCharType="end"/>
      </w:r>
      <w:r w:rsidR="00000000">
        <w:rPr/>
        <w:t xml:space="preserve"> and discussed in Section </w:t>
      </w:r>
      <w:r>
        <w:fldChar w:fldCharType="begin"/>
      </w:r>
      <w:r>
        <w:instrText xml:space="preserve"> REF _Ref_sec_r_lowess \r \h </w:instrText>
      </w:r>
      <w:r>
        <w:fldChar w:fldCharType="separate"/>
      </w:r>
      <w:r w:rsidR="00000000">
        <w:rPr/>
        <w:t>4.6</w:t>
      </w:r>
      <w:r>
        <w:fldChar w:fldCharType="end"/>
      </w:r>
      <w:r w:rsidR="00000000">
        <w:rPr/>
        <w:t xml:space="preserve">; Section </w:t>
      </w:r>
      <w:r>
        <w:fldChar w:fldCharType="begin"/>
      </w:r>
      <w:r>
        <w:instrText xml:space="preserve"> REF _Ref_sec_m_predictors \r \h </w:instrText>
      </w:r>
      <w:r>
        <w:fldChar w:fldCharType="separate"/>
      </w:r>
      <w:r w:rsidR="00000000">
        <w:rPr/>
        <w:t>6.4</w:t>
      </w:r>
      <w:r>
        <w:fldChar w:fldCharType="end"/>
      </w:r>
      <w:r w:rsidR="00000000">
        <w:rPr/>
        <w:t xml:space="preserve"> gives the full definitions.</w:t>
      </w:r>
    </w:p>
    <w:p w:rsidR="00B86A12" w:rsidRDefault="00000000" w14:paraId="79560834" w14:textId="77777777">
      <w:pPr>
        <w:pStyle w:val="Heading2"/>
        <w:numPr>
          <w:ilvl w:val="1"/>
          <w:numId w:val="11"/>
        </w:numPr>
      </w:pPr>
      <w:r>
        <w:t>Controls</w:t>
      </w:r>
    </w:p>
    <w:p w:rsidR="00B86A12" w:rsidRDefault="00000000" w14:paraId="48796E5D" w14:textId="313D694D">
      <w:r w:rsidR="00000000">
        <w:rPr/>
        <w:t xml:space="preserve">Controls are included to account for non-demographic differences across places that may shape DER deployment. These include climate and resource variables, utility territory, broader geographic adjustments, </w:t>
      </w:r>
      <w:r w:rsidR="00000000">
        <w:rPr/>
        <w:t>installed-energy</w:t>
      </w:r>
      <w:r w:rsidR="00000000">
        <w:rPr/>
        <w:t xml:space="preserve">-context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source-specific cleaning steps use tighter thresholds in the code. </w:t>
      </w:r>
      <w:r w:rsidR="00000000">
        <w:rPr/>
        <w:t>The empirical analysis, therefore, uses the processed dataset built by the workflow rather than applying a different threshold to each raw source.</w:t>
      </w:r>
      <w:r w:rsidR="00000000">
        <w:rPr/>
        <w:t xml:space="preserve"> Section </w:t>
      </w:r>
      <w:r>
        <w:fldChar w:fldCharType="begin"/>
      </w:r>
      <w:r>
        <w:instrText xml:space="preserve"> REF _Ref_sec_m_controls \r \h </w:instrText>
      </w:r>
      <w:r>
        <w:fldChar w:fldCharType="separate"/>
      </w:r>
      <w:r w:rsidR="00000000">
        <w:rPr/>
        <w:t>6.5</w:t>
      </w:r>
      <w:r>
        <w:fldChar w:fldCharType="end"/>
      </w:r>
      <w:r w:rsidR="00000000">
        <w:rPr/>
        <w:t xml:space="preserve"> lists the control blocks in full, and </w:t>
      </w:r>
      <w:r>
        <w:fldChar w:fldCharType="begin"/>
      </w:r>
      <w:r>
        <w:instrText xml:space="preserve"> REF _Ref_tbl1 \h </w:instrText>
      </w:r>
      <w:r>
        <w:fldChar w:fldCharType="separate"/>
      </w:r>
      <w:r w:rsidR="00000000">
        <w:rPr/>
        <w:t>Table 1</w:t>
      </w:r>
      <w:r>
        <w:fldChar w:fldCharType="end"/>
      </w:r>
      <w:r w:rsidR="00000000">
        <w:rPr/>
        <w:t xml:space="preserve"> defines each control variable.</w:t>
      </w:r>
    </w:p>
    <w:p w:rsidR="00F121D0" w:rsidP="00F121D0" w:rsidRDefault="009611E9" w14:paraId="2F285EC2" w14:textId="77777777">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rsidR="00B86A12" w:rsidP="00F121D0" w:rsidRDefault="00F121D0" w14:paraId="758BB009" w14:textId="047A8A9F">
      <w:pPr>
        <w:pStyle w:val="Caption"/>
        <w:jc w:val="center"/>
      </w:pPr>
      <w:bookmarkStart w:name="_Ref_fig1" w:id="3"/>
      <w:r>
        <w:t xml:space="preserve">Figure </w:t>
      </w:r>
      <w:r>
        <w:fldChar w:fldCharType="begin"/>
      </w:r>
      <w:r>
        <w:instrText xml:space="preserve"> SEQ Figure \* ARABIC </w:instrText>
      </w:r>
      <w:r>
        <w:fldChar w:fldCharType="separate"/>
      </w:r>
      <w:r>
        <w:rPr>
          <w:noProof/>
        </w:rPr>
        <w:t>1</w:t>
      </w:r>
      <w:r>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rsidR="00B86A12" w:rsidRDefault="00000000" w14:paraId="4C31183E" w14:textId="77777777">
      <w:pPr>
        <w:pStyle w:val="Heading2"/>
        <w:numPr>
          <w:ilvl w:val="1"/>
          <w:numId w:val="11"/>
        </w:numPr>
      </w:pPr>
      <w:r>
        <w:t>Descriptive distributions</w:t>
      </w:r>
    </w:p>
    <w:p w:rsidR="00B86A12" w:rsidRDefault="00000000" w14:paraId="127BCF8E" w14:textId="1FCD42FE">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lastRenderedPageBreak/>
      </w:r>
      <w:r>
        <w:t>analysis sample numerically so that the later model comparisons can be interpreted relative to the observed scale of the data.</w:t>
      </w:r>
    </w:p>
    <w:p w:rsidR="00F121D0" w:rsidP="00F121D0" w:rsidRDefault="009611E9" w14:paraId="31ACA927" w14:textId="77777777">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rsidR="00EF7D9A" w:rsidP="009B78FE" w:rsidRDefault="00F121D0" w14:paraId="4BA31E86" w14:textId="1A05B47C">
      <w:pPr>
        <w:pStyle w:val="Caption"/>
        <w:jc w:val="center"/>
      </w:pPr>
      <w:bookmarkStart w:name="_Ref_fig2" w:id="4"/>
      <w:r>
        <w:t xml:space="preserve">Figure </w:t>
      </w:r>
      <w:r>
        <w:fldChar w:fldCharType="begin"/>
      </w:r>
      <w:r>
        <w:instrText xml:space="preserve"> SEQ Figure \* ARABIC </w:instrText>
      </w:r>
      <w:r>
        <w:fldChar w:fldCharType="separate"/>
      </w:r>
      <w:r>
        <w:rPr>
          <w:noProof/>
        </w:rPr>
        <w:t>2</w:t>
      </w:r>
      <w:r>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rsidR="00F121D0" w:rsidP="00F121D0" w:rsidRDefault="00F121D0" w14:paraId="45C3E7BE" w14:textId="4BD6DA10">
      <w:pPr>
        <w:pStyle w:val="Caption"/>
        <w:keepNext/>
      </w:pPr>
      <w:bookmarkStart w:name="_Ref_tbl2" w:id="5"/>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rsidTr="3DC018EE" w14:paraId="5E17AC20" w14:textId="77777777">
        <w:tc>
          <w:tcPr>
            <w:tcW w:w="1680" w:type="dxa"/>
            <w:tcMar/>
          </w:tcPr>
          <w:p w:rsidR="00B86A12" w:rsidRDefault="00000000" w14:paraId="43E6E81A" w14:textId="77777777">
            <w:r>
              <w:rPr>
                <w:b/>
              </w:rPr>
              <w:t>Variable</w:t>
            </w:r>
          </w:p>
        </w:tc>
        <w:tc>
          <w:tcPr>
            <w:tcW w:w="1680" w:type="dxa"/>
            <w:tcMar/>
          </w:tcPr>
          <w:p w:rsidR="00B86A12" w:rsidRDefault="00000000" w14:paraId="0C6316DF" w14:textId="77777777">
            <w:r>
              <w:rPr>
                <w:b/>
              </w:rPr>
              <w:t>N</w:t>
            </w:r>
          </w:p>
        </w:tc>
        <w:tc>
          <w:tcPr>
            <w:tcW w:w="1680" w:type="dxa"/>
            <w:tcMar/>
          </w:tcPr>
          <w:p w:rsidR="00B86A12" w:rsidRDefault="00000000" w14:paraId="5071324A" w14:textId="77777777">
            <w:r>
              <w:rPr>
                <w:b/>
              </w:rPr>
              <w:t>Mean</w:t>
            </w:r>
          </w:p>
        </w:tc>
        <w:tc>
          <w:tcPr>
            <w:tcW w:w="1680" w:type="dxa"/>
            <w:tcMar/>
          </w:tcPr>
          <w:p w:rsidR="00B86A12" w:rsidRDefault="00000000" w14:paraId="21A33373" w14:textId="77777777">
            <w:r>
              <w:rPr>
                <w:b/>
              </w:rPr>
              <w:t>Median</w:t>
            </w:r>
          </w:p>
        </w:tc>
        <w:tc>
          <w:tcPr>
            <w:tcW w:w="1680" w:type="dxa"/>
            <w:tcMar/>
          </w:tcPr>
          <w:p w:rsidR="00B86A12" w:rsidRDefault="00000000" w14:paraId="0CF99234" w14:textId="77777777">
            <w:r>
              <w:rPr>
                <w:b/>
              </w:rPr>
              <w:t>P25</w:t>
            </w:r>
          </w:p>
        </w:tc>
        <w:tc>
          <w:tcPr>
            <w:tcW w:w="1680" w:type="dxa"/>
            <w:tcMar/>
          </w:tcPr>
          <w:p w:rsidR="00B86A12" w:rsidRDefault="00000000" w14:paraId="5D6A9D0C" w14:textId="77777777">
            <w:r>
              <w:rPr>
                <w:b/>
              </w:rPr>
              <w:t>P75</w:t>
            </w:r>
          </w:p>
        </w:tc>
      </w:tr>
      <w:tr w:rsidR="00B86A12" w:rsidTr="3DC018EE" w14:paraId="1FEF97BF" w14:textId="77777777">
        <w:tc>
          <w:tcPr>
            <w:tcW w:w="1680" w:type="dxa"/>
            <w:tcMar/>
          </w:tcPr>
          <w:p w:rsidRPr="00E713DB" w:rsidR="00E74C8C" w:rsidRDefault="00000000" w14:paraId="4D332E80" w14:textId="77777777">
            <w:pPr>
              <w:rPr>
                <w:rFonts w:ascii="Courier New" w:hAnsi="Courier New" w:cs="Courier New"/>
                <w:sz w:val="18"/>
                <w:szCs w:val="18"/>
              </w:rPr>
            </w:pPr>
            <w:r>
              <w:rPr>
                <w:rFonts w:ascii="Courier New" w:hAnsi="Courier New" w:cs="Courier New"/>
                <w:sz w:val="18"/>
                <w:szCs w:val="18"/>
              </w:rPr>
              <w:t>y_pv</w:t>
            </w:r>
          </w:p>
        </w:tc>
        <w:tc>
          <w:tcPr>
            <w:tcW w:w="1680" w:type="dxa"/>
            <w:tcMar/>
          </w:tcPr>
          <w:p>
            <w:r>
              <w:t>1,390</w:t>
            </w:r>
          </w:p>
        </w:tc>
        <w:tc>
          <w:tcPr>
            <w:tcW w:w="1680" w:type="dxa"/>
            <w:tcMar/>
          </w:tcPr>
          <w:p>
            <w:r>
              <w:t>0.392</w:t>
            </w:r>
          </w:p>
        </w:tc>
        <w:tc>
          <w:tcPr>
            <w:tcW w:w="1680" w:type="dxa"/>
            <w:tcMar/>
          </w:tcPr>
          <w:p>
            <w:r>
              <w:t>0.326</w:t>
            </w:r>
          </w:p>
        </w:tc>
        <w:tc>
          <w:tcPr>
            <w:tcW w:w="1680" w:type="dxa"/>
            <w:tcMar/>
          </w:tcPr>
          <w:p>
            <w:r>
              <w:t>0.131</w:t>
            </w:r>
          </w:p>
        </w:tc>
        <w:tc>
          <w:tcPr>
            <w:tcW w:w="1680" w:type="dxa"/>
            <w:tcMar/>
          </w:tcPr>
          <w:p>
            <w:r>
              <w:t>0.568</w:t>
            </w:r>
          </w:p>
        </w:tc>
      </w:tr>
      <w:tr w:rsidR="00B86A12" w:rsidTr="3DC018EE" w14:paraId="222C52AD" w14:textId="77777777">
        <w:tc>
          <w:tcPr>
            <w:tcW w:w="1680" w:type="dxa"/>
            <w:tcMar/>
          </w:tcPr>
          <w:p w:rsidRPr="00E713DB" w:rsidR="00E74C8C" w:rsidRDefault="00000000" w14:paraId="459D2DCA" w14:textId="77777777">
            <w:pPr>
              <w:rPr>
                <w:rFonts w:ascii="Courier New" w:hAnsi="Courier New" w:cs="Courier New"/>
                <w:sz w:val="18"/>
                <w:szCs w:val="18"/>
              </w:rPr>
            </w:pPr>
            <w:r>
              <w:rPr>
                <w:rFonts w:ascii="Courier New" w:hAnsi="Courier New" w:cs="Courier New"/>
                <w:sz w:val="18"/>
                <w:szCs w:val="18"/>
              </w:rPr>
              <w:t>y_storage</w:t>
            </w:r>
          </w:p>
        </w:tc>
        <w:tc>
          <w:tcPr>
            <w:tcW w:w="1680" w:type="dxa"/>
            <w:tcMar/>
          </w:tcPr>
          <w:p>
            <w:r>
              <w:t>1,390</w:t>
            </w:r>
          </w:p>
        </w:tc>
        <w:tc>
          <w:tcPr>
            <w:tcW w:w="1680" w:type="dxa"/>
            <w:tcMar/>
          </w:tcPr>
          <w:p>
            <w:r>
              <w:t>1.706</w:t>
            </w:r>
          </w:p>
        </w:tc>
        <w:tc>
          <w:tcPr>
            <w:tcW w:w="1680" w:type="dxa"/>
            <w:tcMar/>
          </w:tcPr>
          <w:p>
            <w:r>
              <w:t>1.752</w:t>
            </w:r>
          </w:p>
        </w:tc>
        <w:tc>
          <w:tcPr>
            <w:tcW w:w="1680" w:type="dxa"/>
            <w:tcMar/>
          </w:tcPr>
          <w:p>
            <w:r>
              <w:t>1.012</w:t>
            </w:r>
          </w:p>
        </w:tc>
        <w:tc>
          <w:tcPr>
            <w:tcW w:w="1680" w:type="dxa"/>
            <w:tcMar/>
          </w:tcPr>
          <w:p>
            <w:r>
              <w:t>2.350</w:t>
            </w:r>
          </w:p>
        </w:tc>
      </w:tr>
      <w:tr w:rsidR="00B86A12" w:rsidTr="3DC018EE" w14:paraId="69C9ADC6" w14:textId="77777777">
        <w:tc>
          <w:tcPr>
            <w:tcW w:w="1680" w:type="dxa"/>
            <w:tcMar/>
          </w:tcPr>
          <w:p w:rsidRPr="00E713DB" w:rsidR="00E74C8C" w:rsidRDefault="00000000" w14:paraId="196C769D" w14:textId="77777777">
            <w:pPr>
              <w:rPr>
                <w:rFonts w:ascii="Courier New" w:hAnsi="Courier New" w:cs="Courier New"/>
                <w:sz w:val="18"/>
                <w:szCs w:val="18"/>
              </w:rPr>
            </w:pPr>
            <w:r>
              <w:rPr>
                <w:rFonts w:ascii="Courier New" w:hAnsi="Courier New" w:cs="Courier New"/>
                <w:sz w:val="18"/>
                <w:szCs w:val="18"/>
              </w:rPr>
              <w:t>y_chargers</w:t>
            </w:r>
          </w:p>
        </w:tc>
        <w:tc>
          <w:tcPr>
            <w:tcW w:w="1680" w:type="dxa"/>
            <w:tcMar/>
          </w:tcPr>
          <w:p>
            <w:r>
              <w:t>1,390</w:t>
            </w:r>
          </w:p>
        </w:tc>
        <w:tc>
          <w:tcPr>
            <w:tcW w:w="1680" w:type="dxa"/>
            <w:tcMar/>
          </w:tcPr>
          <w:p>
            <w:r>
              <w:t>0.694</w:t>
            </w:r>
          </w:p>
        </w:tc>
        <w:tc>
          <w:tcPr>
            <w:tcW w:w="1680" w:type="dxa"/>
            <w:tcMar/>
          </w:tcPr>
          <w:p>
            <w:r>
              <w:t>0.515</w:t>
            </w:r>
          </w:p>
        </w:tc>
        <w:tc>
          <w:tcPr>
            <w:tcW w:w="1680" w:type="dxa"/>
            <w:tcMar/>
          </w:tcPr>
          <w:p>
            <w:r>
              <w:t>0.142</w:t>
            </w:r>
          </w:p>
        </w:tc>
        <w:tc>
          <w:tcPr>
            <w:tcW w:w="1680" w:type="dxa"/>
            <w:tcMar/>
          </w:tcPr>
          <w:p>
            <w:r>
              <w:t>1.027</w:t>
            </w:r>
          </w:p>
        </w:tc>
      </w:tr>
      <w:tr w:rsidR="00B86A12" w:rsidTr="3DC018EE" w14:paraId="519098DB" w14:textId="77777777">
        <w:tc>
          <w:tcPr>
            <w:tcW w:w="1680" w:type="dxa"/>
            <w:tcMar/>
          </w:tcPr>
          <w:p w:rsidRPr="00E713DB" w:rsidR="00E74C8C" w:rsidRDefault="00000000" w14:paraId="791C722C" w14:textId="77777777">
            <w:pPr>
              <w:rPr>
                <w:rFonts w:ascii="Courier New" w:hAnsi="Courier New" w:cs="Courier New"/>
                <w:sz w:val="18"/>
                <w:szCs w:val="18"/>
              </w:rPr>
            </w:pPr>
            <w:r>
              <w:rPr>
                <w:rFonts w:ascii="Courier New" w:hAnsi="Courier New" w:cs="Courier New"/>
                <w:sz w:val="18"/>
                <w:szCs w:val="18"/>
              </w:rPr>
              <w:t>pct_black</w:t>
            </w:r>
          </w:p>
        </w:tc>
        <w:tc>
          <w:tcPr>
            <w:tcW w:w="1680" w:type="dxa"/>
            <w:tcMar/>
          </w:tcPr>
          <w:p>
            <w:r>
              <w:t>1,390</w:t>
            </w:r>
          </w:p>
        </w:tc>
        <w:tc>
          <w:tcPr>
            <w:tcW w:w="1680" w:type="dxa"/>
            <w:tcMar/>
          </w:tcPr>
          <w:p>
            <w:r>
              <w:t>0.042</w:t>
            </w:r>
          </w:p>
        </w:tc>
        <w:tc>
          <w:tcPr>
            <w:tcW w:w="1680" w:type="dxa"/>
            <w:tcMar/>
          </w:tcPr>
          <w:p>
            <w:r>
              <w:t>0.020</w:t>
            </w:r>
          </w:p>
        </w:tc>
        <w:tc>
          <w:tcPr>
            <w:tcW w:w="1680" w:type="dxa"/>
            <w:tcMar/>
          </w:tcPr>
          <w:p>
            <w:r>
              <w:t>0.007</w:t>
            </w:r>
          </w:p>
        </w:tc>
        <w:tc>
          <w:tcPr>
            <w:tcW w:w="1680" w:type="dxa"/>
            <w:tcMar/>
          </w:tcPr>
          <w:p>
            <w:r>
              <w:t>0.049</w:t>
            </w:r>
          </w:p>
        </w:tc>
      </w:tr>
      <w:tr w:rsidR="00B86A12" w:rsidTr="3DC018EE" w14:paraId="2BDE0094" w14:textId="77777777">
        <w:tc>
          <w:tcPr>
            <w:tcW w:w="1680" w:type="dxa"/>
            <w:tcMar/>
          </w:tcPr>
          <w:p w:rsidRPr="00E713DB" w:rsidR="00E74C8C" w:rsidRDefault="00000000" w14:paraId="3344F48F" w14:textId="77777777">
            <w:pPr>
              <w:rPr>
                <w:rFonts w:ascii="Courier New" w:hAnsi="Courier New" w:cs="Courier New"/>
                <w:sz w:val="18"/>
                <w:szCs w:val="18"/>
              </w:rPr>
            </w:pPr>
            <w:r>
              <w:rPr>
                <w:rFonts w:ascii="Courier New" w:hAnsi="Courier New" w:cs="Courier New"/>
                <w:sz w:val="18"/>
                <w:szCs w:val="18"/>
              </w:rPr>
              <w:t>pct_hispanic</w:t>
            </w:r>
          </w:p>
        </w:tc>
        <w:tc>
          <w:tcPr>
            <w:tcW w:w="1680" w:type="dxa"/>
            <w:tcMar/>
          </w:tcPr>
          <w:p>
            <w:r>
              <w:t>1,390</w:t>
            </w:r>
          </w:p>
        </w:tc>
        <w:tc>
          <w:tcPr>
            <w:tcW w:w="1680" w:type="dxa"/>
            <w:tcMar/>
          </w:tcPr>
          <w:p>
            <w:r>
              <w:t>0.347</w:t>
            </w:r>
          </w:p>
        </w:tc>
        <w:tc>
          <w:tcPr>
            <w:tcW w:w="1680" w:type="dxa"/>
            <w:tcMar/>
          </w:tcPr>
          <w:p>
            <w:r>
              <w:t>0.277</w:t>
            </w:r>
          </w:p>
        </w:tc>
        <w:tc>
          <w:tcPr>
            <w:tcW w:w="1680" w:type="dxa"/>
            <w:tcMar/>
          </w:tcPr>
          <w:p>
            <w:r>
              <w:t>0.151</w:t>
            </w:r>
          </w:p>
        </w:tc>
        <w:tc>
          <w:tcPr>
            <w:tcW w:w="1680" w:type="dxa"/>
            <w:tcMar/>
          </w:tcPr>
          <w:p>
            <w:r>
              <w:t>0.498</w:t>
            </w:r>
          </w:p>
        </w:tc>
      </w:tr>
      <w:tr w:rsidR="00B86A12" w:rsidTr="3DC018EE" w14:paraId="4A3F7320" w14:textId="77777777">
        <w:tc>
          <w:tcPr>
            <w:tcW w:w="1680" w:type="dxa"/>
            <w:tcMar/>
          </w:tcPr>
          <w:p w:rsidRPr="00E713DB" w:rsidR="00E74C8C" w:rsidRDefault="00000000" w14:paraId="7EC8FE29" w14:textId="77777777">
            <w:pPr>
              <w:rPr>
                <w:rFonts w:ascii="Courier New" w:hAnsi="Courier New" w:cs="Courier New"/>
                <w:sz w:val="18"/>
                <w:szCs w:val="18"/>
              </w:rPr>
            </w:pPr>
            <w:r>
              <w:rPr>
                <w:rFonts w:ascii="Courier New" w:hAnsi="Courier New" w:cs="Courier New"/>
                <w:sz w:val="18"/>
                <w:szCs w:val="18"/>
              </w:rPr>
              <w:t>pct_asian</w:t>
            </w:r>
          </w:p>
        </w:tc>
        <w:tc>
          <w:tcPr>
            <w:tcW w:w="1680" w:type="dxa"/>
            <w:tcMar/>
          </w:tcPr>
          <w:p>
            <w:r>
              <w:t>1,390</w:t>
            </w:r>
          </w:p>
        </w:tc>
        <w:tc>
          <w:tcPr>
            <w:tcW w:w="1680" w:type="dxa"/>
            <w:tcMar/>
          </w:tcPr>
          <w:p>
            <w:r>
              <w:t>0.119</w:t>
            </w:r>
          </w:p>
        </w:tc>
        <w:tc>
          <w:tcPr>
            <w:tcW w:w="1680" w:type="dxa"/>
            <w:tcMar/>
          </w:tcPr>
          <w:p>
            <w:r>
              <w:t>0.066</w:t>
            </w:r>
          </w:p>
        </w:tc>
        <w:tc>
          <w:tcPr>
            <w:tcW w:w="1680" w:type="dxa"/>
            <w:tcMar/>
          </w:tcPr>
          <w:p>
            <w:r>
              <w:t>0.023</w:t>
            </w:r>
          </w:p>
        </w:tc>
        <w:tc>
          <w:tcPr>
            <w:tcW w:w="1680" w:type="dxa"/>
            <w:tcMar/>
          </w:tcPr>
          <w:p>
            <w:r>
              <w:t>0.156</w:t>
            </w:r>
          </w:p>
        </w:tc>
      </w:tr>
      <w:tr w:rsidR="00B86A12" w:rsidTr="3DC018EE" w14:paraId="0C448EF3" w14:textId="77777777">
        <w:tc>
          <w:tcPr>
            <w:tcW w:w="1680" w:type="dxa"/>
            <w:tcMar/>
          </w:tcPr>
          <w:p w:rsidRPr="00E713DB" w:rsidR="00B86A12" w:rsidRDefault="00000000" w14:paraId="7F305D2D" w14:textId="77777777">
            <w:pPr>
              <w:rPr>
                <w:rFonts w:ascii="Courier New" w:hAnsi="Courier New" w:cs="Courier New"/>
                <w:sz w:val="18"/>
                <w:szCs w:val="18"/>
              </w:rPr>
            </w:pPr>
            <w:r>
              <w:rPr>
                <w:rFonts w:ascii="Courier New" w:hAnsi="Courier New" w:cs="Courier New"/>
                <w:sz w:val="18"/>
                <w:szCs w:val="18"/>
              </w:rPr>
              <w:t>log_median_household_income</w:t>
            </w:r>
          </w:p>
        </w:tc>
        <w:tc>
          <w:tcPr>
            <w:tcW w:w="1680" w:type="dxa"/>
            <w:tcMar/>
          </w:tcPr>
          <w:p>
            <w:r>
              <w:t>1,390</w:t>
            </w:r>
          </w:p>
        </w:tc>
        <w:tc>
          <w:tcPr>
            <w:tcW w:w="1680" w:type="dxa"/>
            <w:tcMar/>
          </w:tcPr>
          <w:p>
            <w:r>
              <w:t>11.440</w:t>
            </w:r>
          </w:p>
        </w:tc>
        <w:tc>
          <w:tcPr>
            <w:tcW w:w="1680" w:type="dxa"/>
            <w:tcMar/>
          </w:tcPr>
          <w:p>
            <w:r>
              <w:t>11.435</w:t>
            </w:r>
          </w:p>
        </w:tc>
        <w:tc>
          <w:tcPr>
            <w:tcW w:w="1680" w:type="dxa"/>
            <w:tcMar/>
          </w:tcPr>
          <w:p>
            <w:r>
              <w:t>11.169</w:t>
            </w:r>
          </w:p>
        </w:tc>
        <w:tc>
          <w:tcPr>
            <w:tcW w:w="1680" w:type="dxa"/>
            <w:tcMar/>
          </w:tcPr>
          <w:p>
            <w:r>
              <w:t>11.703</w:t>
            </w:r>
          </w:p>
        </w:tc>
      </w:tr>
      <w:tr w:rsidR="00B86A12" w:rsidTr="3DC018EE" w14:paraId="5D9A95FD" w14:textId="77777777">
        <w:tc>
          <w:tcPr>
            <w:tcW w:w="1680" w:type="dxa"/>
            <w:tcMar/>
          </w:tcPr>
          <w:p w:rsidRPr="00E713DB" w:rsidR="00E74C8C" w:rsidRDefault="00000000" w14:paraId="3D2CBE65" w14:textId="77777777">
            <w:pPr>
              <w:rPr>
                <w:rFonts w:ascii="Courier New" w:hAnsi="Courier New" w:cs="Courier New"/>
                <w:sz w:val="18"/>
                <w:szCs w:val="18"/>
              </w:rPr>
            </w:pPr>
            <w:r>
              <w:rPr>
                <w:rFonts w:ascii="Courier New" w:hAnsi="Courier New" w:cs="Courier New"/>
                <w:sz w:val="18"/>
                <w:szCs w:val="18"/>
              </w:rPr>
              <w:t>poverty_rate</w:t>
            </w:r>
          </w:p>
        </w:tc>
        <w:tc>
          <w:tcPr>
            <w:tcW w:w="1680" w:type="dxa"/>
            <w:tcMar/>
          </w:tcPr>
          <w:p>
            <w:r>
              <w:t>1,390</w:t>
            </w:r>
          </w:p>
        </w:tc>
        <w:tc>
          <w:tcPr>
            <w:tcW w:w="1680" w:type="dxa"/>
            <w:tcMar/>
          </w:tcPr>
          <w:p>
            <w:r>
              <w:t>0.123</w:t>
            </w:r>
          </w:p>
        </w:tc>
        <w:tc>
          <w:tcPr>
            <w:tcW w:w="1680" w:type="dxa"/>
            <w:tcMar/>
          </w:tcPr>
          <w:p>
            <w:r>
              <w:t>0.104</w:t>
            </w:r>
          </w:p>
        </w:tc>
        <w:tc>
          <w:tcPr>
            <w:tcW w:w="1680" w:type="dxa"/>
            <w:tcMar/>
          </w:tcPr>
          <w:p>
            <w:r>
              <w:t>0.070</w:t>
            </w:r>
          </w:p>
        </w:tc>
        <w:tc>
          <w:tcPr>
            <w:tcW w:w="1680" w:type="dxa"/>
            <w:tcMar/>
          </w:tcPr>
          <w:p>
            <w:r>
              <w:t>0.161</w:t>
            </w:r>
          </w:p>
        </w:tc>
      </w:tr>
      <w:tr w:rsidR="00B86A12" w:rsidTr="3DC018EE" w14:paraId="45D4063A" w14:textId="77777777">
        <w:tc>
          <w:tcPr>
            <w:tcW w:w="1680" w:type="dxa"/>
            <w:tcMar/>
          </w:tcPr>
          <w:p w:rsidRPr="00E713DB" w:rsidR="00E74C8C" w:rsidRDefault="00000000" w14:paraId="0E78F7C9" w14:textId="77777777">
            <w:pPr>
              <w:rPr>
                <w:rFonts w:ascii="Courier New" w:hAnsi="Courier New" w:cs="Courier New"/>
                <w:sz w:val="18"/>
                <w:szCs w:val="18"/>
              </w:rPr>
            </w:pPr>
            <w:r>
              <w:rPr>
                <w:rFonts w:ascii="Courier New" w:hAnsi="Courier New" w:cs="Courier New"/>
                <w:sz w:val="18"/>
                <w:szCs w:val="18"/>
              </w:rPr>
              <w:t>pct_bachelors_plus</w:t>
            </w:r>
          </w:p>
        </w:tc>
        <w:tc>
          <w:tcPr>
            <w:tcW w:w="1680" w:type="dxa"/>
            <w:tcMar/>
          </w:tcPr>
          <w:p>
            <w:r>
              <w:t>1,390</w:t>
            </w:r>
          </w:p>
        </w:tc>
        <w:tc>
          <w:tcPr>
            <w:tcW w:w="1680" w:type="dxa"/>
            <w:tcMar/>
          </w:tcPr>
          <w:p>
            <w:r>
              <w:t>0.359</w:t>
            </w:r>
          </w:p>
        </w:tc>
        <w:tc>
          <w:tcPr>
            <w:tcW w:w="1680" w:type="dxa"/>
            <w:tcMar/>
          </w:tcPr>
          <w:p>
            <w:r>
              <w:t>0.324</w:t>
            </w:r>
          </w:p>
        </w:tc>
        <w:tc>
          <w:tcPr>
            <w:tcW w:w="1680" w:type="dxa"/>
            <w:tcMar/>
          </w:tcPr>
          <w:p>
            <w:r>
              <w:t>0.191</w:t>
            </w:r>
          </w:p>
        </w:tc>
        <w:tc>
          <w:tcPr>
            <w:tcW w:w="1680" w:type="dxa"/>
            <w:tcMar/>
          </w:tcPr>
          <w:p>
            <w:r>
              <w:t>0.505</w:t>
            </w:r>
          </w:p>
        </w:tc>
      </w:tr>
      <w:tr w:rsidR="00B86A12" w:rsidTr="3DC018EE" w14:paraId="1B9AE4A9" w14:textId="77777777">
        <w:tc>
          <w:tcPr>
            <w:tcW w:w="1680" w:type="dxa"/>
            <w:tcMar/>
          </w:tcPr>
          <w:p w:rsidRPr="00E713DB" w:rsidR="00E74C8C" w:rsidRDefault="00000000" w14:paraId="71FFC39F" w14:textId="77777777">
            <w:pPr>
              <w:rPr>
                <w:rFonts w:ascii="Courier New" w:hAnsi="Courier New" w:cs="Courier New"/>
                <w:sz w:val="18"/>
                <w:szCs w:val="18"/>
              </w:rPr>
            </w:pPr>
            <w:r>
              <w:rPr>
                <w:rFonts w:ascii="Courier New" w:hAnsi="Courier New" w:cs="Courier New"/>
                <w:sz w:val="18"/>
                <w:szCs w:val="18"/>
              </w:rPr>
              <w:t>ghi_mean_kwh_m2_day_2023</w:t>
            </w:r>
          </w:p>
        </w:tc>
        <w:tc>
          <w:tcPr>
            <w:tcW w:w="1680" w:type="dxa"/>
            <w:tcMar/>
          </w:tcPr>
          <w:p>
            <w:r>
              <w:t>1,390</w:t>
            </w:r>
          </w:p>
        </w:tc>
        <w:tc>
          <w:tcPr>
            <w:tcW w:w="1680" w:type="dxa"/>
            <w:tcMar/>
          </w:tcPr>
          <w:p>
            <w:r>
              <w:t>5.118</w:t>
            </w:r>
          </w:p>
        </w:tc>
        <w:tc>
          <w:tcPr>
            <w:tcW w:w="1680" w:type="dxa"/>
            <w:tcMar/>
          </w:tcPr>
          <w:p>
            <w:r>
              <w:t>5.104</w:t>
            </w:r>
          </w:p>
        </w:tc>
        <w:tc>
          <w:tcPr>
            <w:tcW w:w="1680" w:type="dxa"/>
            <w:tcMar/>
          </w:tcPr>
          <w:p>
            <w:r>
              <w:t>4.855</w:t>
            </w:r>
          </w:p>
        </w:tc>
        <w:tc>
          <w:tcPr>
            <w:tcW w:w="1680" w:type="dxa"/>
            <w:tcMar/>
          </w:tcPr>
          <w:p>
            <w:r>
              <w:t>5.339</w:t>
            </w:r>
          </w:p>
        </w:tc>
      </w:tr>
      <w:tr w:rsidR="00B86A12" w:rsidTr="3DC018EE" w14:paraId="2CDB273C" w14:textId="77777777">
        <w:tc>
          <w:tcPr>
            <w:tcW w:w="1680" w:type="dxa"/>
            <w:tcMar/>
          </w:tcPr>
          <w:p w:rsidRPr="00E713DB" w:rsidR="00E74C8C" w:rsidRDefault="00000000" w14:paraId="2042F1CD" w14:textId="77777777">
            <w:pPr>
              <w:rPr>
                <w:rFonts w:ascii="Courier New" w:hAnsi="Courier New" w:cs="Courier New"/>
                <w:sz w:val="18"/>
                <w:szCs w:val="18"/>
              </w:rPr>
            </w:pPr>
            <w:r>
              <w:rPr>
                <w:rFonts w:ascii="Courier New" w:hAnsi="Courier New" w:cs="Courier New"/>
                <w:sz w:val="18"/>
                <w:szCs w:val="18"/>
              </w:rPr>
              <w:t>log_kwh</w:t>
            </w:r>
          </w:p>
        </w:tc>
        <w:tc>
          <w:tcPr>
            <w:tcW w:w="1680" w:type="dxa"/>
            <w:tcMar/>
          </w:tcPr>
          <w:p>
            <w:r>
              <w:t>1,196</w:t>
            </w:r>
          </w:p>
        </w:tc>
        <w:tc>
          <w:tcPr>
            <w:tcW w:w="1680" w:type="dxa"/>
            <w:tcMar/>
          </w:tcPr>
          <w:p>
            <w:r>
              <w:t>17.270</w:t>
            </w:r>
          </w:p>
        </w:tc>
        <w:tc>
          <w:tcPr>
            <w:tcW w:w="1680" w:type="dxa"/>
            <w:tcMar/>
          </w:tcPr>
          <w:p>
            <w:r>
              <w:t>18.016</w:t>
            </w:r>
          </w:p>
        </w:tc>
        <w:tc>
          <w:tcPr>
            <w:tcW w:w="1680" w:type="dxa"/>
            <w:tcMar/>
          </w:tcPr>
          <w:p>
            <w:r>
              <w:t>16.672</w:t>
            </w:r>
          </w:p>
        </w:tc>
        <w:tc>
          <w:tcPr>
            <w:tcW w:w="1680" w:type="dxa"/>
            <w:tcMar/>
          </w:tcPr>
          <w:p>
            <w:r>
              <w:t>18.883</w:t>
            </w:r>
          </w:p>
        </w:tc>
      </w:tr>
      <w:tr w:rsidR="00E74C8C" w:rsidTr="3DC018EE" w14:paraId="5F2B28E9" w14:textId="77777777">
        <w:tc>
          <w:tcPr>
            <w:tcW w:w="3134" w:type="dxa"/>
            <w:tcMar/>
          </w:tcPr>
          <w:p w:rsidRPr="00E713DB" w:rsidR="00E74C8C" w:rsidRDefault="00000000" w14:paraId="6E7CEEED" w14:textId="77777777">
            <w:pPr>
              <w:rPr>
                <w:rFonts w:ascii="Courier New" w:hAnsi="Courier New" w:cs="Courier New"/>
                <w:sz w:val="18"/>
                <w:szCs w:val="18"/>
              </w:rPr>
            </w:pPr>
            <w:r>
              <w:rPr>
                <w:rFonts w:ascii="Courier New" w:hAnsi="Courier New" w:cs="Courier New"/>
                <w:sz w:val="18"/>
                <w:szCs w:val="18"/>
              </w:rPr>
              <w:t>energy_burden_pct</w:t>
            </w:r>
          </w:p>
        </w:tc>
        <w:tc>
          <w:tcPr>
            <w:tcW w:w="1400" w:type="dxa"/>
            <w:tcMar/>
          </w:tcPr>
          <w:p>
            <w:r>
              <w:t>1,374</w:t>
            </w:r>
          </w:p>
        </w:tc>
        <w:tc>
          <w:tcPr>
            <w:tcW w:w="1432" w:type="dxa"/>
            <w:tcMar/>
          </w:tcPr>
          <w:p>
            <w:r>
              <w:t>0.022</w:t>
            </w:r>
          </w:p>
        </w:tc>
        <w:tc>
          <w:tcPr>
            <w:tcW w:w="1466" w:type="dxa"/>
            <w:tcMar/>
          </w:tcPr>
          <w:p>
            <w:r>
              <w:t>0.020</w:t>
            </w:r>
          </w:p>
        </w:tc>
        <w:tc>
          <w:tcPr>
            <w:tcW w:w="1432" w:type="dxa"/>
            <w:tcMar/>
          </w:tcPr>
          <w:p>
            <w:r>
              <w:t>0.015</w:t>
            </w:r>
          </w:p>
        </w:tc>
        <w:tc>
          <w:tcPr>
            <w:tcW w:w="1432" w:type="dxa"/>
            <w:tcMar/>
          </w:tcPr>
          <w:p>
            <w:r>
              <w:t>0.028</w:t>
            </w:r>
          </w:p>
        </w:tc>
      </w:tr>
      <w:tr w:rsidR="00E74C8C" w:rsidTr="3DC018EE" w14:paraId="7EC9EE5E" w14:textId="77777777">
        <w:tc>
          <w:tcPr>
            <w:tcW w:w="3134" w:type="dxa"/>
            <w:tcMar/>
          </w:tcPr>
          <w:p w:rsidRPr="00E713DB" w:rsidR="00E74C8C" w:rsidRDefault="00000000" w14:paraId="15CD4DE9" w14:textId="77777777">
            <w:pPr>
              <w:rPr>
                <w:rFonts w:ascii="Courier New" w:hAnsi="Courier New" w:cs="Courier New"/>
                <w:sz w:val="18"/>
                <w:szCs w:val="18"/>
              </w:rPr>
            </w:pPr>
            <w:r>
              <w:rPr>
                <w:rFonts w:ascii="Courier New" w:hAnsi="Courier New" w:cs="Courier New"/>
                <w:sz w:val="18"/>
                <w:szCs w:val="18"/>
              </w:rPr>
              <w:t>log_energy_gap_per_capita</w:t>
            </w:r>
          </w:p>
        </w:tc>
        <w:tc>
          <w:tcPr>
            <w:tcW w:w="1400" w:type="dxa"/>
            <w:tcMar/>
          </w:tcPr>
          <w:p>
            <w:r>
              <w:t>1,374</w:t>
            </w:r>
          </w:p>
        </w:tc>
        <w:tc>
          <w:tcPr>
            <w:tcW w:w="1432" w:type="dxa"/>
            <w:tcMar/>
          </w:tcPr>
          <w:p>
            <w:r>
              <w:t>3.786</w:t>
            </w:r>
          </w:p>
        </w:tc>
        <w:tc>
          <w:tcPr>
            <w:tcW w:w="1466" w:type="dxa"/>
            <w:tcMar/>
          </w:tcPr>
          <w:p>
            <w:r>
              <w:t>4.342</w:t>
            </w:r>
          </w:p>
        </w:tc>
        <w:tc>
          <w:tcPr>
            <w:tcW w:w="1432" w:type="dxa"/>
            <w:tcMar/>
          </w:tcPr>
          <w:p>
            <w:r>
              <w:t>1.072</w:t>
            </w:r>
          </w:p>
        </w:tc>
        <w:tc>
          <w:tcPr>
            <w:tcW w:w="1432" w:type="dxa"/>
            <w:tcMar/>
          </w:tcPr>
          <w:p>
            <w:r>
              <w:t>5.648</w:t>
            </w:r>
          </w:p>
        </w:tc>
      </w:tr>
    </w:tbl>
    <w:p w:rsidR="00B86A12" w:rsidRDefault="00091F08" w14:paraId="46E83100" w14:textId="35233EFC">
      <w:pPr>
        <w:pStyle w:val="Heading1"/>
        <w:numPr>
          <w:ilvl w:val="0"/>
          <w:numId w:val="11"/>
        </w:numPr>
      </w:pPr>
      <w:bookmarkStart w:name="_Ref_sec_results" w:id="9411"/>
      <w:r>
        <w:t>Results</w:t>
      </w:r>
      <w:bookmarkEnd w:id="9411"/>
    </w:p>
    <w:p w:rsidR="00B86A12" w:rsidRDefault="00201CD0" w14:paraId="54ACB72C" w14:textId="1A77B7FF">
      <w:r>
        <w:t>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(4). Detailed specifications of all models in the ladder can be found in Section 6.7.</w:t>
      </w:r>
    </w:p>
    <w:p w:rsidR="00F121D0" w:rsidP="00F121D0" w:rsidRDefault="009611E9" w14:paraId="380E694A" w14:textId="77777777">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rsidR="00B86A12" w:rsidP="00B1541B" w:rsidRDefault="00F121D0" w14:paraId="4615C201" w14:textId="26173D51">
      <w:pPr>
        <w:pStyle w:val="Caption"/>
        <w:jc w:val="center"/>
      </w:pPr>
      <w:bookmarkStart w:name="_Ref_fig3" w:id="16"/>
      <w:r>
        <w:t xml:space="preserve">Figure </w:t>
      </w:r>
      <w:r>
        <w:fldChar w:fldCharType="begin"/>
      </w:r>
      <w:r>
        <w:instrText xml:space="preserve"> SEQ Figure \* ARABIC </w:instrText>
      </w:r>
      <w:r>
        <w:fldChar w:fldCharType="separate"/>
      </w:r>
      <w:r>
        <w:rPr>
          <w:noProof/>
        </w:rPr>
        <w:t>3</w:t>
      </w:r>
      <w:r>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rsidR="00F121D0" w:rsidP="00F121D0" w:rsidRDefault="00F121D0" w14:paraId="2D35F152" w14:textId="2E06723F">
      <w:pPr>
        <w:pStyle w:val="Caption"/>
        <w:keepNext/>
      </w:pPr>
      <w:bookmarkStart w:name="_Ref_tbl3" w:id="17"/>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rsidRPr="00FC705B" w:rsidR="00E74C8C" w:rsidRDefault="00000000" w14:paraId="4BC07721" w14:textId="77777777">
            <w:pPr>
              <w:rPr>
                <w:b/>
                <w:bCs/>
              </w:rPr>
            </w:pPr>
            <w:r>
              <w:rPr>
                <w:b/>
                <w:bCs/>
              </w:rPr>
              <w:t>Predictor</w:t>
            </w:r>
          </w:p>
        </w:tc>
        <w:tc>
          <w:tcPr>
            <w:tcW w:w="2520" w:type="dxa"/>
          </w:tcPr>
          <w:p w:rsidRPr="00615DEA" w:rsidR="00E74C8C" w:rsidRDefault="00000000" w14:paraId="31A713DE" w14:textId="77777777">
            <w:pPr>
              <w:rPr>
                <w:rFonts w:ascii="Courier New" w:hAnsi="Courier New" w:cs="Courier New"/>
                <w:sz w:val="18"/>
                <w:szCs w:val="18"/>
              </w:rPr>
            </w:pPr>
            <w:r>
              <w:rPr>
                <w:rFonts w:ascii="Courier New" w:hAnsi="Courier New" w:cs="Courier New"/>
                <w:sz w:val="18"/>
                <w:szCs w:val="18"/>
              </w:rPr>
              <w:t>y_pv</w:t>
            </w:r>
          </w:p>
        </w:tc>
        <w:tc>
          <w:tcPr>
            <w:tcW w:w="2520" w:type="dxa"/>
          </w:tcPr>
          <w:p w:rsidRPr="00615DEA" w:rsidR="00E74C8C" w:rsidRDefault="00000000" w14:paraId="71B1EE2F" w14:textId="77777777">
            <w:pPr>
              <w:rPr>
                <w:rFonts w:ascii="Courier New" w:hAnsi="Courier New" w:cs="Courier New"/>
                <w:sz w:val="18"/>
                <w:szCs w:val="18"/>
              </w:rPr>
            </w:pPr>
            <w:r>
              <w:rPr>
                <w:rFonts w:ascii="Courier New" w:hAnsi="Courier New" w:cs="Courier New"/>
                <w:sz w:val="18"/>
                <w:szCs w:val="18"/>
              </w:rPr>
              <w:t>y_storage</w:t>
            </w:r>
          </w:p>
        </w:tc>
        <w:tc>
          <w:tcPr>
            <w:tcW w:w="2520" w:type="dxa"/>
          </w:tcPr>
          <w:p w:rsidRPr="00615DEA" w:rsidR="00E74C8C" w:rsidRDefault="00000000" w14:paraId="520B664D" w14:textId="77777777">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rsidRPr="00406B15" w:rsidR="00E74C8C" w:rsidRDefault="00000000" w14:paraId="03456FDB" w14:textId="77777777">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r>
              <w:t>0.126*** (0.038)</w:t>
            </w:r>
          </w:p>
        </w:tc>
        <w:tc>
          <w:tcPr>
            <w:tcW w:w="2520" w:type="dxa"/>
          </w:tcPr>
          <w:p>
            <w:r>
              <w:t>0.771*** (0.122)</w:t>
            </w:r>
          </w:p>
        </w:tc>
        <w:tc>
          <w:tcPr>
            <w:tcW w:w="2520" w:type="dxa"/>
          </w:tcPr>
          <w:p>
            <w:r>
              <w:t>0.164* (0.098)</w:t>
            </w:r>
          </w:p>
        </w:tc>
      </w:tr>
      <w:tr w:rsidR="00B86A12" w14:paraId="5487C5D2" w14:textId="77777777">
        <w:tc>
          <w:tcPr>
            <w:tcW w:w="2520" w:type="dxa"/>
          </w:tcPr>
          <w:p w:rsidRPr="00406B15" w:rsidR="00E74C8C" w:rsidRDefault="00000000" w14:paraId="4FC14180" w14:textId="77777777">
            <w:pPr>
              <w:rPr>
                <w:rFonts w:ascii="Courier New" w:hAnsi="Courier New" w:cs="Courier New"/>
                <w:sz w:val="18"/>
                <w:szCs w:val="18"/>
              </w:rPr>
            </w:pPr>
            <w:r>
              <w:rPr>
                <w:rFonts w:ascii="Courier New" w:hAnsi="Courier New" w:cs="Courier New"/>
                <w:sz w:val="18"/>
                <w:szCs w:val="18"/>
              </w:rPr>
              <w:t>pct_black</w:t>
            </w:r>
          </w:p>
        </w:tc>
        <w:tc>
          <w:tcPr>
            <w:tcW w:w="2520" w:type="dxa"/>
          </w:tcPr>
          <w:p>
            <w:r>
              <w:t>-0.760*** (0.109)</w:t>
            </w:r>
          </w:p>
        </w:tc>
        <w:tc>
          <w:tcPr>
            <w:tcW w:w="2520" w:type="dxa"/>
          </w:tcPr>
          <w:p>
            <w:r>
              <w:t>-1.652*** (0.328)</w:t>
            </w:r>
          </w:p>
        </w:tc>
        <w:tc>
          <w:tcPr>
            <w:tcW w:w="2520" w:type="dxa"/>
          </w:tcPr>
          <w:p>
            <w:r>
              <w:t>-0.007 (0.343)</w:t>
            </w:r>
          </w:p>
        </w:tc>
      </w:tr>
      <w:tr w:rsidR="00B86A12" w14:paraId="19ADF8DD" w14:textId="77777777">
        <w:tc>
          <w:tcPr>
            <w:tcW w:w="2520" w:type="dxa"/>
          </w:tcPr>
          <w:p w:rsidRPr="00406B15" w:rsidR="00E74C8C" w:rsidRDefault="00000000" w14:paraId="77BCF987" w14:textId="77777777">
            <w:pPr>
              <w:rPr>
                <w:rFonts w:ascii="Courier New" w:hAnsi="Courier New" w:cs="Courier New"/>
                <w:sz w:val="18"/>
                <w:szCs w:val="18"/>
              </w:rPr>
            </w:pPr>
            <w:r>
              <w:rPr>
                <w:rFonts w:ascii="Courier New" w:hAnsi="Courier New" w:cs="Courier New"/>
                <w:sz w:val="18"/>
                <w:szCs w:val="18"/>
              </w:rPr>
              <w:t>pct_hispanic</w:t>
            </w:r>
          </w:p>
        </w:tc>
        <w:tc>
          <w:tcPr>
            <w:tcW w:w="2520" w:type="dxa"/>
          </w:tcPr>
          <w:p>
            <w:r>
              <w:t>0.017 (0.048)</w:t>
            </w:r>
          </w:p>
        </w:tc>
        <w:tc>
          <w:tcPr>
            <w:tcW w:w="2520" w:type="dxa"/>
          </w:tcPr>
          <w:p>
            <w:r>
              <w:t>-0.612*** (0.126)</w:t>
            </w:r>
          </w:p>
        </w:tc>
        <w:tc>
          <w:tcPr>
            <w:tcW w:w="2520" w:type="dxa"/>
          </w:tcPr>
          <w:p>
            <w:r>
              <w:t>-0.399*** (0.105)</w:t>
            </w:r>
          </w:p>
        </w:tc>
      </w:tr>
      <w:tr w:rsidR="00B86A12" w:rsidTr="00406B15" w14:paraId="6D2752DC" w14:textId="77777777">
        <w:trPr>
          <w:trHeight w:val="52"/>
        </w:trPr>
        <w:tc>
          <w:tcPr>
            <w:tcW w:w="2520" w:type="dxa"/>
          </w:tcPr>
          <w:p w:rsidRPr="00406B15" w:rsidR="00E74C8C" w:rsidRDefault="00000000" w14:paraId="4230EBC9" w14:textId="77777777">
            <w:pPr>
              <w:rPr>
                <w:rFonts w:ascii="Courier New" w:hAnsi="Courier New" w:cs="Courier New"/>
                <w:sz w:val="18"/>
                <w:szCs w:val="18"/>
              </w:rPr>
            </w:pPr>
            <w:r>
              <w:rPr>
                <w:rFonts w:ascii="Courier New" w:hAnsi="Courier New" w:cs="Courier New"/>
                <w:sz w:val="18"/>
                <w:szCs w:val="18"/>
              </w:rPr>
              <w:t>pct_asian</w:t>
            </w:r>
          </w:p>
        </w:tc>
        <w:tc>
          <w:tcPr>
            <w:tcW w:w="2520" w:type="dxa"/>
          </w:tcPr>
          <w:p>
            <w:r>
              <w:t>-0.579*** (0.048)</w:t>
            </w:r>
          </w:p>
        </w:tc>
        <w:tc>
          <w:tcPr>
            <w:tcW w:w="2520" w:type="dxa"/>
          </w:tcPr>
          <w:p>
            <w:r>
              <w:t>-1.780*** (0.162)</w:t>
            </w:r>
          </w:p>
        </w:tc>
        <w:tc>
          <w:tcPr>
            <w:tcW w:w="2520" w:type="dxa"/>
          </w:tcPr>
          <w:p>
            <w:r>
              <w:t>0.410*** (0.146)</w:t>
            </w:r>
          </w:p>
        </w:tc>
      </w:tr>
      <w:tr w:rsidR="00B86A12" w14:paraId="1437C0C1" w14:textId="77777777">
        <w:tc>
          <w:tcPr>
            <w:tcW w:w="2520" w:type="dxa"/>
          </w:tcPr>
          <w:p w:rsidRPr="00406B15" w:rsidR="00E74C8C" w:rsidRDefault="00000000" w14:paraId="18A2A103" w14:textId="77777777">
            <w:pPr>
              <w:rPr>
                <w:rFonts w:ascii="Courier New" w:hAnsi="Courier New" w:cs="Courier New"/>
                <w:sz w:val="18"/>
                <w:szCs w:val="18"/>
              </w:rPr>
            </w:pPr>
            <w:r>
              <w:rPr>
                <w:rFonts w:ascii="Courier New" w:hAnsi="Courier New" w:cs="Courier New"/>
                <w:sz w:val="18"/>
                <w:szCs w:val="18"/>
              </w:rPr>
              <w:t>poverty_rate</w:t>
            </w:r>
          </w:p>
        </w:tc>
        <w:tc>
          <w:tcPr>
            <w:tcW w:w="2520" w:type="dxa"/>
          </w:tcPr>
          <w:p>
            <w:r>
              <w:t>-0.047 (0.219)</w:t>
            </w:r>
          </w:p>
        </w:tc>
        <w:tc>
          <w:tcPr>
            <w:tcW w:w="2520" w:type="dxa"/>
          </w:tcPr>
          <w:p>
            <w:r>
              <w:t>-0.228 (0.562)</w:t>
            </w:r>
          </w:p>
        </w:tc>
        <w:tc>
          <w:tcPr>
            <w:tcW w:w="2520" w:type="dxa"/>
          </w:tcPr>
          <w:p>
            <w:r>
              <w:t>2.003*** (0.497)</w:t>
            </w:r>
          </w:p>
        </w:tc>
      </w:tr>
      <w:tr w:rsidR="00B86A12" w14:paraId="0E434B1C" w14:textId="77777777">
        <w:tc>
          <w:tcPr>
            <w:tcW w:w="2520" w:type="dxa"/>
          </w:tcPr>
          <w:p w:rsidRPr="00127991" w:rsidR="00E74C8C" w:rsidRDefault="00000000" w14:paraId="39EA5F71" w14:textId="77777777">
            <w:r>
              <w:t>Key climate/resource control</w:t>
            </w:r>
          </w:p>
        </w:tc>
        <w:tc>
          <w:tcPr>
            <w:tcW w:w="2520" w:type="dxa"/>
          </w:tcPr>
          <w:p>
            <w:r>
              <w:t>GHI: 0.160*** (0.028)</w:t>
            </w:r>
          </w:p>
        </w:tc>
        <w:tc>
          <w:tcPr>
            <w:tcW w:w="2520" w:type="dxa"/>
          </w:tcPr>
          <w:p>
            <w:r>
              <w:t>CDD/HDD: n.s.</w:t>
            </w:r>
          </w:p>
        </w:tc>
        <w:tc>
          <w:tcPr>
            <w:tcW w:w="2520" w:type="dxa"/>
          </w:tcPr>
          <w:p>
            <w:r>
              <w:t>CDD65: -0.0002*** (0.0000)</w:t>
            </w:r>
          </w:p>
        </w:tc>
      </w:tr>
      <w:tr w:rsidR="00B86A12" w14:paraId="3D6AD09C" w14:textId="77777777">
        <w:tc>
          <w:tcPr>
            <w:tcW w:w="2520" w:type="dxa"/>
          </w:tcPr>
          <w:p>
            <w:r>
              <w:t>N</w:t>
            </w:r>
          </w:p>
        </w:tc>
        <w:tc>
          <w:tcPr>
            <w:tcW w:w="2520" w:type="dxa"/>
          </w:tcPr>
          <w:p>
            <w:r>
              <w:t>1,390</w:t>
            </w:r>
          </w:p>
        </w:tc>
        <w:tc>
          <w:tcPr>
            <w:tcW w:w="2520" w:type="dxa"/>
          </w:tcPr>
          <w:p>
            <w:r>
              <w:t>1,390</w:t>
            </w:r>
          </w:p>
        </w:tc>
        <w:tc>
          <w:tcPr>
            <w:tcW w:w="2520" w:type="dxa"/>
          </w:tcPr>
          <w:p>
            <w:r>
              <w:t>1,390</w:t>
            </w:r>
          </w:p>
        </w:tc>
      </w:tr>
      <w:tr w:rsidR="00B86A12" w14:paraId="2C4F651C" w14:textId="77777777">
        <w:tc>
          <w:tcPr>
            <w:tcW w:w="2520" w:type="dxa"/>
          </w:tcPr>
          <w:p>
            <w:r>
              <w:t>R²</w:t>
            </w:r>
          </w:p>
        </w:tc>
        <w:tc>
          <w:tcPr>
            <w:tcW w:w="2520" w:type="dxa"/>
          </w:tcPr>
          <w:p>
            <w:r>
              <w:t>0.106</w:t>
            </w:r>
          </w:p>
        </w:tc>
        <w:tc>
          <w:tcPr>
            <w:tcW w:w="2520" w:type="dxa"/>
          </w:tcPr>
          <w:p>
            <w:r>
              <w:t>0.188</w:t>
            </w:r>
          </w:p>
        </w:tc>
        <w:tc>
          <w:tcPr>
            <w:tcW w:w="2520" w:type="dxa"/>
          </w:tcPr>
          <w:p>
            <w:r>
              <w:t>0.079</w:t>
            </w:r>
          </w:p>
        </w:tc>
      </w:tr>
    </w:tbl>
    <w:p w:rsidR="00B86A12" w:rsidRDefault="00B86A12" w14:paraId="7CE6ACD3" w14:textId="77777777"/>
    <w:p w:rsidR="00F121D0" w:rsidP="00F121D0" w:rsidRDefault="009611E9" w14:paraId="56FB9F41" w14:textId="77777777">
      <w:pPr>
        <w:pStyle w:val="Caption"/>
      </w:pPr>
      <w:r>
        <w:rPr>
          <w:noProof/>
        </w:rPr>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r>
        <w:rPr>
          <w:rStyle w:val="CommentReference"/>
          <w:sz w:val="18"/>
          <w:szCs w:val="18"/>
        </w:rPr>
      </w:r>
    </w:p>
    <w:p w:rsidR="00B86A12" w:rsidP="00F121D0" w:rsidRDefault="00F121D0" w14:paraId="388109B2" w14:textId="18C6E706">
      <w:pPr>
        <w:pStyle w:val="Caption"/>
        <w:jc w:val="center"/>
      </w:pPr>
      <w:bookmarkStart w:name="_Ref_fig4" w:id="19"/>
      <w:r>
        <w:t xml:space="preserve">Figure </w:t>
      </w:r>
      <w:r>
        <w:fldChar w:fldCharType="begin"/>
      </w:r>
      <w:r>
        <w:instrText xml:space="preserve"> SEQ Figure \* ARABIC </w:instrText>
      </w:r>
      <w:r>
        <w:fldChar w:fldCharType="separate"/>
      </w:r>
      <w:r>
        <w:rPr>
          <w:noProof/>
        </w:rPr>
        <w:t>4</w:t>
      </w:r>
      <w:r>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rsidR="00B86A12" w:rsidRDefault="00000000" w14:paraId="2F6E98DD" w14:textId="77777777">
      <w:pPr>
        <w:pStyle w:val="Heading2"/>
        <w:numPr>
          <w:ilvl w:val="1"/>
          <w:numId w:val="11"/>
        </w:numPr>
      </w:pPr>
      <w:bookmarkStart w:name="_Ref_sec_r_baseline" w:id="9412"/>
      <w:r>
        <w:t>Baseline patterns across DER types</w:t>
      </w:r>
      <w:bookmarkEnd w:id="9412"/>
    </w:p>
    <w:p w:rsidR="00B86A12" w:rsidRDefault="00000000" w14:paraId="40EB1B72" w14:textId="739065C5">
      <w:r w:rsidR="00000000">
        <w:rP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rsidR="00000000">
        <w:rPr/>
        <w:t>Table 3</w:t>
      </w:r>
      <w:r>
        <w:fldChar w:fldCharType="end"/>
      </w:r>
      <w:r w:rsidR="00000000">
        <w:rPr/>
        <w:t xml:space="preserve"> and </w:t>
      </w:r>
      <w:r>
        <w:fldChar w:fldCharType="begin"/>
      </w:r>
      <w:r>
        <w:instrText xml:space="preserve"> REF _Ref_fig4 \h </w:instrText>
      </w:r>
      <w:r>
        <w:fldChar w:fldCharType="separate"/>
      </w:r>
      <w:r w:rsidR="00000000">
        <w:rPr/>
        <w:t>Figure 4</w:t>
      </w:r>
      <w:r>
        <w:fldChar w:fldCharType="end"/>
      </w:r>
      <w:r w:rsidR="00000000">
        <w:rP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 suggests that “charger availability” </w:t>
      </w:r>
      <w:r w:rsidR="00000000">
        <w:rPr/>
        <w:t xml:space="preserve">may be capturing a different mix of infrastructure types and </w:t>
      </w:r>
      <w:r w:rsidR="00000000">
        <w:rPr/>
        <w:t>siting</w:t>
      </w:r>
      <w:r w:rsidR="00000000">
        <w:rPr/>
        <w:t xml:space="preserve"> logic than household-centered DER adoption.</w:t>
      </w:r>
      <w:r w:rsidR="00000000">
        <w:rPr/>
        <w:t xml:space="preserve"> </w:t>
      </w:r>
      <w:r>
        <w:fldChar w:fldCharType="begin"/>
      </w:r>
      <w:r>
        <w:instrText xml:space="preserve"> REF _Ref_fig5 \h </w:instrText>
      </w:r>
      <w:r>
        <w:fldChar w:fldCharType="separate"/>
      </w:r>
      <w:r w:rsidR="00000000">
        <w:rPr/>
        <w:t>Figure 5</w:t>
      </w:r>
      <w:r>
        <w:fldChar w:fldCharType="end"/>
      </w:r>
      <w:r w:rsidR="00000000">
        <w:rPr/>
        <w:t xml:space="preserve"> places the four continuous DER outcomes side by side on a common standardized scale.</w:t>
      </w:r>
    </w:p>
    <w:p>
      <w:pPr/>
      <w:r>
        <w:t>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changes from -0.252 to -0.171. For aggregate charging, the standardized Black-share coefficient changes from -0.000 to -0.035, and the Asian-share coefficient changes from 0.058 to -0.008. Figure 21 shows all three race-coefficient comparisons. Movement toward zero is attenuation associated with area-level housing composition; these models do not identify household-level tenure or roof access.</w:t>
      </w:r>
    </w:p>
    <w:p w:rsidR="00F121D0" w:rsidP="00F121D0" w:rsidRDefault="009611E9" w14:paraId="70D2FBE1" w14:textId="77777777">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rsidR="00B86A12" w:rsidP="00F121D0" w:rsidRDefault="00F121D0" w14:paraId="1688B0FE" w14:textId="048D60AC">
      <w:pPr>
        <w:pStyle w:val="Caption"/>
        <w:jc w:val="center"/>
      </w:pPr>
      <w:bookmarkStart w:name="_Ref_fig5" w:id="20"/>
      <w:r>
        <w:t xml:space="preserve">Figure </w:t>
      </w:r>
      <w:r>
        <w:fldChar w:fldCharType="begin"/>
      </w:r>
      <w:r>
        <w:instrText xml:space="preserve"> SEQ Figure \* ARABIC </w:instrText>
      </w:r>
      <w:r>
        <w:fldChar w:fldCharType="separate"/>
      </w:r>
      <w:r>
        <w:rPr>
          <w:noProof/>
        </w:rPr>
        <w:t>5</w:t>
      </w:r>
      <w:r>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rsidR="00B86A12" w:rsidRDefault="00000000" w14:paraId="7477B442" w14:textId="7AD23ABE">
      <w:pPr>
        <w:pStyle w:val="Heading2"/>
        <w:numPr>
          <w:ilvl w:val="1"/>
          <w:numId w:val="11"/>
        </w:numPr>
      </w:pPr>
      <w:bookmarkStart w:name="_Ref_sec_r_pv" w:id="9413"/>
      <w:r>
        <w:t>Solar PV: Persistent disparities after resource controls</w:t>
      </w:r>
      <w:bookmarkEnd w:id="9413"/>
    </w:p>
    <w:p w:rsidR="00B86A12" w:rsidRDefault="00000000" w14:paraId="2F4B46FB" w14:textId="77777777">
      <w:r w:rsidR="00000000">
        <w:rPr/>
        <w:t xml:space="preserve">For solar PV, the baseline specification </w:t>
      </w:r>
      <w:r w:rsidR="00000000">
        <w:rPr/>
        <w:t>indicates</w:t>
      </w:r>
      <w:r w:rsidR="00000000">
        <w:rPr/>
        <w:t xml:space="preserve"> that ZIP/ZCTAs with higher median household income have higher PV adoption intensity, while ZIP/ZCTAs with larger Black and Asian population shares have </w:t>
      </w:r>
      <w:r w:rsidR="00000000">
        <w:rPr/>
        <w:t>substantially lower</w:t>
      </w:r>
      <w:r w:rsidR="00000000">
        <w:rPr/>
        <w:t xml:space="preserve"> PV adoption intensity. As summarized in </w:t>
      </w:r>
      <w:r>
        <w:fldChar w:fldCharType="begin"/>
      </w:r>
      <w:r>
        <w:instrText xml:space="preserve"> REF _Ref_fig6 \h </w:instrText>
      </w:r>
      <w:r>
        <w:fldChar w:fldCharType="separate"/>
      </w:r>
      <w:r w:rsidR="00000000">
        <w:rPr/>
        <w:t>Figure 6</w:t>
      </w:r>
      <w:r>
        <w:fldChar w:fldCharType="end"/>
      </w:r>
      <w:r w:rsidR="00000000">
        <w:rPr/>
        <w:t xml:space="preserve">, the coefficient on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is positive and statistically significant in the baseline model</w:t>
      </w:r>
      <w:r w:rsidR="00000000">
        <w:rPr/>
        <w:t xml:space="preserve"> reported in </w:t>
      </w:r>
      <w:r>
        <w:fldChar w:fldCharType="begin"/>
      </w:r>
      <w:r>
        <w:instrText xml:space="preserve"> REF _Ref_tbl3 \h </w:instrText>
      </w:r>
      <w:r>
        <w:fldChar w:fldCharType="separate"/>
      </w:r>
      <w:r w:rsidR="00000000">
        <w:rPr/>
        <w:t>Table 3</w:t>
      </w:r>
      <w:r>
        <w:fldChar w:fldCharType="end"/>
      </w:r>
      <w:r w:rsidR="00000000">
        <w:rPr/>
        <w:t xml:space="preserve">, while </w:t>
      </w:r>
      <w:r w:rsidRPr="3DC018EE" w:rsidR="00000000">
        <w:rPr>
          <w:rFonts w:ascii="Courier New" w:hAnsi="Courier New" w:cs="Courier New"/>
          <w:sz w:val="18"/>
          <w:szCs w:val="18"/>
        </w:rPr>
        <w:t>pct_black</w:t>
      </w:r>
      <w:r w:rsidRPr="3DC018EE" w:rsidR="00000000">
        <w:rPr>
          <w:sz w:val="18"/>
          <w:szCs w:val="18"/>
        </w:rPr>
        <w:t xml:space="preserve"> </w:t>
      </w:r>
      <w:r w:rsidR="00000000">
        <w:rPr/>
        <w:t xml:space="preserve">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strongly negative. Solar resource potential behaves as expected: </w:t>
      </w:r>
      <w:r w:rsidRPr="3DC018EE" w:rsidR="00000000">
        <w:rPr>
          <w:rFonts w:ascii="Courier New" w:hAnsi="Courier New" w:cs="Courier New"/>
          <w:sz w:val="18"/>
          <w:szCs w:val="18"/>
        </w:rPr>
        <w:t>ghi_mean_kwh_m2_day_2023</w:t>
      </w:r>
      <w:r w:rsidRPr="3DC018EE" w:rsidR="00000000">
        <w:rPr>
          <w:sz w:val="18"/>
          <w:szCs w:val="18"/>
        </w:rPr>
        <w:t xml:space="preserve"> </w:t>
      </w:r>
      <w:r w:rsidR="00000000">
        <w:rPr/>
        <w:t>is positive and highly significant, suggesting that physical suitability is an important predictor of deployment.</w:t>
      </w:r>
    </w:p>
    <w:p w:rsidR="00B86A12" w:rsidRDefault="00000000" w14:paraId="75EEE086" w14:textId="06910D37">
      <w:r w:rsidR="00000000">
        <w:rPr/>
        <w:t xml:space="preserve">These disparities </w:t>
      </w:r>
      <w:r w:rsidR="00000000">
        <w:rPr/>
        <w:t>remain</w:t>
      </w:r>
      <w:r w:rsidR="00000000">
        <w:rPr/>
        <w:t xml:space="preserve"> substantively present as the model becomes more demanding. </w:t>
      </w:r>
      <w:r w:rsidR="00000000">
        <w:rPr/>
        <w:t>Adding educational attainment (Model 2</w:t>
      </w:r>
      <w:r w:rsidR="00000000">
        <w:rPr/>
        <w:t xml:space="preserve">; Section </w:t>
      </w:r>
      <w:r>
        <w:fldChar w:fldCharType="begin"/>
      </w:r>
      <w:r>
        <w:instrText xml:space="preserve"> REF _Ref_sec_model2 \r \h </w:instrText>
      </w:r>
      <w:r>
        <w:fldChar w:fldCharType="separate"/>
      </w:r>
      <w:r w:rsidR="00000000">
        <w:rPr/>
        <w:t>6.7.2</w:t>
      </w:r>
      <w:r>
        <w:fldChar w:fldCharType="end"/>
      </w:r>
      <w:r w:rsidR="00000000">
        <w:rPr/>
        <w:t>) strengthens</w:t>
      </w:r>
      <w:r w:rsidR="00000000">
        <w:rPr/>
        <w:t xml:space="preserve"> the estimated income effect and makes the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pct_hispanic</w:t>
      </w:r>
      <w:r w:rsidR="00000000">
        <w:rPr/>
        <w:t xml:space="preserve"> negative and statistically significant as well, while the negative coefficients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remain large. </w:t>
      </w:r>
      <w:r w:rsidR="00000000">
        <w:rPr/>
        <w:t>In the county-clustered specification (Model 5C</w:t>
      </w:r>
      <w:r w:rsidR="00000000">
        <w:rPr/>
        <w:t xml:space="preserve">; Section </w:t>
      </w:r>
      <w:r>
        <w:fldChar w:fldCharType="begin"/>
      </w:r>
      <w:r>
        <w:instrText xml:space="preserve"> REF _Ref_sec_model5 \r \h </w:instrText>
      </w:r>
      <w:r>
        <w:fldChar w:fldCharType="separate"/>
      </w:r>
      <w:r w:rsidR="00000000">
        <w:rPr/>
        <w:t>6.7.5</w:t>
      </w:r>
      <w:r>
        <w:fldChar w:fldCharType="end"/>
      </w:r>
      <w:r w:rsidR="00000000">
        <w:rPr/>
        <w:t>), the income effect attenuates</w:t>
      </w:r>
      <w:r w:rsidR="00000000">
        <w:rPr/>
        <w:t xml:space="preserve"> and becomes marginal, but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xml:space="preserve"> </w:t>
      </w:r>
      <w:r w:rsidR="00000000">
        <w:rPr/>
        <w:t>remains</w:t>
      </w:r>
      <w:r w:rsidR="00000000">
        <w:rPr/>
        <w:t xml:space="preserve"> strongly significant, and the negative coefficient on</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w:t>
      </w:r>
      <w:r w:rsidR="00000000">
        <w:rPr/>
        <w:t>remains</w:t>
      </w:r>
      <w:r w:rsidR="00000000">
        <w:rPr/>
        <w:t xml:space="preserve"> statistically distinguishable from zero. </w:t>
      </w:r>
      <w:r w:rsidR="00000000">
        <w:rPr/>
        <w:t>In the infrastructure-control and demand-proxy models (Models 7 and 8</w:t>
      </w:r>
      <w:r w:rsidR="00000000">
        <w:rPr/>
        <w:t xml:space="preserve">; Sections </w:t>
      </w:r>
      <w:r>
        <w:fldChar w:fldCharType="begin"/>
      </w:r>
      <w:r>
        <w:instrText xml:space="preserve"> REF _Ref_sec_model7 \r \h </w:instrText>
      </w:r>
      <w:r>
        <w:fldChar w:fldCharType="separate"/>
      </w:r>
      <w:r w:rsidR="00000000">
        <w:rPr/>
        <w:t>6.7.7</w:t>
      </w:r>
      <w:r>
        <w:fldChar w:fldCharType="end"/>
      </w:r>
      <w:r w:rsidR="00000000">
        <w:rPr/>
        <w:t xml:space="preserve"> and </w:t>
      </w:r>
      <w:r>
        <w:fldChar w:fldCharType="begin"/>
      </w:r>
      <w:r>
        <w:instrText xml:space="preserve"> REF _Ref_sec_model8 \r \h </w:instrText>
      </w:r>
      <w:r>
        <w:fldChar w:fldCharType="separate"/>
      </w:r>
      <w:r w:rsidR="00000000">
        <w:rPr/>
        <w:t>6.7.8</w:t>
      </w:r>
      <w:r>
        <w:fldChar w:fldCharType="end"/>
      </w:r>
      <w:r w:rsidR="00000000">
        <w:rPr/>
        <w:t>), the PV results</w:t>
      </w:r>
      <w:r w:rsidR="00000000">
        <w:rPr/>
        <w:t xml:space="preserve"> continue to show large negative associations for</w:t>
      </w:r>
      <w:r w:rsidRPr="3DC018EE" w:rsidR="00000000">
        <w:rPr>
          <w:rFonts w:ascii="Courier New" w:hAnsi="Courier New"/>
          <w:sz w:val="18"/>
          <w:szCs w:val="18"/>
        </w:rPr>
        <w:t xml:space="preserve"> </w:t>
      </w:r>
      <w:r w:rsidRPr="3DC018EE" w:rsidR="00000000">
        <w:rPr>
          <w:rFonts w:ascii="Courier New" w:hAnsi="Courier New"/>
          <w:sz w:val="18"/>
          <w:szCs w:val="18"/>
        </w:rPr>
        <w:t>pct_black</w:t>
      </w:r>
      <w:r w:rsidR="00000000">
        <w:rPr/>
        <w:t xml:space="preserve"> and</w:t>
      </w:r>
      <w:r w:rsidRPr="3DC018EE" w:rsidR="00000000">
        <w:rPr>
          <w:rFonts w:ascii="Courier New" w:hAnsi="Courier New"/>
          <w:sz w:val="18"/>
          <w:szCs w:val="18"/>
        </w:rPr>
        <w:t xml:space="preserve"> </w:t>
      </w:r>
      <w:r w:rsidRPr="3DC018EE" w:rsidR="00000000">
        <w:rPr>
          <w:rFonts w:ascii="Courier New" w:hAnsi="Courier New"/>
          <w:sz w:val="18"/>
          <w:szCs w:val="18"/>
        </w:rPr>
        <w:t>pct_asian</w:t>
      </w:r>
      <w:r w:rsidR="00000000">
        <w:rPr/>
        <w:t>, indicating that these patterns are not explained away by existing energy infrastructure or underlying electricity demand.</w:t>
      </w:r>
    </w:p>
    <w:p w:rsidR="00B86A12" w:rsidRDefault="00000000" w14:paraId="6828709C" w14:textId="77777777">
      <w:r w:rsidR="00000000">
        <w:rPr/>
        <w:t xml:space="preserve">Substantively, the solar results are the clearest evidence in the paper that demographic disparities persist even after accounting for major “ability to adopt” and resource variables. The persistence of the race/ethnicity coefficients after </w:t>
      </w:r>
      <w:r w:rsidR="00000000">
        <w:rPr/>
        <w:t>controlling for</w:t>
      </w:r>
      <w:r w:rsidR="00000000">
        <w:rPr/>
        <w:t xml:space="preserve"> income, poverty, and solar irradiance suggests that the PV gap is not simply a byproduct of lower-income areas having worse solar resource conditions.</w:t>
      </w:r>
      <w:r w:rsidR="00000000">
        <w:rPr/>
        <w:t xml:space="preserve">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489C5BC6" w14:textId="77777777">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274FB24" w14:textId="27A1D5F6">
      <w:pPr>
        <w:pStyle w:val="Caption"/>
        <w:jc w:val="center"/>
      </w:pPr>
      <w:bookmarkStart w:name="_Ref_fig6" w:id="21"/>
      <w:r>
        <w:t xml:space="preserve">Figure </w:t>
      </w:r>
      <w:r>
        <w:fldChar w:fldCharType="begin"/>
      </w:r>
      <w:r>
        <w:instrText xml:space="preserve"> SEQ Figure \* ARABIC </w:instrText>
      </w:r>
      <w:r>
        <w:fldChar w:fldCharType="separate"/>
      </w:r>
      <w:r>
        <w:rPr>
          <w:noProof/>
        </w:rPr>
        <w:t>6</w:t>
      </w:r>
      <w:r>
        <w:rPr>
          <w:noProof/>
        </w:rPr>
        <w:fldChar w:fldCharType="end"/>
      </w:r>
      <w:bookmarkEnd w:id="21"/>
      <w:r>
        <w:t>: Standardized robustness summary for y_pv. This is the closest existing exported figure to a coefficient-stability view of the rooftop PV results across the model ladder.</w:t>
      </w:r>
    </w:p>
    <w:p w:rsidR="00B86A12" w:rsidRDefault="00000000" w14:paraId="2C903875" w14:textId="77777777">
      <w:pPr>
        <w:pStyle w:val="Heading2"/>
        <w:numPr>
          <w:ilvl w:val="1"/>
          <w:numId w:val="11"/>
        </w:numPr>
      </w:pPr>
      <w:bookmarkStart w:name="_Ref_sec_r_storage" w:id="9414"/>
      <w:r>
        <w:t>Storage: the strongest and most consistent inequities</w:t>
      </w:r>
      <w:bookmarkEnd w:id="9414"/>
    </w:p>
    <w:p w:rsidR="00B86A12" w:rsidRDefault="00000000" w14:paraId="33D2B52D" w14:textId="77777777">
      <w:r w:rsidR="00000000">
        <w:rPr/>
        <w:t xml:space="preserve">Battery storage </w:t>
      </w:r>
      <w:r w:rsidR="00000000">
        <w:rPr/>
        <w:t>exhibits</w:t>
      </w:r>
      <w:r w:rsidR="00000000">
        <w:rPr/>
        <w:t xml:space="preserve"> the strongest and most stable disparity pattern of the main DER outcomes. </w:t>
      </w:r>
      <w:r>
        <w:fldChar w:fldCharType="begin"/>
      </w:r>
      <w:r>
        <w:instrText xml:space="preserve"> REF _Ref_fig7 \h </w:instrText>
      </w:r>
      <w:r>
        <w:fldChar w:fldCharType="separate"/>
      </w:r>
      <w:r w:rsidR="00000000">
        <w:rPr/>
        <w:t>Figure 7</w:t>
      </w:r>
      <w:r>
        <w:fldChar w:fldCharType="end"/>
      </w:r>
      <w:r w:rsidR="00000000">
        <w:rPr/>
        <w:t xml:space="preserve"> shows that in the baseline storage model</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positive, while </w:t>
      </w:r>
      <w:r w:rsidRPr="3DC018EE" w:rsidR="00000000">
        <w:rPr>
          <w:rFonts w:ascii="Courier New" w:hAnsi="Courier New" w:cs="Courier New"/>
          <w:sz w:val="18"/>
          <w:szCs w:val="18"/>
        </w:rPr>
        <w:t>pct_black</w:t>
      </w:r>
      <w:r w:rsidR="00000000">
        <w:rPr/>
        <w:t xml:space="preserve">, </w:t>
      </w:r>
      <w:r w:rsidRPr="3DC018EE" w:rsidR="00000000">
        <w:rPr>
          <w:rFonts w:ascii="Courier New" w:hAnsi="Courier New" w:cs="Courier New"/>
          <w:sz w:val="18"/>
          <w:szCs w:val="18"/>
        </w:rPr>
        <w:t>pct_hispanic</w:t>
      </w:r>
      <w:r w:rsidR="00000000">
        <w:rPr/>
        <w:t xml:space="preserve">, and </w:t>
      </w:r>
      <w:r w:rsidRPr="3DC018EE" w:rsidR="00000000">
        <w:rPr>
          <w:rFonts w:ascii="Courier New" w:hAnsi="Courier New" w:cs="Courier New"/>
          <w:sz w:val="18"/>
          <w:szCs w:val="18"/>
        </w:rPr>
        <w:t>pct_asian</w:t>
      </w:r>
      <w:r w:rsidRPr="3DC018EE" w:rsidR="00000000">
        <w:rPr>
          <w:sz w:val="18"/>
          <w:szCs w:val="18"/>
        </w:rPr>
        <w:t xml:space="preserve"> </w:t>
      </w:r>
      <w:r w:rsidR="00000000">
        <w:rPr/>
        <w:t xml:space="preserve">are all negative. </w:t>
      </w:r>
      <w:r w:rsidR="00000000">
        <w:rPr/>
        <w:t>Compared with the PV results</w:t>
      </w:r>
      <w:r w:rsidR="00000000">
        <w:rPr/>
        <w:t xml:space="preserve"> in Section </w:t>
      </w:r>
      <w:r>
        <w:fldChar w:fldCharType="begin"/>
      </w:r>
      <w:r>
        <w:instrText xml:space="preserve"> REF _Ref_sec_r_pv \r \h </w:instrText>
      </w:r>
      <w:r>
        <w:fldChar w:fldCharType="separate"/>
      </w:r>
      <w:r w:rsidR="00000000">
        <w:rPr/>
        <w:t>4.2</w:t>
      </w:r>
      <w:r>
        <w:fldChar w:fldCharType="end"/>
      </w:r>
      <w:r w:rsidR="00000000">
        <w:rPr/>
        <w:t xml:space="preserve">, the storage coefficients are larger in </w:t>
      </w:r>
      <w:r w:rsidR="00000000">
        <w:rPr/>
        <w:t>magnitude</w:t>
      </w:r>
      <w:r w:rsidR="00000000">
        <w:rPr/>
        <w:t xml:space="preserve"> and remain negative across </w:t>
      </w:r>
      <w:r w:rsidR="00000000">
        <w:rPr/>
        <w:t>nearly every</w:t>
      </w:r>
      <w:r w:rsidR="00000000">
        <w:rPr/>
        <w:t xml:space="preserve"> robustness check examined.</w:t>
      </w:r>
    </w:p>
    <w:p w:rsidR="00B86A12" w:rsidRDefault="00000000" w14:paraId="357D3C91" w14:textId="31677CEF">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rsidR="00B86A12" w:rsidRDefault="00306FC0" w14:paraId="4DD60154" w14:textId="22BAA931">
      <w:r>
        <w:t>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rsidR="00F121D0" w:rsidP="00F121D0" w:rsidRDefault="00F121D0" w14:paraId="4A2F64F9" w14:textId="5349C97E">
      <w:pPr>
        <w:pStyle w:val="Caption"/>
        <w:keepNext/>
      </w:pPr>
      <w:bookmarkStart w:name="_Ref_tbl4" w:id="22"/>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rsidR="00E74C8C" w:rsidRDefault="00000000" w14:paraId="25FDCC15" w14:textId="77777777">
            <w:r>
              <w:t>Predictor</w:t>
            </w:r>
          </w:p>
        </w:tc>
        <w:tc>
          <w:tcPr>
            <w:tcW w:w="2520" w:type="dxa"/>
          </w:tcPr>
          <w:p w:rsidR="00E74C8C" w:rsidRDefault="00000000" w14:paraId="148B0FEF" w14:textId="77777777">
            <w:r>
              <w:t>Coefficient</w:t>
            </w:r>
          </w:p>
        </w:tc>
        <w:tc>
          <w:tcPr>
            <w:tcW w:w="2520" w:type="dxa"/>
          </w:tcPr>
          <w:p w:rsidR="00E74C8C" w:rsidRDefault="00000000" w14:paraId="35EEF02F" w14:textId="77777777">
            <w:r>
              <w:t>Robust SE</w:t>
            </w:r>
          </w:p>
        </w:tc>
        <w:tc>
          <w:tcPr>
            <w:tcW w:w="2520" w:type="dxa"/>
          </w:tcPr>
          <w:p w:rsidR="00E74C8C" w:rsidRDefault="00000000" w14:paraId="2A8102EF" w14:textId="77777777">
            <w:r>
              <w:t>p-value</w:t>
            </w:r>
          </w:p>
        </w:tc>
      </w:tr>
      <w:tr w:rsidR="00B86A12" w14:paraId="258A0E08" w14:textId="77777777">
        <w:tc>
          <w:tcPr>
            <w:tcW w:w="2520" w:type="dxa"/>
          </w:tcPr>
          <w:p w:rsidRPr="00406B15" w:rsidR="00E74C8C" w:rsidRDefault="00000000" w14:paraId="4C3174D7" w14:textId="77777777">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r>
              <w:t>0.440***</w:t>
            </w:r>
          </w:p>
        </w:tc>
        <w:tc>
          <w:tcPr>
            <w:tcW w:w="2520" w:type="dxa"/>
          </w:tcPr>
          <w:p>
            <w:r>
              <w:t>0.130</w:t>
            </w:r>
          </w:p>
        </w:tc>
        <w:tc>
          <w:tcPr>
            <w:tcW w:w="2520" w:type="dxa"/>
          </w:tcPr>
          <w:p>
            <w:r>
              <w:t>&lt; 0.001</w:t>
            </w:r>
          </w:p>
        </w:tc>
      </w:tr>
      <w:tr w:rsidR="00B86A12" w14:paraId="5E5D5B06" w14:textId="77777777">
        <w:tc>
          <w:tcPr>
            <w:tcW w:w="2520" w:type="dxa"/>
          </w:tcPr>
          <w:p w:rsidRPr="00406B15" w:rsidR="00E74C8C" w:rsidRDefault="00000000" w14:paraId="3C48FD0F" w14:textId="77777777">
            <w:pPr>
              <w:rPr>
                <w:rFonts w:ascii="Courier New" w:hAnsi="Courier New" w:cs="Courier New"/>
                <w:sz w:val="16"/>
                <w:szCs w:val="16"/>
              </w:rPr>
            </w:pPr>
            <w:r>
              <w:rPr>
                <w:rFonts w:ascii="Courier New" w:hAnsi="Courier New" w:cs="Courier New"/>
                <w:sz w:val="16"/>
                <w:szCs w:val="16"/>
              </w:rPr>
              <w:t>pct_black</w:t>
            </w:r>
          </w:p>
        </w:tc>
        <w:tc>
          <w:tcPr>
            <w:tcW w:w="2520" w:type="dxa"/>
          </w:tcPr>
          <w:p>
            <w:r>
              <w:t>-1.343***</w:t>
            </w:r>
          </w:p>
        </w:tc>
        <w:tc>
          <w:tcPr>
            <w:tcW w:w="2520" w:type="dxa"/>
          </w:tcPr>
          <w:p>
            <w:r>
              <w:t>0.288</w:t>
            </w:r>
          </w:p>
        </w:tc>
        <w:tc>
          <w:tcPr>
            <w:tcW w:w="2520" w:type="dxa"/>
          </w:tcPr>
          <w:p>
            <w:r>
              <w:t>&lt; 0.001</w:t>
            </w:r>
          </w:p>
        </w:tc>
      </w:tr>
      <w:tr w:rsidR="00B86A12" w14:paraId="2A0BF0CF" w14:textId="77777777">
        <w:tc>
          <w:tcPr>
            <w:tcW w:w="2520" w:type="dxa"/>
          </w:tcPr>
          <w:p w:rsidRPr="00406B15" w:rsidR="00E74C8C" w:rsidRDefault="00000000" w14:paraId="3E79EDE4" w14:textId="77777777">
            <w:pPr>
              <w:rPr>
                <w:rFonts w:ascii="Courier New" w:hAnsi="Courier New" w:cs="Courier New"/>
                <w:sz w:val="16"/>
                <w:szCs w:val="16"/>
              </w:rPr>
            </w:pPr>
            <w:r>
              <w:rPr>
                <w:rFonts w:ascii="Courier New" w:hAnsi="Courier New" w:cs="Courier New"/>
                <w:sz w:val="16"/>
                <w:szCs w:val="16"/>
              </w:rPr>
              <w:t>pct_hispanic</w:t>
            </w:r>
          </w:p>
        </w:tc>
        <w:tc>
          <w:tcPr>
            <w:tcW w:w="2520" w:type="dxa"/>
          </w:tcPr>
          <w:p>
            <w:r>
              <w:t>-1.085***</w:t>
            </w:r>
          </w:p>
        </w:tc>
        <w:tc>
          <w:tcPr>
            <w:tcW w:w="2520" w:type="dxa"/>
          </w:tcPr>
          <w:p>
            <w:r>
              <w:t>0.139</w:t>
            </w:r>
          </w:p>
        </w:tc>
        <w:tc>
          <w:tcPr>
            <w:tcW w:w="2520" w:type="dxa"/>
          </w:tcPr>
          <w:p>
            <w:r>
              <w:t>&lt; 0.001</w:t>
            </w:r>
          </w:p>
        </w:tc>
      </w:tr>
      <w:tr w:rsidR="00B86A12" w14:paraId="7E3775FC" w14:textId="77777777">
        <w:tc>
          <w:tcPr>
            <w:tcW w:w="2520" w:type="dxa"/>
          </w:tcPr>
          <w:p w:rsidRPr="00406B15" w:rsidR="00E74C8C" w:rsidRDefault="00000000" w14:paraId="2721F617" w14:textId="77777777">
            <w:pPr>
              <w:rPr>
                <w:rFonts w:ascii="Courier New" w:hAnsi="Courier New" w:cs="Courier New"/>
                <w:sz w:val="16"/>
                <w:szCs w:val="16"/>
              </w:rPr>
            </w:pPr>
            <w:r>
              <w:rPr>
                <w:rFonts w:ascii="Courier New" w:hAnsi="Courier New" w:cs="Courier New"/>
                <w:sz w:val="16"/>
                <w:szCs w:val="16"/>
              </w:rPr>
              <w:t>pct_asian</w:t>
            </w:r>
          </w:p>
        </w:tc>
        <w:tc>
          <w:tcPr>
            <w:tcW w:w="2520" w:type="dxa"/>
          </w:tcPr>
          <w:p>
            <w:r>
              <w:t>-1.287***</w:t>
            </w:r>
          </w:p>
        </w:tc>
        <w:tc>
          <w:tcPr>
            <w:tcW w:w="2520" w:type="dxa"/>
          </w:tcPr>
          <w:p>
            <w:r>
              <w:t>0.163</w:t>
            </w:r>
          </w:p>
        </w:tc>
        <w:tc>
          <w:tcPr>
            <w:tcW w:w="2520" w:type="dxa"/>
          </w:tcPr>
          <w:p>
            <w:r>
              <w:t>&lt; 0.001</w:t>
            </w:r>
          </w:p>
        </w:tc>
      </w:tr>
      <w:tr w:rsidR="00B86A12" w14:paraId="07FEF274" w14:textId="77777777">
        <w:tc>
          <w:tcPr>
            <w:tcW w:w="2520" w:type="dxa"/>
          </w:tcPr>
          <w:p w:rsidRPr="00C86F74" w:rsidR="00E74C8C" w:rsidRDefault="00000000" w14:paraId="30B6316B" w14:textId="77777777">
            <w:pPr>
              <w:rPr>
                <w:rFonts w:ascii="Courier New" w:hAnsi="Courier New" w:cs="Courier New"/>
                <w:sz w:val="16"/>
                <w:szCs w:val="16"/>
              </w:rPr>
            </w:pPr>
            <w:r>
              <w:rPr>
                <w:rFonts w:ascii="Courier New" w:hAnsi="Courier New" w:cs="Courier New"/>
                <w:sz w:val="16"/>
                <w:szCs w:val="16"/>
              </w:rPr>
              <w:t>pct_bachelors_plus</w:t>
            </w:r>
          </w:p>
        </w:tc>
        <w:tc>
          <w:tcPr>
            <w:tcW w:w="2520" w:type="dxa"/>
          </w:tcPr>
          <w:p>
            <w:r>
              <w:t>-0.491**</w:t>
            </w:r>
          </w:p>
        </w:tc>
        <w:tc>
          <w:tcPr>
            <w:tcW w:w="2520" w:type="dxa"/>
          </w:tcPr>
          <w:p>
            <w:r>
              <w:t>0.220</w:t>
            </w:r>
          </w:p>
        </w:tc>
        <w:tc>
          <w:tcPr>
            <w:tcW w:w="2520" w:type="dxa"/>
          </w:tcPr>
          <w:p>
            <w:r>
              <w:t>0.026</w:t>
            </w:r>
          </w:p>
        </w:tc>
      </w:tr>
      <w:tr w:rsidR="00B86A12" w14:paraId="690B9970" w14:textId="77777777">
        <w:tc>
          <w:tcPr>
            <w:tcW w:w="2520" w:type="dxa"/>
          </w:tcPr>
          <w:p w:rsidRPr="00406B15" w:rsidR="00E74C8C" w:rsidRDefault="00000000" w14:paraId="5AA80443" w14:textId="77777777">
            <w:pPr>
              <w:rPr>
                <w:rFonts w:ascii="Courier New" w:hAnsi="Courier New" w:cs="Courier New"/>
                <w:sz w:val="16"/>
                <w:szCs w:val="16"/>
              </w:rPr>
            </w:pPr>
            <w:r>
              <w:rPr>
                <w:rFonts w:ascii="Courier New" w:hAnsi="Courier New" w:cs="Courier New"/>
                <w:sz w:val="16"/>
                <w:szCs w:val="16"/>
              </w:rPr>
              <w:t>y_pv</w:t>
            </w:r>
          </w:p>
        </w:tc>
        <w:tc>
          <w:tcPr>
            <w:tcW w:w="2520" w:type="dxa"/>
          </w:tcPr>
          <w:p>
            <w:r>
              <w:t>0.952***</w:t>
            </w:r>
          </w:p>
        </w:tc>
        <w:tc>
          <w:tcPr>
            <w:tcW w:w="2520" w:type="dxa"/>
          </w:tcPr>
          <w:p>
            <w:r>
              <w:t>0.170</w:t>
            </w:r>
          </w:p>
        </w:tc>
        <w:tc>
          <w:tcPr>
            <w:tcW w:w="2520" w:type="dxa"/>
          </w:tcPr>
          <w:p>
            <w:r>
              <w:t>&lt; 0.001</w:t>
            </w:r>
          </w:p>
        </w:tc>
      </w:tr>
    </w:tbl>
    <w:p w:rsidR="00B86A12" w:rsidRDefault="00B86A12" w14:paraId="7D0A405D" w14:textId="77777777"/>
    <w:p w:rsidR="00B86A12" w:rsidRDefault="00000000" w14:paraId="0D543875" w14:textId="77777777">
      <w:r w:rsidR="00000000">
        <w:rP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r w:rsidR="00000000">
        <w:rPr/>
        <w:t xml:space="preserve"> As above, spatial-robust standard errors for this specification are reported in </w:t>
      </w:r>
      <w:r>
        <w:fldChar w:fldCharType="begin"/>
      </w:r>
      <w:r>
        <w:instrText xml:space="preserve"> REF _Ref_tbl_conley \h </w:instrText>
      </w:r>
      <w:r>
        <w:fldChar w:fldCharType="separate"/>
      </w:r>
      <w:r w:rsidR="00000000">
        <w:rPr/>
        <w:t>Table 9</w:t>
      </w:r>
      <w:r>
        <w:fldChar w:fldCharType="end"/>
      </w:r>
      <w:r w:rsidR="00000000">
        <w:rPr/>
        <w:t>.</w:t>
      </w:r>
    </w:p>
    <w:p w:rsidR="00F121D0" w:rsidP="00F121D0" w:rsidRDefault="00A51986" w14:paraId="14C71F5B" w14:textId="77777777">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73069FF7" w14:textId="2FEED2D6">
      <w:pPr>
        <w:pStyle w:val="Caption"/>
        <w:jc w:val="center"/>
      </w:pPr>
      <w:bookmarkStart w:name="_Ref_fig7" w:id="24"/>
      <w:r w:rsidR="00F121D0">
        <w:rPr/>
        <w:t xml:space="preserve">Figure </w:t>
      </w:r>
      <w:r>
        <w:fldChar w:fldCharType="begin"/>
      </w:r>
      <w:r>
        <w:instrText xml:space="preserve"> SEQ Figure \* ARABIC </w:instrText>
      </w:r>
      <w:r>
        <w:fldChar w:fldCharType="separate"/>
      </w:r>
      <w:r w:rsidRPr="3DC018EE" w:rsidR="00F121D0">
        <w:rPr>
          <w:noProof/>
        </w:rPr>
        <w:t>7</w:t>
      </w:r>
      <w:r w:rsidRPr="3DC018EE">
        <w:rPr>
          <w:noProof/>
        </w:rPr>
        <w:fldChar w:fldCharType="end"/>
      </w:r>
      <w:bookmarkEnd w:id="24"/>
      <w:r w:rsidR="00F121D0">
        <w:rPr/>
        <w:t xml:space="preserve">: Standardized robustness summary for </w:t>
      </w:r>
      <w:r w:rsidRPr="3DC018EE" w:rsidR="00F121D0">
        <w:rPr>
          <w:rFonts w:ascii="Courier New" w:hAnsi="Courier New" w:cs="Courier New"/>
        </w:rPr>
        <w:t>y_storage</w:t>
      </w:r>
      <w:r w:rsidRPr="3DC018EE" w:rsidR="00F121D0">
        <w:rPr>
          <w:rFonts w:ascii="Courier New" w:hAnsi="Courier New" w:cs="Courier New"/>
        </w:rPr>
        <w:t>.</w:t>
      </w:r>
      <w:r w:rsidR="00F121D0">
        <w:rPr/>
        <w:t xml:space="preserve"> </w:t>
      </w:r>
      <w:r w:rsidR="00F121D0">
        <w:rPr/>
        <w:t xml:space="preserve">Read together with </w:t>
      </w:r>
      <w:r>
        <w:fldChar w:fldCharType="begin"/>
      </w:r>
      <w:r>
        <w:instrText xml:space="preserve"> REF _Ref_fig6 \h </w:instrText>
      </w:r>
      <w:r>
        <w:fldChar w:fldCharType="separate"/>
      </w:r>
      <w:r w:rsidR="00F121D0">
        <w:rPr/>
        <w:t>Figure 6</w:t>
      </w:r>
      <w:r>
        <w:fldChar w:fldCharType="end"/>
      </w:r>
      <w:r w:rsidR="00F121D0">
        <w:rPr/>
        <w:t xml:space="preserve"> and </w:t>
      </w:r>
      <w:r>
        <w:fldChar w:fldCharType="begin"/>
      </w:r>
      <w:r>
        <w:instrText xml:space="preserve"> REF _Ref_tbl4 \h </w:instrText>
      </w:r>
      <w:r>
        <w:fldChar w:fldCharType="separate"/>
      </w:r>
      <w:r w:rsidR="00F121D0">
        <w:rPr/>
        <w:t>Table 4</w:t>
      </w:r>
      <w:r>
        <w:fldChar w:fldCharType="end"/>
      </w:r>
      <w:r w:rsidR="00F121D0">
        <w:rPr/>
        <w:t>, this figure highlights</w:t>
      </w:r>
      <w:r w:rsidR="00F121D0">
        <w:rPr/>
        <w:t xml:space="preserve"> that the storage coefficients are </w:t>
      </w:r>
      <w:r w:rsidR="00F121D0">
        <w:rPr/>
        <w:t>generally larger</w:t>
      </w:r>
      <w:r w:rsidR="00F121D0">
        <w:rPr/>
        <w:t xml:space="preserve"> and more persistent than the PV coefficients.</w:t>
      </w:r>
    </w:p>
    <w:p w:rsidR="00B86A12" w:rsidRDefault="00000000" w14:paraId="3C863A74" w14:textId="77777777">
      <w:pPr>
        <w:pStyle w:val="Heading2"/>
        <w:numPr>
          <w:ilvl w:val="1"/>
          <w:numId w:val="11"/>
        </w:numPr>
      </w:pPr>
      <w:bookmarkStart w:name="_Ref_sec_r_chargers" w:id="9415"/>
      <w:r>
        <w:t>EV charging: aggregate disparities mask charger-type composition</w:t>
      </w:r>
      <w:bookmarkEnd w:id="9415"/>
    </w:p>
    <w:p w:rsidR="00B86A12" w:rsidRDefault="00000000" w14:paraId="047D57F3" w14:textId="77777777">
      <w:r w:rsidR="00000000">
        <w:rPr/>
        <w:t>The EV charging results are more complex than the PV and storage findings</w:t>
      </w:r>
      <w:r w:rsidR="00000000">
        <w:rPr/>
        <w:t xml:space="preserve"> in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xml:space="preserve"> As shown in </w:t>
      </w:r>
      <w:r>
        <w:fldChar w:fldCharType="begin"/>
      </w:r>
      <w:r>
        <w:instrText xml:space="preserve"> REF _Ref_fig8 \h </w:instrText>
      </w:r>
      <w:r>
        <w:fldChar w:fldCharType="separate"/>
      </w:r>
      <w:r w:rsidR="00000000">
        <w:rPr/>
        <w:t>Figure 8</w:t>
      </w:r>
      <w:r>
        <w:fldChar w:fldCharType="end"/>
      </w:r>
      <w:r w:rsidR="00000000">
        <w:rPr/>
        <w:t xml:space="preserve">, </w:t>
      </w:r>
      <w:r w:rsidR="00000000">
        <w:rPr/>
        <w:t>the refreshed aggregate charger baseline</w:t>
      </w:r>
      <w:r w:rsidR="00000000">
        <w:rPr/>
        <w:t xml:space="preserve"> in </w:t>
      </w:r>
      <w:r>
        <w:fldChar w:fldCharType="begin"/>
      </w:r>
      <w:r>
        <w:instrText xml:space="preserve"> REF _Ref_tbl3 \h </w:instrText>
      </w:r>
      <w:r>
        <w:fldChar w:fldCharType="separate"/>
      </w:r>
      <w:r w:rsidR="00000000">
        <w:rPr/>
        <w:t>Table 3</w:t>
      </w:r>
      <w:r>
        <w:fldChar w:fldCharType="end"/>
      </w:r>
      <w:r w:rsidR="00000000">
        <w:rPr/>
        <w:t xml:space="preserve"> has a positive but not conventionally significant income coefficient</w:t>
      </w:r>
      <w:r w:rsidR="00000000">
        <w:rPr/>
        <w:t xml:space="preserve">, a near-zero Black-share coefficient, a negative Hispanic-share coefficient, and a positive Asian-share coefficient. At the same time, </w:t>
      </w:r>
      <w:r w:rsidRPr="3DC018EE" w:rsidR="00000000">
        <w:rPr>
          <w:rFonts w:ascii="Courier New" w:hAnsi="Courier New" w:cs="Courier New"/>
          <w:sz w:val="18"/>
          <w:szCs w:val="18"/>
        </w:rPr>
        <w:t>poverty_rate</w:t>
      </w:r>
      <w:r w:rsidRPr="3DC018EE" w:rsidR="00000000">
        <w:rPr>
          <w:sz w:val="18"/>
          <w:szCs w:val="18"/>
        </w:rPr>
        <w:t xml:space="preserve"> </w:t>
      </w:r>
      <w:r w:rsidR="00000000">
        <w:rPr/>
        <w:t>is strongly positive. That positive poverty coefficient persists across several robustness checks, including county-clustered, infrastructure-control, and demand-proxy models.</w:t>
      </w:r>
    </w:p>
    <w:p w:rsidR="00B86A12" w:rsidRDefault="00000000" w14:paraId="3EA31968" w14:textId="516C3C8A">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(0.027, p = 0.202).</w:t>
      </w:r>
    </w:p>
    <w:p w:rsidR="00B86A12" w:rsidRDefault="00000000" w14:paraId="6B70D9B1" w14:textId="7693E772">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rsidR="00F121D0" w:rsidP="00F121D0" w:rsidRDefault="00A51986" w14:paraId="5140AB07" w14:textId="77777777">
      <w:pPr>
        <w:keepNext/>
        <w:jc w:val="center"/>
      </w:pPr>
      <w:r>
        <w:rPr>
          <w:noProof/>
        </w:rPr>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rsidR="00B86A12" w:rsidP="00F121D0" w:rsidRDefault="00F121D0" w14:paraId="635C3CEE" w14:textId="650E871E">
      <w:pPr>
        <w:pStyle w:val="Caption"/>
        <w:jc w:val="center"/>
      </w:pPr>
      <w:bookmarkStart w:name="_Ref_fig8" w:id="26"/>
      <w:r>
        <w:t xml:space="preserve">Figure </w:t>
      </w:r>
      <w:r>
        <w:fldChar w:fldCharType="begin"/>
      </w:r>
      <w:r>
        <w:instrText xml:space="preserve"> SEQ Figure \* ARABIC </w:instrText>
      </w:r>
      <w:r>
        <w:fldChar w:fldCharType="separate"/>
      </w:r>
      <w:r>
        <w:rPr>
          <w:noProof/>
        </w:rPr>
        <w:t>8</w:t>
      </w:r>
      <w:r>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rsidR="00B140D9" w:rsidP="00B140D9" w:rsidRDefault="00A51986" w14:paraId="0FE40E9C" w14:textId="77777777">
      <w:pPr>
        <w:keepNext/>
        <w:jc w:val="center"/>
      </w:pPr>
      <w:r>
        <w:rPr>
          <w:noProof/>
        </w:rPr>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rsidR="00B86A12" w:rsidP="00B140D9" w:rsidRDefault="00B140D9" w14:paraId="2320FBAB" w14:textId="0666CB0D">
      <w:pPr>
        <w:pStyle w:val="Caption"/>
        <w:jc w:val="center"/>
      </w:pPr>
      <w:bookmarkStart w:name="_Ref_fig9" w:id="27"/>
      <w:r>
        <w:t xml:space="preserve">Figure </w:t>
      </w:r>
      <w:r>
        <w:fldChar w:fldCharType="begin"/>
      </w:r>
      <w:r>
        <w:instrText xml:space="preserve"> SEQ Figure \* ARABIC </w:instrText>
      </w:r>
      <w:r>
        <w:fldChar w:fldCharType="separate"/>
      </w:r>
      <w:r>
        <w:rPr>
          <w:noProof/>
        </w:rPr>
        <w:t>9</w:t>
      </w:r>
      <w:r>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rsidR="00B140D9" w:rsidP="00B140D9" w:rsidRDefault="00B140D9" w14:paraId="5FC44166" w14:textId="572D9F67">
      <w:pPr>
        <w:pStyle w:val="Caption"/>
        <w:keepNext/>
      </w:pPr>
      <w:bookmarkStart w:name="_Ref_tbl5" w:id="28"/>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rsidRPr="00E80772" w:rsidR="00E74C8C" w:rsidRDefault="00000000" w14:paraId="43639CF9" w14:textId="77777777">
            <w:pPr>
              <w:rPr>
                <w:b/>
                <w:bCs/>
              </w:rPr>
            </w:pPr>
            <w:r>
              <w:rPr>
                <w:b/>
                <w:bCs/>
              </w:rPr>
              <w:t>Predictor</w:t>
            </w:r>
          </w:p>
        </w:tc>
        <w:tc>
          <w:tcPr>
            <w:tcW w:w="2016" w:type="dxa"/>
          </w:tcPr>
          <w:p w:rsidR="00E74C8C" w:rsidRDefault="00000000" w14:paraId="5F89CBBB" w14:textId="77777777">
            <w:r>
              <w:t>Aggregate</w:t>
            </w:r>
          </w:p>
        </w:tc>
        <w:tc>
          <w:tcPr>
            <w:tcW w:w="2016" w:type="dxa"/>
          </w:tcPr>
          <w:p w:rsidR="00E74C8C" w:rsidRDefault="00000000" w14:paraId="4459A584" w14:textId="77777777">
            <w:r>
              <w:t>Level 1</w:t>
            </w:r>
          </w:p>
        </w:tc>
        <w:tc>
          <w:tcPr>
            <w:tcW w:w="2016" w:type="dxa"/>
          </w:tcPr>
          <w:p w:rsidR="00E74C8C" w:rsidRDefault="00000000" w14:paraId="3E2F97F6" w14:textId="77777777">
            <w:r>
              <w:t>Level 2</w:t>
            </w:r>
          </w:p>
        </w:tc>
        <w:tc>
          <w:tcPr>
            <w:tcW w:w="2016" w:type="dxa"/>
          </w:tcPr>
          <w:p w:rsidR="00E74C8C" w:rsidRDefault="00000000" w14:paraId="42E59E7F" w14:textId="77777777">
            <w:r>
              <w:t>DC Fast</w:t>
            </w:r>
          </w:p>
        </w:tc>
      </w:tr>
      <w:tr w:rsidR="00B86A12" w14:paraId="630F2582" w14:textId="77777777">
        <w:tc>
          <w:tcPr>
            <w:tcW w:w="2016" w:type="dxa"/>
          </w:tcPr>
          <w:p w:rsidRPr="00E80772" w:rsidR="00E74C8C" w:rsidRDefault="00000000" w14:paraId="1CAC4F8F" w14:textId="77777777">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r>
              <w:t>0.164* (0.098)</w:t>
            </w:r>
          </w:p>
        </w:tc>
        <w:tc>
          <w:tcPr>
            <w:tcW w:w="2016" w:type="dxa"/>
          </w:tcPr>
          <w:p>
            <w:r>
              <w:t>-0.010 (0.011)</w:t>
            </w:r>
          </w:p>
        </w:tc>
        <w:tc>
          <w:tcPr>
            <w:tcW w:w="2016" w:type="dxa"/>
          </w:tcPr>
          <w:p>
            <w:r>
              <w:t>0.203** (0.088)</w:t>
            </w:r>
          </w:p>
        </w:tc>
        <w:tc>
          <w:tcPr>
            <w:tcW w:w="2016" w:type="dxa"/>
          </w:tcPr>
          <w:p>
            <w:r>
              <w:t>0.045 (0.056)</w:t>
            </w:r>
          </w:p>
        </w:tc>
      </w:tr>
      <w:tr w:rsidR="00B86A12" w14:paraId="53CD6D7D" w14:textId="77777777">
        <w:tc>
          <w:tcPr>
            <w:tcW w:w="2016" w:type="dxa"/>
          </w:tcPr>
          <w:p w:rsidRPr="00E80772" w:rsidR="00E74C8C" w:rsidRDefault="00000000" w14:paraId="571EE981" w14:textId="77777777">
            <w:pPr>
              <w:rPr>
                <w:rFonts w:ascii="Courier New" w:hAnsi="Courier New" w:cs="Courier New"/>
                <w:sz w:val="18"/>
                <w:szCs w:val="18"/>
              </w:rPr>
            </w:pPr>
            <w:r>
              <w:rPr>
                <w:rFonts w:ascii="Courier New" w:hAnsi="Courier New" w:cs="Courier New"/>
                <w:sz w:val="18"/>
                <w:szCs w:val="18"/>
              </w:rPr>
              <w:t>pct_black</w:t>
            </w:r>
          </w:p>
        </w:tc>
        <w:tc>
          <w:tcPr>
            <w:tcW w:w="2016" w:type="dxa"/>
          </w:tcPr>
          <w:p>
            <w:r>
              <w:t>-0.007 (0.343)</w:t>
            </w:r>
          </w:p>
        </w:tc>
        <w:tc>
          <w:tcPr>
            <w:tcW w:w="2016" w:type="dxa"/>
          </w:tcPr>
          <w:p>
            <w:r>
              <w:t>-0.004 (0.018)</w:t>
            </w:r>
          </w:p>
        </w:tc>
        <w:tc>
          <w:tcPr>
            <w:tcW w:w="2016" w:type="dxa"/>
          </w:tcPr>
          <w:p>
            <w:r>
              <w:t>0.089 (0.323)</w:t>
            </w:r>
          </w:p>
        </w:tc>
        <w:tc>
          <w:tcPr>
            <w:tcW w:w="2016" w:type="dxa"/>
          </w:tcPr>
          <w:p>
            <w:r>
              <w:t>-0.148 (0.155)</w:t>
            </w:r>
          </w:p>
        </w:tc>
      </w:tr>
      <w:tr w:rsidR="00B86A12" w14:paraId="067325E1" w14:textId="77777777">
        <w:tc>
          <w:tcPr>
            <w:tcW w:w="2016" w:type="dxa"/>
          </w:tcPr>
          <w:p w:rsidRPr="00E80772" w:rsidR="00E74C8C" w:rsidRDefault="00000000" w14:paraId="0AEE38F8" w14:textId="77777777">
            <w:pPr>
              <w:rPr>
                <w:rFonts w:ascii="Courier New" w:hAnsi="Courier New" w:cs="Courier New"/>
                <w:sz w:val="18"/>
                <w:szCs w:val="18"/>
              </w:rPr>
            </w:pPr>
            <w:r>
              <w:rPr>
                <w:rFonts w:ascii="Courier New" w:hAnsi="Courier New" w:cs="Courier New"/>
                <w:sz w:val="18"/>
                <w:szCs w:val="18"/>
              </w:rPr>
              <w:t>pct_hispanic</w:t>
            </w:r>
          </w:p>
        </w:tc>
        <w:tc>
          <w:tcPr>
            <w:tcW w:w="2016" w:type="dxa"/>
          </w:tcPr>
          <w:p>
            <w:r>
              <w:t>-0.399*** (0.105)</w:t>
            </w:r>
          </w:p>
        </w:tc>
        <w:tc>
          <w:tcPr>
            <w:tcW w:w="2016" w:type="dxa"/>
          </w:tcPr>
          <w:p>
            <w:r>
              <w:t>-0.018 (0.012)</w:t>
            </w:r>
          </w:p>
        </w:tc>
        <w:tc>
          <w:tcPr>
            <w:tcW w:w="2016" w:type="dxa"/>
          </w:tcPr>
          <w:p>
            <w:r>
              <w:t>-0.478*** (0.089)</w:t>
            </w:r>
          </w:p>
        </w:tc>
        <w:tc>
          <w:tcPr>
            <w:tcW w:w="2016" w:type="dxa"/>
          </w:tcPr>
          <w:p>
            <w:r>
              <w:t>0.013 (0.070)</w:t>
            </w:r>
          </w:p>
        </w:tc>
      </w:tr>
      <w:tr w:rsidR="00B86A12" w14:paraId="2F1CB1E1" w14:textId="77777777">
        <w:tc>
          <w:tcPr>
            <w:tcW w:w="2016" w:type="dxa"/>
          </w:tcPr>
          <w:p w:rsidRPr="00E80772" w:rsidR="00E74C8C" w:rsidRDefault="00000000" w14:paraId="0A80E2A9" w14:textId="77777777">
            <w:pPr>
              <w:rPr>
                <w:rFonts w:ascii="Courier New" w:hAnsi="Courier New" w:cs="Courier New"/>
                <w:sz w:val="18"/>
                <w:szCs w:val="18"/>
              </w:rPr>
            </w:pPr>
            <w:r>
              <w:rPr>
                <w:rFonts w:ascii="Courier New" w:hAnsi="Courier New" w:cs="Courier New"/>
                <w:sz w:val="18"/>
                <w:szCs w:val="18"/>
              </w:rPr>
              <w:t>pct_asian</w:t>
            </w:r>
          </w:p>
        </w:tc>
        <w:tc>
          <w:tcPr>
            <w:tcW w:w="2016" w:type="dxa"/>
          </w:tcPr>
          <w:p>
            <w:r>
              <w:t>0.410*** (0.146)</w:t>
            </w:r>
          </w:p>
        </w:tc>
        <w:tc>
          <w:tcPr>
            <w:tcW w:w="2016" w:type="dxa"/>
          </w:tcPr>
          <w:p>
            <w:r>
              <w:t>0.006 (0.006)</w:t>
            </w:r>
          </w:p>
        </w:tc>
        <w:tc>
          <w:tcPr>
            <w:tcW w:w="2016" w:type="dxa"/>
          </w:tcPr>
          <w:p>
            <w:r>
              <w:t>0.341** (0.141)</w:t>
            </w:r>
          </w:p>
        </w:tc>
        <w:tc>
          <w:tcPr>
            <w:tcW w:w="2016" w:type="dxa"/>
          </w:tcPr>
          <w:p>
            <w:r>
              <w:t>0.135** (0.068)</w:t>
            </w:r>
          </w:p>
        </w:tc>
      </w:tr>
      <w:tr w:rsidR="00B86A12" w14:paraId="415C1D96" w14:textId="77777777">
        <w:tc>
          <w:tcPr>
            <w:tcW w:w="2016" w:type="dxa"/>
          </w:tcPr>
          <w:p w:rsidRPr="00E80772" w:rsidR="00E74C8C" w:rsidRDefault="00000000" w14:paraId="7AE0C6E6" w14:textId="77777777">
            <w:pPr>
              <w:rPr>
                <w:rFonts w:ascii="Courier New" w:hAnsi="Courier New" w:cs="Courier New"/>
                <w:sz w:val="18"/>
                <w:szCs w:val="18"/>
              </w:rPr>
            </w:pPr>
            <w:r>
              <w:rPr>
                <w:rFonts w:ascii="Courier New" w:hAnsi="Courier New" w:cs="Courier New"/>
                <w:sz w:val="18"/>
                <w:szCs w:val="18"/>
              </w:rPr>
              <w:t>poverty_rate</w:t>
            </w:r>
          </w:p>
        </w:tc>
        <w:tc>
          <w:tcPr>
            <w:tcW w:w="2016" w:type="dxa"/>
          </w:tcPr>
          <w:p>
            <w:r>
              <w:t>2.003*** (0.497)</w:t>
            </w:r>
          </w:p>
        </w:tc>
        <w:tc>
          <w:tcPr>
            <w:tcW w:w="2016" w:type="dxa"/>
          </w:tcPr>
          <w:p>
            <w:r>
              <w:t>0.030 (0.056)</w:t>
            </w:r>
          </w:p>
        </w:tc>
        <w:tc>
          <w:tcPr>
            <w:tcW w:w="2016" w:type="dxa"/>
          </w:tcPr>
          <w:p>
            <w:r>
              <w:t>2.242*** (0.444)</w:t>
            </w:r>
          </w:p>
        </w:tc>
        <w:tc>
          <w:tcPr>
            <w:tcW w:w="2016" w:type="dxa"/>
          </w:tcPr>
          <w:p>
            <w:r>
              <w:t>0.364 (0.285)</w:t>
            </w:r>
          </w:p>
        </w:tc>
      </w:tr>
      <w:tr w:rsidR="00B86A12" w14:paraId="7DFF5A7B" w14:textId="77777777">
        <w:tc>
          <w:tcPr>
            <w:tcW w:w="2016" w:type="dxa"/>
          </w:tcPr>
          <w:p>
            <w:r>
              <w:t>N</w:t>
            </w:r>
          </w:p>
        </w:tc>
        <w:tc>
          <w:tcPr>
            <w:tcW w:w="2016" w:type="dxa"/>
          </w:tcPr>
          <w:p>
            <w:r>
              <w:t>1,390</w:t>
            </w:r>
          </w:p>
        </w:tc>
        <w:tc>
          <w:tcPr>
            <w:tcW w:w="2016" w:type="dxa"/>
          </w:tcPr>
          <w:p>
            <w:r>
              <w:t>1,390</w:t>
            </w:r>
          </w:p>
        </w:tc>
        <w:tc>
          <w:tcPr>
            <w:tcW w:w="2016" w:type="dxa"/>
          </w:tcPr>
          <w:p>
            <w:r>
              <w:t>1,390</w:t>
            </w:r>
          </w:p>
        </w:tc>
        <w:tc>
          <w:tcPr>
            <w:tcW w:w="2016" w:type="dxa"/>
          </w:tcPr>
          <w:p>
            <w:r>
              <w:t>1,390</w:t>
            </w:r>
          </w:p>
        </w:tc>
      </w:tr>
      <w:tr w:rsidR="00B86A12" w14:paraId="26432108" w14:textId="77777777">
        <w:tc>
          <w:tcPr>
            <w:tcW w:w="2016" w:type="dxa"/>
          </w:tcPr>
          <w:p>
            <w:r>
              <w:t>R²</w:t>
            </w:r>
          </w:p>
        </w:tc>
        <w:tc>
          <w:tcPr>
            <w:tcW w:w="2016" w:type="dxa"/>
          </w:tcPr>
          <w:p>
            <w:r>
              <w:t>0.079</w:t>
            </w:r>
          </w:p>
        </w:tc>
        <w:tc>
          <w:tcPr>
            <w:tcW w:w="2016" w:type="dxa"/>
          </w:tcPr>
          <w:p>
            <w:r>
              <w:t>0.006</w:t>
            </w:r>
          </w:p>
        </w:tc>
        <w:tc>
          <w:tcPr>
            <w:tcW w:w="2016" w:type="dxa"/>
          </w:tcPr>
          <w:p>
            <w:r>
              <w:t>0.117</w:t>
            </w:r>
          </w:p>
        </w:tc>
        <w:tc>
          <w:tcPr>
            <w:tcW w:w="2016" w:type="dxa"/>
          </w:tcPr>
          <w:p>
            <w:r>
              <w:t>0.012</w:t>
            </w:r>
          </w:p>
        </w:tc>
      </w:tr>
    </w:tbl>
    <w:p w:rsidR="00B86A12" w:rsidRDefault="00B86A12" w14:paraId="7856F3CA" w14:textId="77777777"/>
    <w:p w:rsidR="00B86A12" w:rsidRDefault="00000000" w14:paraId="3AD37BF4" w14:textId="77777777">
      <w:pPr>
        <w:pStyle w:val="Heading2"/>
        <w:numPr>
          <w:ilvl w:val="1"/>
          <w:numId w:val="11"/>
        </w:numPr>
      </w:pPr>
      <w:bookmarkStart w:name="_Ref_sec_r_burden" w:id="9416"/>
      <w:r>
        <w:t>Energy burden outcome results</w:t>
      </w:r>
      <w:r>
        <w:rPr>
          <w:rStyle w:val="CommentReference"/>
          <w:sz w:val="26"/>
          <w:szCs w:val="26"/>
        </w:rPr>
      </w:r>
      <w:r>
        <w:rPr>
          <w:rStyle w:val="CommentReference"/>
        </w:rPr>
      </w:r>
      <w:bookmarkEnd w:id="9416"/>
    </w:p>
    <w:p w:rsidR="0014040F" w:rsidRDefault="00000000" w14:paraId="5E4704F3" w14:textId="1721713D">
      <w:r w:rsidR="00000000">
        <w:rPr/>
        <w:t xml:space="preserve">The energy-burden outcomes provide </w:t>
      </w:r>
      <w:r w:rsidR="00000000">
        <w:rPr/>
        <w:t>affordability</w:t>
      </w:r>
      <w:r w:rsidR="00000000">
        <w:rPr/>
        <w:t xml:space="preserve"> context for the DER results. In the matched burden sample, mean </w:t>
      </w:r>
      <w:bookmarkStart w:name="OLE_LINK3" w:id="31"/>
      <w:r w:rsidRPr="3DC018EE" w:rsidR="00000000">
        <w:rPr>
          <w:rFonts w:ascii="Courier New" w:hAnsi="Courier New" w:cs="Courier New"/>
          <w:sz w:val="18"/>
          <w:szCs w:val="18"/>
        </w:rPr>
        <w:t>energy_burden_pct</w:t>
      </w:r>
      <w:r w:rsidRPr="3DC018EE" w:rsidR="00000000">
        <w:rPr>
          <w:sz w:val="18"/>
          <w:szCs w:val="18"/>
        </w:rPr>
        <w:t xml:space="preserve"> </w:t>
      </w:r>
      <w:bookmarkEnd w:id="31"/>
      <w:r w:rsidR="00000000">
        <w:rPr/>
        <w:t xml:space="preserve">is about 2.2% and the interquartile range runs from </w:t>
      </w:r>
      <w:r w:rsidR="00000000">
        <w:rPr/>
        <w:t>roughly 1.5%</w:t>
      </w:r>
      <w:r w:rsidR="00000000">
        <w:rPr/>
        <w:t xml:space="preserve"> to 2.8%, while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is strongly negatively correlated with </w:t>
      </w:r>
      <w:bookmarkStart w:name="OLE_LINK4" w:id="32"/>
      <w:r w:rsidRPr="3DC018EE" w:rsidR="00000000">
        <w:rPr>
          <w:rFonts w:ascii="Courier New" w:hAnsi="Courier New" w:cs="Courier New"/>
          <w:sz w:val="18"/>
          <w:szCs w:val="18"/>
        </w:rPr>
        <w:t>log_median_household_income</w:t>
      </w:r>
      <w:r w:rsidRPr="3DC018EE" w:rsidR="00000000">
        <w:rPr>
          <w:sz w:val="18"/>
          <w:szCs w:val="18"/>
        </w:rPr>
        <w:t xml:space="preserve"> </w:t>
      </w:r>
      <w:bookmarkEnd w:id="32"/>
      <w:r w:rsidR="00000000">
        <w:rPr/>
        <w:t xml:space="preserve">(-0.746) and positively correlated with </w:t>
      </w:r>
      <w:r w:rsidRPr="3DC018EE" w:rsidR="00000000">
        <w:rPr>
          <w:rFonts w:ascii="Courier New" w:hAnsi="Courier New" w:cs="Courier New"/>
          <w:sz w:val="18"/>
          <w:szCs w:val="18"/>
        </w:rPr>
        <w:t>poverty_rate</w:t>
      </w:r>
      <w:r w:rsidRPr="3DC018EE" w:rsidR="00000000">
        <w:rPr>
          <w:sz w:val="18"/>
          <w:szCs w:val="18"/>
        </w:rPr>
        <w:t xml:space="preserve"> </w:t>
      </w:r>
      <w:r w:rsidR="00000000">
        <w:rPr/>
        <w:t xml:space="preserve">(0.545). </w:t>
      </w:r>
      <w:r w:rsidR="00000000">
        <w:rPr/>
        <w:t>The burden variables are therefore best read as a related affordability-stress layer rather than as cleanly orthogonal controls.</w:t>
      </w:r>
      <w:r w:rsidR="00000000">
        <w:rPr/>
        <w:t xml:space="preserve"> </w:t>
      </w:r>
      <w:r>
        <w:fldChar w:fldCharType="begin"/>
      </w:r>
      <w:r>
        <w:instrText xml:space="preserve"> REF _Ref_newfig99 \h </w:instrText>
      </w:r>
      <w:r>
        <w:fldChar w:fldCharType="separate"/>
      </w:r>
      <w:r w:rsidR="00000000">
        <w:rPr/>
        <w:t>Figure 10</w:t>
      </w:r>
      <w:r>
        <w:fldChar w:fldCharType="end"/>
      </w:r>
      <w:r w:rsidR="00000000">
        <w:rPr/>
        <w:t xml:space="preserve"> shows the descriptive gradients linking neighborhood characteristics to both affordability outcomes.</w:t>
      </w:r>
    </w:p>
    <w:p w:rsidR="0014040F" w:rsidRDefault="00000000" w14:paraId="6595B8CA" w14:textId="6AC51D61">
      <w:r w:rsidR="00000000">
        <w:rPr/>
        <w:t xml:space="preserve">In the baseline model with </w:t>
      </w:r>
      <w:r w:rsidRPr="3DC018EE" w:rsidR="00000000">
        <w:rPr>
          <w:rFonts w:ascii="Courier New" w:hAnsi="Courier New" w:cs="Courier New"/>
          <w:sz w:val="18"/>
          <w:szCs w:val="18"/>
        </w:rPr>
        <w:t>energy_burden_pct</w:t>
      </w:r>
      <w:r w:rsidRPr="3DC018EE" w:rsidR="00000000">
        <w:rPr>
          <w:sz w:val="18"/>
          <w:szCs w:val="18"/>
        </w:rPr>
        <w:t xml:space="preserve"> </w:t>
      </w:r>
      <w:r w:rsidR="00000000">
        <w:rPr/>
        <w:t xml:space="preserve">as the outcome, </w:t>
      </w:r>
      <w:r w:rsidRPr="3DC018EE" w:rsidR="00000000">
        <w:rPr>
          <w:rFonts w:ascii="Courier New" w:hAnsi="Courier New" w:cs="Courier New"/>
          <w:sz w:val="18"/>
          <w:szCs w:val="18"/>
        </w:rPr>
        <w:t>log_median_household_income</w:t>
      </w:r>
      <w:r w:rsidRPr="3DC018EE" w:rsidR="00000000">
        <w:rPr>
          <w:sz w:val="18"/>
          <w:szCs w:val="18"/>
        </w:rPr>
        <w:t xml:space="preserve"> </w:t>
      </w:r>
      <w:r w:rsidR="00000000">
        <w:rPr/>
        <w:t xml:space="preserve">is strongly negative (-0.0096, p &lt; 0.001), </w:t>
      </w:r>
      <w:r w:rsidR="00000000">
        <w:rPr/>
        <w:t>pct_hispanic</w:t>
      </w:r>
      <w:r w:rsidR="00000000">
        <w:rPr/>
        <w:t xml:space="preserve"> is positive (0.0036, p &lt; 0.001), and </w:t>
      </w:r>
      <w:r w:rsidR="00000000">
        <w:rPr/>
        <w:t>pct_asian</w:t>
      </w:r>
      <w:r w:rsidR="00000000">
        <w:rPr/>
        <w:t xml:space="preserve"> is negative (-0.0077, p &lt; 0.001), while </w:t>
      </w:r>
      <w:r w:rsidR="00000000">
        <w:rPr/>
        <w:t>pct_black</w:t>
      </w:r>
      <w:r w:rsidR="00000000">
        <w:rPr/>
        <w:t xml:space="preserve"> and </w:t>
      </w:r>
      <w:r w:rsidR="00000000">
        <w:rPr/>
        <w:t>poverty_rate</w:t>
      </w:r>
      <w:r w:rsidR="00000000">
        <w:rPr/>
        <w:t xml:space="preserve"> are not statistically distinguishable from zero after the included controls. For </w:t>
      </w:r>
      <w:r w:rsidR="00000000">
        <w:rPr/>
        <w:t>log_energy_gap_per_capita</w:t>
      </w:r>
      <w:r w:rsidR="00000000">
        <w:rPr/>
        <w:t xml:space="preserve">, income is again negative (-2.161, p &lt; 0.001), while </w:t>
      </w:r>
      <w:r w:rsidR="00000000">
        <w:rPr/>
        <w:t>pct_hispanic</w:t>
      </w:r>
      <w:r w:rsidR="00000000">
        <w:rPr/>
        <w:t xml:space="preserve"> (1.531, p &lt; 0.001), </w:t>
      </w:r>
      <w:r w:rsidR="00000000">
        <w:rPr/>
        <w:t>pct_asian</w:t>
      </w:r>
      <w:r w:rsidR="00000000">
        <w:rPr/>
        <w:t xml:space="preserve"> (1.741, p = 0.009), </w:t>
      </w:r>
      <w:r w:rsidR="00000000">
        <w:rPr/>
        <w:t xml:space="preserve">and </w:t>
      </w:r>
      <w:r w:rsidR="00000000">
        <w:rPr/>
        <w:t>poverty_rate</w:t>
      </w:r>
      <w:r w:rsidR="00000000">
        <w:rPr/>
        <w:t xml:space="preserve"> (2.701, p = 0.039) are positive.</w:t>
      </w:r>
      <w:r w:rsidR="00000000">
        <w:rPr/>
        <w:t xml:space="preserve"> </w:t>
      </w:r>
      <w:r>
        <w:fldChar w:fldCharType="begin"/>
      </w:r>
      <w:r>
        <w:instrText xml:space="preserve"> REF _Ref_newfig101 \h </w:instrText>
      </w:r>
      <w:r>
        <w:fldChar w:fldCharType="separate"/>
      </w:r>
      <w:r w:rsidR="00000000">
        <w:rPr/>
        <w:t>Figure 12</w:t>
      </w:r>
      <w:r>
        <w:fldChar w:fldCharType="end"/>
      </w:r>
      <w:r w:rsidR="00000000">
        <w:rPr/>
        <w:t xml:space="preserve"> traces these coefficients across the model ladder.</w:t>
      </w:r>
    </w:p>
    <w:p xmlns:wp14="http://schemas.microsoft.com/office/word/2010/wordml" w14:paraId="74EE7BD4" wp14:textId="77777777">
      <w:pPr/>
      <w:r w:rsidR="3DC018EE">
        <w:rPr/>
        <w:t>Model 9A</w:t>
      </w:r>
      <w:r w:rsidR="3DC018EE">
        <w:rPr/>
        <w:t xml:space="preserve"> (Section </w:t>
      </w:r>
      <w:r>
        <w:fldChar w:fldCharType="begin"/>
      </w:r>
      <w:r>
        <w:instrText xml:space="preserve"> REF _Ref_sec_model9 \r \h </w:instrText>
      </w:r>
      <w:r>
        <w:fldChar w:fldCharType="separate"/>
      </w:r>
      <w:r w:rsidR="3DC018EE">
        <w:rPr/>
        <w:t>6.7.9</w:t>
      </w:r>
      <w:r>
        <w:fldChar w:fldCharType="end"/>
      </w:r>
      <w:r w:rsidR="3DC018EE">
        <w:rPr/>
        <w:t xml:space="preserve">; </w:t>
      </w:r>
      <w:r>
        <w:fldChar w:fldCharType="begin"/>
      </w:r>
      <w:r>
        <w:instrText xml:space="preserve"> REF _Ref_fig_burden_der \h </w:instrText>
      </w:r>
      <w:r>
        <w:fldChar w:fldCharType="separate"/>
      </w:r>
      <w:r w:rsidR="3DC018EE">
        <w:rPr/>
        <w:t>Figure 11</w:t>
      </w:r>
      <w:r>
        <w:fldChar w:fldCharType="end"/>
      </w:r>
      <w:r w:rsidR="3DC018EE">
        <w:rPr/>
        <w:t>)</w:t>
      </w:r>
      <w:r w:rsidR="3DC018EE">
        <w:rPr/>
        <w:t xml:space="preserve"> reverses the direction of the question</w:t>
      </w:r>
      <w:r w:rsidR="3DC018EE">
        <w:rPr/>
        <w:t xml:space="preserve"> and adds the DER outcomes as predictors of affordability. Only aggregate EV charging is statistically distinguishable from zero: it is negatively associated with </w:t>
      </w:r>
      <w:r w:rsidR="3DC018EE">
        <w:rPr/>
        <w:t>energy_burden_pct</w:t>
      </w:r>
      <w:r w:rsidR="3DC018EE">
        <w:rPr/>
        <w:t xml:space="preserve"> (-0.0011, p &lt; 0.001) and positively associated with </w:t>
      </w:r>
      <w:r w:rsidR="3DC018EE">
        <w:rPr/>
        <w:t>log_energy_gap_per_capita</w:t>
      </w:r>
      <w:r w:rsidR="3DC018EE">
        <w:rPr/>
        <w:t xml:space="preserve"> (1.002, p &lt; 0.001). Solar PV, </w:t>
      </w:r>
      <w:r w:rsidR="3DC018EE">
        <w:rPr/>
        <w:t>storage</w:t>
      </w:r>
      <w:r w:rsidR="3DC018EE">
        <w:rPr/>
        <w:t xml:space="preserve"> and the demand proxy are not significant for either outcome. Because the DER terms are themselves outcomes of the same demographic predictors, these coefficients describe associations and should not be read causally.</w:t>
      </w:r>
    </w:p>
    <w:p w:rsidR="0014040F" w:rsidRDefault="00000000" w14:paraId="3BDF0768" w14:textId="4681DD95">
      <w:r>
        <w:t xml:space="preserve">These results reinforce the paper’s broader interpretation: affordability stress is itself spatially and demographically structured, but it does not make the DER outcomes interchangeable. PV and storage remain tied </w:t>
        <w:lastRenderedPageBreak/>
      </w:r>
      <w:r>
        <w:t>to different race and income patterns than aggregate charging, and the charging result still appears to reflect a mix of infrastructure siting and household-serving access rather than a single uniform affordability channel.</w:t>
      </w:r>
    </w:p>
    <w:p w:rsidR="00157F04" w:rsidRDefault="00157F04" w14:paraId="762BFB71" w14:textId="77777777">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r>
        <w:rPr>
          <w:rStyle w:val="CommentReference"/>
          <w:noProof/>
          <w:sz w:val="22"/>
          <w:szCs w:val="22"/>
        </w:rPr>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rsidR="00537512" w:rsidRDefault="00000000" w14:paraId="015403E3" w14:textId="1361169A">
      <w:pPr>
        <w:pStyle w:val="Caption"/>
        <w:keepNext/>
      </w:pPr>
      <w:bookmarkStart w:name="_Ref_newfig99" w:id="34"/>
      <w:r>
        <w:t xml:space="preserve">Figure </w:t>
      </w:r>
      <w:r>
        <w:fldChar w:fldCharType="begin"/>
      </w:r>
      <w:r>
        <w:instrText xml:space="preserve"> SEQ Figure \* ARABIC </w:instrText>
      </w:r>
      <w:r>
        <w:fldChar w:fldCharType="separate"/>
      </w:r>
      <w:r>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rsidR="00893723" w:rsidP="00893723" w:rsidRDefault="00785640" w14:paraId="50F94D03" w14:textId="77777777">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r>
        <w:rPr>
          <w:rStyle w:val="CommentReference"/>
          <w:sz w:val="22"/>
          <w:szCs w:val="22"/>
        </w:rPr>
      </w:r>
    </w:p>
    <w:p w:rsidR="00785640" w:rsidP="00893723" w:rsidRDefault="00893723" w14:paraId="4A12D37D" w14:textId="04C59895">
      <w:pPr>
        <w:pStyle w:val="Caption"/>
        <w:jc w:val="center"/>
      </w:pPr>
      <w:bookmarkStart w:name="_Ref_fig_burden_der" w:id="9439"/>
      <w:r w:rsidR="00893723">
        <w:rPr/>
        <w:t xml:space="preserve">Figure </w:t>
      </w:r>
      <w:r>
        <w:fldChar w:fldCharType="begin"/>
      </w:r>
      <w:r>
        <w:instrText xml:space="preserve"> SEQ Figure \* ARABIC </w:instrText>
      </w:r>
      <w:r>
        <w:fldChar w:fldCharType="separate"/>
      </w:r>
      <w:r w:rsidRPr="3DC018EE" w:rsidR="00893723">
        <w:rPr>
          <w:noProof/>
        </w:rPr>
        <w:t>11</w:t>
      </w:r>
      <w:r w:rsidRPr="3DC018EE">
        <w:rPr>
          <w:noProof/>
        </w:rPr>
        <w:fldChar w:fldCharType="end"/>
      </w:r>
      <w:bookmarkEnd w:id="9439"/>
      <w:r w:rsidR="00893723">
        <w:rPr/>
        <w:t xml:space="preserve">: </w:t>
      </w:r>
      <w:r w:rsidR="00893723">
        <w:rPr/>
        <w:t xml:space="preserve">DER predictors in the energy-burden and affordability-gap models (Model 9A). Points are coefficient </w:t>
      </w:r>
      <w:r w:rsidR="00893723">
        <w:rPr/>
        <w:t>estimates</w:t>
      </w:r>
      <w:r w:rsidR="00893723">
        <w:rPr/>
        <w:t xml:space="preserve"> and horizontal lines are 95% confidence intervals.</w:t>
      </w:r>
    </w:p>
    <w:p w:rsidR="00785640" w:rsidRDefault="00785640" w14:paraId="1FC0C5FF" w14:textId="5F250795">
      <w:r>
        <w:rPr>
          <w:noProof/>
        </w:rPr>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r>
        <w:rPr>
          <w:rStyle w:val="CommentReference"/>
          <w:sz w:val="22"/>
          <w:szCs w:val="22"/>
        </w:rPr>
      </w:r>
      <w:r>
        <w:rPr>
          <w:rStyle w:val="CommentReference"/>
        </w:rPr>
      </w:r>
    </w:p>
    <w:p w:rsidR="00537512" w:rsidRDefault="00000000" w14:paraId="5B8021E0" w14:textId="03A07B56">
      <w:pPr>
        <w:pStyle w:val="Caption"/>
        <w:keepNext/>
      </w:pPr>
      <w:bookmarkStart w:name="_Ref_newfig101" w:id="38"/>
      <w:r>
        <w:t xml:space="preserve">Figure </w:t>
      </w:r>
      <w:r>
        <w:fldChar w:fldCharType="begin"/>
      </w:r>
      <w:r>
        <w:instrText xml:space="preserve"> SEQ Figure \* ARABIC </w:instrText>
      </w:r>
      <w:r>
        <w:fldChar w:fldCharType="separate"/>
      </w:r>
      <w:r>
        <w:rPr>
          <w:noProof/>
        </w:rPr>
        <w:t>12</w:t>
      </w:r>
      <w:r>
        <w:fldChar w:fldCharType="end"/>
      </w:r>
      <w:bookmarkEnd w:id="38"/>
      <w:r>
        <w:t>: Coefficient stability for the energy-burden and affordability-gap outcomes across the model ladder.</w:t>
      </w:r>
    </w:p>
    <w:p w:rsidR="0014040F" w:rsidRDefault="00000000" w14:paraId="105A1604" w14:textId="77777777">
      <w:pPr>
        <w:pStyle w:val="Heading2"/>
        <w:numPr>
          <w:ilvl w:val="1"/>
          <w:numId w:val="11"/>
        </w:numPr>
      </w:pPr>
      <w:bookmarkStart w:name="_Ref_sec_r_lowess" w:id="9417"/>
      <w:r>
        <w:t>Descriptive nonlinear gradients</w:t>
      </w:r>
      <w:bookmarkEnd w:id="9417"/>
    </w:p>
    <w:p w:rsidR="00B86A12" w:rsidRDefault="00000000" w14:paraId="6B0B4395" w14:textId="41EA00CE">
      <w:r w:rsidR="00000000">
        <w:rPr/>
        <w:t>The regression tables</w:t>
      </w:r>
      <w:r w:rsidR="00000000">
        <w:rPr/>
        <w:t xml:space="preserve"> (</w:t>
      </w:r>
      <w:r>
        <w:fldChar w:fldCharType="begin"/>
      </w:r>
      <w:r>
        <w:instrText xml:space="preserve"> REF _Ref_tbl3 \h </w:instrText>
      </w:r>
      <w:r>
        <w:fldChar w:fldCharType="separate"/>
      </w:r>
      <w:r w:rsidR="00000000">
        <w:rPr/>
        <w:t>Table 3</w:t>
      </w:r>
      <w:r>
        <w:fldChar w:fldCharType="end"/>
      </w:r>
      <w:r w:rsidR="00000000">
        <w:rPr/>
        <w:t>)</w:t>
      </w:r>
      <w:r w:rsidR="00000000">
        <w:rPr/>
        <w:t xml:space="preserve"> summarize conditional associations, but the raw outcome gradients are also informative.</w:t>
      </w:r>
      <w:r w:rsidR="00000000">
        <w:rPr/>
        <w:t xml:space="preserve"> </w:t>
      </w:r>
      <w:r>
        <w:fldChar w:fldCharType="begin"/>
      </w:r>
      <w:r>
        <w:instrText xml:space="preserve"> REF _Ref_fig10 \h </w:instrText>
      </w:r>
      <w:r>
        <w:fldChar w:fldCharType="separate"/>
      </w:r>
      <w:r w:rsidR="00000000">
        <w:rPr/>
        <w:t>Figure 13</w:t>
      </w:r>
      <w:r>
        <w:fldChar w:fldCharType="end"/>
      </w:r>
      <w:r w:rsidR="00000000">
        <w:rP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rsidR="00B86A12" w:rsidRDefault="00000000" w14:paraId="2A2CAACF" w14:textId="1F2D757B">
      <w:r>
        <w:fldChar w:fldCharType="begin"/>
      </w:r>
      <w:r>
        <w:instrText xml:space="preserve"> REF _Ref_fig11 \h </w:instrText>
      </w:r>
      <w:r>
        <w:fldChar w:fldCharType="separate"/>
      </w:r>
      <w:r w:rsidR="00000000">
        <w:rPr/>
        <w:t>Figure 14</w:t>
      </w:r>
      <w:r>
        <w:fldChar w:fldCharType="end"/>
      </w:r>
      <w:r w:rsidR="00000000">
        <w:rPr/>
        <w:t xml:space="preserve"> </w:t>
      </w:r>
      <w:r w:rsidR="00000000">
        <w:rPr/>
        <w:t>provides</w:t>
      </w:r>
      <w:r w:rsidR="00000000">
        <w:rPr/>
        <w:t xml:space="preserve"> the corresponding education view using </w:t>
      </w:r>
      <w:r w:rsidRPr="3DC018EE" w:rsidR="00000000">
        <w:rPr>
          <w:rFonts w:ascii="Courier New" w:hAnsi="Courier New" w:cs="Courier New"/>
          <w:sz w:val="18"/>
          <w:szCs w:val="18"/>
        </w:rPr>
        <w:t>pct_bachelors_plus</w:t>
      </w:r>
      <w:r w:rsidR="00000000">
        <w:rPr/>
        <w:t xml:space="preserve">. The regenerated deterministic LOWESS audit shows a mildly negative unconditional gradient for PV (-0.06) but </w:t>
      </w:r>
      <w:r w:rsidRPr="3DC018EE" w:rsidR="00000000">
        <w:rPr/>
        <w:t>positive gradients for storage (0.61)</w:t>
      </w:r>
      <w:r w:rsidR="00000000">
        <w:rPr/>
        <w:t xml:space="preserve"> and EV charging (1.17). The corresponding standardized Model 2 charger regression also estimates a positive education coefficient (0.432, p &lt; 0.001), </w:t>
      </w:r>
      <w:r w:rsidR="00000000">
        <w:rPr/>
        <w:t>indicating</w:t>
      </w:r>
      <w:r w:rsidR="00000000">
        <w:rPr/>
        <w:t xml:space="preserve"> that bachelor’s attainment is positively associated with aggregate EV charger deployment.</w:t>
      </w:r>
      <w:r w:rsidR="00000000">
        <w:rPr/>
        <w:t xml:space="preserve"> The corresponding income gradients are shown in </w:t>
      </w:r>
      <w:r>
        <w:fldChar w:fldCharType="begin"/>
      </w:r>
      <w:r>
        <w:instrText xml:space="preserve"> REF _Ref_fig3 \h </w:instrText>
      </w:r>
      <w:r>
        <w:fldChar w:fldCharType="separate"/>
      </w:r>
      <w:r w:rsidR="00000000">
        <w:rPr/>
        <w:t>Figure 3</w:t>
      </w:r>
      <w:r>
        <w:fldChar w:fldCharType="end"/>
      </w:r>
      <w:r w:rsidR="00000000">
        <w:rPr/>
        <w:t>.</w:t>
      </w:r>
    </w:p>
    <w:p w:rsidR="00B140D9" w:rsidP="00B140D9" w:rsidRDefault="00A51986" w14:paraId="2F08F309" w14:textId="77777777">
      <w:pPr>
        <w:keepNext/>
        <w:jc w:val="center"/>
      </w:pPr>
      <w:r>
        <w:rPr>
          <w:noProof/>
        </w:rPr>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rsidR="00B86A12" w:rsidP="00B140D9" w:rsidRDefault="00B87FB7" w14:paraId="0EA18E76" w14:textId="0F90500D">
      <w:pPr>
        <w:pStyle w:val="Caption"/>
        <w:jc w:val="center"/>
      </w:pPr>
      <w:bookmarkStart w:name="_Ref_fig10" w:id="39"/>
      <w:r>
        <w:t xml:space="preserve">Figure </w:t>
      </w:r>
      <w:r>
        <w:fldChar w:fldCharType="begin"/>
      </w:r>
      <w:r>
        <w:instrText xml:space="preserve"> SEQ Figure \* ARABIC </w:instrText>
      </w:r>
      <w:r>
        <w:fldChar w:fldCharType="separate"/>
      </w:r>
      <w:r>
        <w:rPr>
          <w:noProof/>
        </w:rPr>
        <w:t>13</w:t>
      </w:r>
      <w:r>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rsidR="00B140D9" w:rsidP="00B140D9" w:rsidRDefault="00A51986" w14:paraId="0B433B08" w14:textId="77777777">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rsidR="00B86A12" w:rsidP="00B140D9" w:rsidRDefault="00B140D9" w14:paraId="2ADFCAD8" w14:textId="3121EEBA">
      <w:pPr>
        <w:pStyle w:val="Caption"/>
        <w:jc w:val="center"/>
      </w:pPr>
      <w:bookmarkStart w:name="_Ref_fig11" w:id="40"/>
      <w:r>
        <w:t xml:space="preserve">Figure </w:t>
      </w:r>
      <w:r>
        <w:fldChar w:fldCharType="begin"/>
      </w:r>
      <w:r>
        <w:instrText xml:space="preserve"> SEQ Figure \* ARABIC </w:instrText>
      </w:r>
      <w:r>
        <w:fldChar w:fldCharType="separate"/>
      </w:r>
      <w:r>
        <w:rPr>
          <w:noProof/>
        </w:rPr>
        <w:t>14</w:t>
      </w:r>
      <w:r>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rsidR="00B86A12" w:rsidRDefault="00000000" w14:paraId="44832A5A" w14:textId="77777777">
      <w:pPr>
        <w:pStyle w:val="Heading2"/>
        <w:numPr>
          <w:ilvl w:val="1"/>
          <w:numId w:val="11"/>
        </w:numPr>
      </w:pPr>
      <w:bookmarkStart w:name="_Ref_sec_r_cluster" w:id="9418"/>
      <w:r>
        <w:t>Exploratory clustering of ZIP/ZCTA types</w:t>
      </w:r>
      <w:bookmarkEnd w:id="9418"/>
    </w:p>
    <w:p w:rsidR="00B86A12" w:rsidRDefault="00000000" w14:paraId="528BBBEA" w14:textId="693F0BF4">
      <w:r>
        <w:t>In addition to the regression ladder, we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rsidR="004C7FF5" w:rsidRDefault="004C7FF5" w14:paraId="35F733A4" w14:textId="77777777"/>
    <w:p>
      <w:pPr>
        <w:jc w:val="center"/>
      </w:pPr>
      <w:r>
        <w:drawing>
          <wp:inline>
            <wp:extent cx="5852160" cy="6805722"/>
            <wp:docPr id="1989849352" name="Picture 1989849352"/>
            <wp:cNvGraphicFramePr>
              <a:graphicFrameLocks noChangeAspect="1"/>
            </wp:cNvGraphicFramePr>
            <a:graphic>
              <a:graphicData uri="http://schemas.openxmlformats.org/drawingml/2006/picture">
                <pic:pic>
                  <pic:nvPicPr>
                    <pic:cNvPr id="0" name="cluster_choropleth_map.png"/>
                    <pic:cNvPicPr/>
                  </pic:nvPicPr>
                  <pic:blipFill>
                    <a:blip r:embed="rId10"/>
                    <a:stretch>
                      <a:fillRect/>
                    </a:stretch>
                  </pic:blipFill>
                  <pic:spPr>
                    <a:xfrm>
                      <a:off x="0" y="0"/>
                      <a:ext cx="5852160" cy="6805722"/>
                    </a:xfrm>
                    <a:prstGeom prst="rect"/>
                  </pic:spPr>
                </pic:pic>
              </a:graphicData>
            </a:graphic>
          </wp:inline>
        </w:drawing>
      </w:r>
    </w:p>
    <w:p w:rsidR="00B86A12" w:rsidP="00B140D9" w:rsidRDefault="00B140D9" w14:paraId="55B4F45F" w14:textId="7D2FAA1F">
      <w:pPr>
        <w:pStyle w:val="Caption"/>
        <w:jc w:val="center"/>
      </w:pPr>
      <w:r>
        <w:t>Figure 15: California ZIP/ZCTA clusters from the exploratory PCA plus K-means analysis. Cluster IDs are stable labels ordered from lowest to highest mean household income; the map shows that the resulting neighborhood profiles are geographically structured.</w:t>
      </w:r>
    </w:p>
    <w:p w:rsidR="00B86A12" w:rsidRDefault="00B86A12" w14:paraId="68EE3A8C" w14:textId="1B064AB4"/>
    <w:p w:rsidR="00B140D9" w:rsidP="00B140D9" w:rsidRDefault="002808A9" w14:paraId="38D43115" w14:textId="2F1D35E9">
      <w:pPr>
        <w:pStyle w:val="Caption"/>
        <w:keepNext/>
      </w:pPr>
      <w:bookmarkStart w:name="_Ref_tbl6" w:id="42"/>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rsidTr="3DC018EE" w14:paraId="758E1C48" w14:textId="77777777">
        <w:tc>
          <w:tcPr>
            <w:tcW w:w="1075" w:type="dxa"/>
            <w:tcMar/>
          </w:tcPr>
          <w:p w:rsidRPr="00D40A32" w:rsidR="00B86A12" w:rsidRDefault="00000000" w14:paraId="1648EC9F" w14:textId="77777777">
            <w:pPr>
              <w:rPr>
                <w:sz w:val="20"/>
                <w:szCs w:val="20"/>
              </w:rPr>
            </w:pPr>
            <w:r>
              <w:rPr>
                <w:b/>
                <w:sz w:val="20"/>
                <w:szCs w:val="20"/>
              </w:rPr>
              <w:t>Cluster</w:t>
            </w:r>
          </w:p>
        </w:tc>
        <w:tc>
          <w:tcPr>
            <w:tcW w:w="720" w:type="dxa"/>
            <w:tcMar/>
          </w:tcPr>
          <w:p w:rsidRPr="00D40A32" w:rsidR="00B86A12" w:rsidRDefault="00000000" w14:paraId="06AA487C" w14:textId="77777777">
            <w:pPr>
              <w:rPr>
                <w:sz w:val="20"/>
                <w:szCs w:val="20"/>
              </w:rPr>
            </w:pPr>
            <w:r>
              <w:rPr>
                <w:b/>
                <w:sz w:val="20"/>
                <w:szCs w:val="20"/>
              </w:rPr>
              <w:t>N ZIPs</w:t>
            </w:r>
          </w:p>
        </w:tc>
        <w:tc>
          <w:tcPr>
            <w:tcW w:w="990" w:type="dxa"/>
            <w:tcMar/>
          </w:tcPr>
          <w:p w:rsidRPr="00D40A32" w:rsidR="00B86A12" w:rsidRDefault="00000000" w14:paraId="4DAB83C7" w14:textId="77777777">
            <w:pPr>
              <w:rPr>
                <w:sz w:val="20"/>
                <w:szCs w:val="20"/>
              </w:rPr>
            </w:pPr>
            <w:r>
              <w:rPr>
                <w:b/>
                <w:sz w:val="20"/>
                <w:szCs w:val="20"/>
              </w:rPr>
              <w:t>Income</w:t>
            </w:r>
          </w:p>
        </w:tc>
        <w:tc>
          <w:tcPr>
            <w:tcW w:w="900" w:type="dxa"/>
            <w:tcMar/>
          </w:tcPr>
          <w:p w:rsidRPr="00D40A32" w:rsidR="00B86A12" w:rsidRDefault="00000000" w14:paraId="47EB551D" w14:textId="77777777">
            <w:pPr>
              <w:rPr>
                <w:sz w:val="20"/>
                <w:szCs w:val="20"/>
              </w:rPr>
            </w:pPr>
            <w:r>
              <w:rPr>
                <w:b/>
                <w:sz w:val="20"/>
                <w:szCs w:val="20"/>
              </w:rPr>
              <w:t>Poverty</w:t>
            </w:r>
          </w:p>
        </w:tc>
        <w:tc>
          <w:tcPr>
            <w:tcW w:w="720" w:type="dxa"/>
            <w:tcMar/>
          </w:tcPr>
          <w:p w:rsidRPr="00D40A32" w:rsidR="00B86A12" w:rsidRDefault="00000000" w14:paraId="2A2D21FD" w14:textId="77777777">
            <w:pPr>
              <w:rPr>
                <w:sz w:val="20"/>
                <w:szCs w:val="20"/>
              </w:rPr>
            </w:pPr>
            <w:r>
              <w:rPr>
                <w:b/>
                <w:sz w:val="20"/>
                <w:szCs w:val="20"/>
              </w:rPr>
              <w:t>Black</w:t>
            </w:r>
          </w:p>
        </w:tc>
        <w:tc>
          <w:tcPr>
            <w:tcW w:w="990" w:type="dxa"/>
            <w:tcMar/>
          </w:tcPr>
          <w:p w:rsidRPr="00D40A32" w:rsidR="00B86A12" w:rsidRDefault="00000000" w14:paraId="207DA255" w14:textId="77777777">
            <w:pPr>
              <w:rPr>
                <w:sz w:val="20"/>
                <w:szCs w:val="20"/>
              </w:rPr>
            </w:pPr>
            <w:r>
              <w:rPr>
                <w:b/>
                <w:sz w:val="20"/>
                <w:szCs w:val="20"/>
              </w:rPr>
              <w:t>Hispanic</w:t>
            </w:r>
          </w:p>
        </w:tc>
        <w:tc>
          <w:tcPr>
            <w:tcW w:w="810" w:type="dxa"/>
            <w:tcMar/>
          </w:tcPr>
          <w:p w:rsidRPr="00D40A32" w:rsidR="00B86A12" w:rsidRDefault="00000000" w14:paraId="0EC94BEE" w14:textId="77777777">
            <w:pPr>
              <w:rPr>
                <w:sz w:val="20"/>
                <w:szCs w:val="20"/>
              </w:rPr>
            </w:pPr>
            <w:r>
              <w:rPr>
                <w:b/>
                <w:sz w:val="20"/>
                <w:szCs w:val="20"/>
              </w:rPr>
              <w:t>Asian</w:t>
            </w:r>
          </w:p>
        </w:tc>
        <w:tc>
          <w:tcPr>
            <w:tcW w:w="1260" w:type="dxa"/>
            <w:tcMar/>
          </w:tcPr>
          <w:p w:rsidRPr="00D40A32" w:rsidR="00B86A12" w:rsidRDefault="00000000" w14:paraId="5B72B403" w14:textId="77777777">
            <w:pPr>
              <w:rPr>
                <w:sz w:val="20"/>
                <w:szCs w:val="20"/>
              </w:rPr>
            </w:pPr>
            <w:r>
              <w:rPr>
                <w:b/>
                <w:sz w:val="20"/>
                <w:szCs w:val="20"/>
              </w:rPr>
              <w:t>Residual white/other share</w:t>
            </w:r>
          </w:p>
        </w:tc>
        <w:tc>
          <w:tcPr>
            <w:tcW w:w="630" w:type="dxa"/>
            <w:tcMar/>
          </w:tcPr>
          <w:p w:rsidRPr="00D40A32" w:rsidR="00B86A12" w:rsidRDefault="00000000" w14:paraId="5A70CD07" w14:textId="77777777">
            <w:pPr>
              <w:rPr>
                <w:sz w:val="20"/>
                <w:szCs w:val="20"/>
              </w:rPr>
            </w:pPr>
            <w:r>
              <w:rPr>
                <w:b/>
                <w:sz w:val="20"/>
                <w:szCs w:val="20"/>
              </w:rPr>
              <w:t>PV / 1k</w:t>
            </w:r>
          </w:p>
        </w:tc>
        <w:tc>
          <w:tcPr>
            <w:tcW w:w="900" w:type="dxa"/>
            <w:tcMar/>
          </w:tcPr>
          <w:p w:rsidRPr="00D40A32" w:rsidR="00B86A12" w:rsidRDefault="00000000" w14:paraId="34765BA3" w14:textId="77777777">
            <w:pPr>
              <w:rPr>
                <w:sz w:val="20"/>
                <w:szCs w:val="20"/>
              </w:rPr>
            </w:pPr>
            <w:r>
              <w:rPr>
                <w:b/>
                <w:sz w:val="20"/>
                <w:szCs w:val="20"/>
              </w:rPr>
              <w:t>Storage / 100k</w:t>
            </w:r>
          </w:p>
        </w:tc>
        <w:tc>
          <w:tcPr>
            <w:tcW w:w="1075" w:type="dxa"/>
            <w:tcMar/>
          </w:tcPr>
          <w:p w:rsidRPr="00D40A32" w:rsidR="00B86A12" w:rsidRDefault="00000000" w14:paraId="3BA64ABE" w14:textId="77777777">
            <w:pPr>
              <w:rPr>
                <w:sz w:val="20"/>
                <w:szCs w:val="20"/>
              </w:rPr>
            </w:pPr>
            <w:r>
              <w:rPr>
                <w:b/>
                <w:sz w:val="20"/>
                <w:szCs w:val="20"/>
              </w:rPr>
              <w:t>Chargers / 1k</w:t>
            </w:r>
          </w:p>
        </w:tc>
      </w:tr>
      <w:tr w:rsidR="00B86A12" w:rsidTr="3DC018EE" w14:paraId="325FEC98" w14:textId="77777777">
        <w:tc>
          <w:tcPr>
            <w:tcW w:w="1075" w:type="dxa"/>
            <w:tcMar/>
          </w:tcPr>
          <w:p w:rsidR="00B86A12" w:rsidRDefault="00000000" w14:paraId="67DFFE60" w14:textId="7EC740AC">
            <w:r w:rsidR="00000000">
              <w:rPr/>
              <w:t>Cluster 1</w:t>
            </w:r>
          </w:p>
        </w:tc>
        <w:tc>
          <w:tcPr>
            <w:tcW w:w="720" w:type="dxa"/>
            <w:tcMar/>
          </w:tcPr>
          <w:p>
            <w:r>
              <w:t>222</w:t>
            </w:r>
          </w:p>
        </w:tc>
        <w:tc>
          <w:tcPr>
            <w:tcW w:w="990" w:type="dxa"/>
            <w:tcMar/>
          </w:tcPr>
          <w:p>
            <w:r>
              <w:t>$61.3k</w:t>
            </w:r>
          </w:p>
        </w:tc>
        <w:tc>
          <w:tcPr>
            <w:tcW w:w="900" w:type="dxa"/>
            <w:tcMar/>
          </w:tcPr>
          <w:p>
            <w:r>
              <w:t>20.5%</w:t>
            </w:r>
          </w:p>
        </w:tc>
        <w:tc>
          <w:tcPr>
            <w:tcW w:w="720" w:type="dxa"/>
            <w:tcMar/>
          </w:tcPr>
          <w:p>
            <w:r>
              <w:t>3.5%</w:t>
            </w:r>
          </w:p>
        </w:tc>
        <w:tc>
          <w:tcPr>
            <w:tcW w:w="990" w:type="dxa"/>
            <w:tcMar/>
          </w:tcPr>
          <w:p>
            <w:r>
              <w:t>60.4%</w:t>
            </w:r>
          </w:p>
        </w:tc>
        <w:tc>
          <w:tcPr>
            <w:tcW w:w="810" w:type="dxa"/>
            <w:tcMar/>
          </w:tcPr>
          <w:p>
            <w:r>
              <w:t>3.5%</w:t>
            </w:r>
          </w:p>
        </w:tc>
        <w:tc>
          <w:tcPr>
            <w:tcW w:w="1260" w:type="dxa"/>
            <w:tcMar/>
          </w:tcPr>
          <w:p>
            <w:r>
              <w:t>32.6%</w:t>
            </w:r>
          </w:p>
        </w:tc>
        <w:tc>
          <w:tcPr>
            <w:tcW w:w="630" w:type="dxa"/>
            <w:tcMar/>
          </w:tcPr>
          <w:p>
            <w:r>
              <w:t>1.02</w:t>
            </w:r>
          </w:p>
        </w:tc>
        <w:tc>
          <w:tcPr>
            <w:tcW w:w="900" w:type="dxa"/>
            <w:tcMar/>
          </w:tcPr>
          <w:p>
            <w:r>
              <w:t>5.34</w:t>
            </w:r>
          </w:p>
        </w:tc>
        <w:tc>
          <w:tcPr>
            <w:tcW w:w="1075" w:type="dxa"/>
            <w:tcMar/>
          </w:tcPr>
          <w:p>
            <w:r>
              <w:t>1.46</w:t>
            </w:r>
          </w:p>
        </w:tc>
      </w:tr>
      <w:tr w:rsidR="00B86A12" w:rsidTr="3DC018EE" w14:paraId="110F5E7D" w14:textId="77777777">
        <w:tc>
          <w:tcPr>
            <w:tcW w:w="1075" w:type="dxa"/>
            <w:tcMar/>
          </w:tcPr>
          <w:p w:rsidR="00B86A12" w:rsidRDefault="00000000" w14:paraId="250458B7" w14:textId="636BCC6B">
            <w:r w:rsidR="00000000">
              <w:rPr/>
              <w:t>Cluster 2</w:t>
            </w:r>
          </w:p>
        </w:tc>
        <w:tc>
          <w:tcPr>
            <w:tcW w:w="720" w:type="dxa"/>
            <w:tcMar/>
          </w:tcPr>
          <w:p>
            <w:r>
              <w:t>222</w:t>
            </w:r>
          </w:p>
        </w:tc>
        <w:tc>
          <w:tcPr>
            <w:tcW w:w="990" w:type="dxa"/>
            <w:tcMar/>
          </w:tcPr>
          <w:p>
            <w:r>
              <w:t>$72.5k</w:t>
            </w:r>
          </w:p>
        </w:tc>
        <w:tc>
          <w:tcPr>
            <w:tcW w:w="900" w:type="dxa"/>
            <w:tcMar/>
          </w:tcPr>
          <w:p>
            <w:r>
              <w:t>17.2%</w:t>
            </w:r>
          </w:p>
        </w:tc>
        <w:tc>
          <w:tcPr>
            <w:tcW w:w="720" w:type="dxa"/>
            <w:tcMar/>
          </w:tcPr>
          <w:p>
            <w:r>
              <w:t>8.4%</w:t>
            </w:r>
          </w:p>
        </w:tc>
        <w:tc>
          <w:tcPr>
            <w:tcW w:w="990" w:type="dxa"/>
            <w:tcMar/>
          </w:tcPr>
          <w:p>
            <w:r>
              <w:t>55.2%</w:t>
            </w:r>
          </w:p>
        </w:tc>
        <w:tc>
          <w:tcPr>
            <w:tcW w:w="810" w:type="dxa"/>
            <w:tcMar/>
          </w:tcPr>
          <w:p>
            <w:r>
              <w:t>12.5%</w:t>
            </w:r>
          </w:p>
        </w:tc>
        <w:tc>
          <w:tcPr>
            <w:tcW w:w="1260" w:type="dxa"/>
            <w:tcMar/>
          </w:tcPr>
          <w:p>
            <w:r>
              <w:t>23.9%</w:t>
            </w:r>
          </w:p>
        </w:tc>
        <w:tc>
          <w:tcPr>
            <w:tcW w:w="630" w:type="dxa"/>
            <w:tcMar/>
          </w:tcPr>
          <w:p>
            <w:r>
              <w:t>0.22</w:t>
            </w:r>
          </w:p>
        </w:tc>
        <w:tc>
          <w:tcPr>
            <w:tcW w:w="900" w:type="dxa"/>
            <w:tcMar/>
          </w:tcPr>
          <w:p>
            <w:r>
              <w:t>3.15</w:t>
            </w:r>
          </w:p>
        </w:tc>
        <w:tc>
          <w:tcPr>
            <w:tcW w:w="1075" w:type="dxa"/>
            <w:tcMar/>
          </w:tcPr>
          <w:p>
            <w:r>
              <w:t>1.84</w:t>
            </w:r>
          </w:p>
        </w:tc>
      </w:tr>
      <w:tr w:rsidR="00B86A12" w:rsidTr="3DC018EE" w14:paraId="7B3AF64D" w14:textId="77777777">
        <w:tc>
          <w:tcPr>
            <w:tcW w:w="1075" w:type="dxa"/>
            <w:tcMar/>
          </w:tcPr>
          <w:p w:rsidR="00B86A12" w:rsidRDefault="00000000" w14:paraId="15A8A599" w14:textId="61BC0D1A">
            <w:r w:rsidR="00000000">
              <w:rPr/>
              <w:t>Cluster 3</w:t>
            </w:r>
          </w:p>
        </w:tc>
        <w:tc>
          <w:tcPr>
            <w:tcW w:w="720" w:type="dxa"/>
            <w:tcMar/>
          </w:tcPr>
          <w:p>
            <w:r>
              <w:t>250</w:t>
            </w:r>
          </w:p>
        </w:tc>
        <w:tc>
          <w:tcPr>
            <w:tcW w:w="990" w:type="dxa"/>
            <w:tcMar/>
          </w:tcPr>
          <w:p>
            <w:r>
              <w:t>$86.1k</w:t>
            </w:r>
          </w:p>
        </w:tc>
        <w:tc>
          <w:tcPr>
            <w:tcW w:w="900" w:type="dxa"/>
            <w:tcMar/>
          </w:tcPr>
          <w:p>
            <w:r>
              <w:t>11.2%</w:t>
            </w:r>
          </w:p>
        </w:tc>
        <w:tc>
          <w:tcPr>
            <w:tcW w:w="720" w:type="dxa"/>
            <w:tcMar/>
          </w:tcPr>
          <w:p>
            <w:r>
              <w:t>1.3%</w:t>
            </w:r>
          </w:p>
        </w:tc>
        <w:tc>
          <w:tcPr>
            <w:tcW w:w="990" w:type="dxa"/>
            <w:tcMar/>
          </w:tcPr>
          <w:p>
            <w:r>
              <w:t>21.4%</w:t>
            </w:r>
          </w:p>
        </w:tc>
        <w:tc>
          <w:tcPr>
            <w:tcW w:w="810" w:type="dxa"/>
            <w:tcMar/>
          </w:tcPr>
          <w:p>
            <w:r>
              <w:t>2.2%</w:t>
            </w:r>
          </w:p>
        </w:tc>
        <w:tc>
          <w:tcPr>
            <w:tcW w:w="1260" w:type="dxa"/>
            <w:tcMar/>
          </w:tcPr>
          <w:p>
            <w:r>
              <w:t>75.1%</w:t>
            </w:r>
          </w:p>
        </w:tc>
        <w:tc>
          <w:tcPr>
            <w:tcW w:w="630" w:type="dxa"/>
            <w:tcMar/>
          </w:tcPr>
          <w:p>
            <w:r>
              <w:t>0.85</w:t>
            </w:r>
          </w:p>
        </w:tc>
        <w:tc>
          <w:tcPr>
            <w:tcW w:w="900" w:type="dxa"/>
            <w:tcMar/>
          </w:tcPr>
          <w:p>
            <w:r>
              <w:t>13.14</w:t>
            </w:r>
          </w:p>
        </w:tc>
        <w:tc>
          <w:tcPr>
            <w:tcW w:w="1075" w:type="dxa"/>
            <w:tcMar/>
          </w:tcPr>
          <w:p>
            <w:r>
              <w:t>1.53</w:t>
            </w:r>
          </w:p>
        </w:tc>
      </w:tr>
      <w:tr w:rsidR="00B86A12" w:rsidTr="3DC018EE" w14:paraId="7361E314" w14:textId="77777777">
        <w:tc>
          <w:tcPr>
            <w:tcW w:w="1075" w:type="dxa"/>
            <w:tcMar/>
          </w:tcPr>
          <w:p w:rsidR="00B86A12" w:rsidRDefault="00000000" w14:paraId="2007D60B" w14:textId="16755E7F">
            <w:r w:rsidR="00000000">
              <w:rPr/>
              <w:t>Cluster 4</w:t>
            </w:r>
          </w:p>
        </w:tc>
        <w:tc>
          <w:tcPr>
            <w:tcW w:w="720" w:type="dxa"/>
            <w:tcMar/>
          </w:tcPr>
          <w:p>
            <w:r>
              <w:t>349</w:t>
            </w:r>
          </w:p>
        </w:tc>
        <w:tc>
          <w:tcPr>
            <w:tcW w:w="990" w:type="dxa"/>
            <w:tcMar/>
          </w:tcPr>
          <w:p>
            <w:r>
              <w:t>$106.0k</w:t>
            </w:r>
          </w:p>
        </w:tc>
        <w:tc>
          <w:tcPr>
            <w:tcW w:w="900" w:type="dxa"/>
            <w:tcMar/>
          </w:tcPr>
          <w:p>
            <w:r>
              <w:t>9.3%</w:t>
            </w:r>
          </w:p>
        </w:tc>
        <w:tc>
          <w:tcPr>
            <w:tcW w:w="720" w:type="dxa"/>
            <w:tcMar/>
          </w:tcPr>
          <w:p>
            <w:r>
              <w:t>4.9%</w:t>
            </w:r>
          </w:p>
        </w:tc>
        <w:tc>
          <w:tcPr>
            <w:tcW w:w="990" w:type="dxa"/>
            <w:tcMar/>
          </w:tcPr>
          <w:p>
            <w:r>
              <w:t>33.1%</w:t>
            </w:r>
          </w:p>
        </w:tc>
        <w:tc>
          <w:tcPr>
            <w:tcW w:w="810" w:type="dxa"/>
            <w:tcMar/>
          </w:tcPr>
          <w:p>
            <w:r>
              <w:t>14.2%</w:t>
            </w:r>
          </w:p>
        </w:tc>
        <w:tc>
          <w:tcPr>
            <w:tcW w:w="1260" w:type="dxa"/>
            <w:tcMar/>
          </w:tcPr>
          <w:p>
            <w:r>
              <w:t>47.9%</w:t>
            </w:r>
          </w:p>
        </w:tc>
        <w:tc>
          <w:tcPr>
            <w:tcW w:w="630" w:type="dxa"/>
            <w:tcMar/>
          </w:tcPr>
          <w:p>
            <w:r>
              <w:t>0.51</w:t>
            </w:r>
          </w:p>
        </w:tc>
        <w:tc>
          <w:tcPr>
            <w:tcW w:w="900" w:type="dxa"/>
            <w:tcMar/>
          </w:tcPr>
          <w:p>
            <w:r>
              <w:t>5.85</w:t>
            </w:r>
          </w:p>
        </w:tc>
        <w:tc>
          <w:tcPr>
            <w:tcW w:w="1075" w:type="dxa"/>
            <w:tcMar/>
          </w:tcPr>
          <w:p>
            <w:r>
              <w:t>1.10</w:t>
            </w:r>
          </w:p>
        </w:tc>
      </w:tr>
      <w:tr w:rsidR="00B86A12" w:rsidTr="3DC018EE" w14:paraId="62944C25" w14:textId="77777777">
        <w:tc>
          <w:tcPr>
            <w:tcW w:w="1075" w:type="dxa"/>
            <w:tcMar/>
          </w:tcPr>
          <w:p w:rsidR="00B86A12" w:rsidRDefault="00000000" w14:paraId="0D517400" w14:textId="7299CAF2">
            <w:r w:rsidR="00000000">
              <w:rPr/>
              <w:t>Cluster 5</w:t>
            </w:r>
          </w:p>
        </w:tc>
        <w:tc>
          <w:tcPr>
            <w:tcW w:w="720" w:type="dxa"/>
            <w:tcMar/>
          </w:tcPr>
          <w:p>
            <w:r>
              <w:t>174</w:t>
            </w:r>
          </w:p>
        </w:tc>
        <w:tc>
          <w:tcPr>
            <w:tcW w:w="990" w:type="dxa"/>
            <w:tcMar/>
          </w:tcPr>
          <w:p>
            <w:r>
              <w:t>$132.6k</w:t>
            </w:r>
          </w:p>
        </w:tc>
        <w:tc>
          <w:tcPr>
            <w:tcW w:w="900" w:type="dxa"/>
            <w:tcMar/>
          </w:tcPr>
          <w:p>
            <w:r>
              <w:t>9.6%</w:t>
            </w:r>
          </w:p>
        </w:tc>
        <w:tc>
          <w:tcPr>
            <w:tcW w:w="720" w:type="dxa"/>
            <w:tcMar/>
          </w:tcPr>
          <w:p>
            <w:r>
              <w:t>4.8%</w:t>
            </w:r>
          </w:p>
        </w:tc>
        <w:tc>
          <w:tcPr>
            <w:tcW w:w="990" w:type="dxa"/>
            <w:tcMar/>
          </w:tcPr>
          <w:p>
            <w:r>
              <w:t>18.0%</w:t>
            </w:r>
          </w:p>
        </w:tc>
        <w:tc>
          <w:tcPr>
            <w:tcW w:w="810" w:type="dxa"/>
            <w:tcMar/>
          </w:tcPr>
          <w:p>
            <w:r>
              <w:t>26.2%</w:t>
            </w:r>
          </w:p>
        </w:tc>
        <w:tc>
          <w:tcPr>
            <w:tcW w:w="1260" w:type="dxa"/>
            <w:tcMar/>
          </w:tcPr>
          <w:p>
            <w:r>
              <w:t>51.0%</w:t>
            </w:r>
          </w:p>
        </w:tc>
        <w:tc>
          <w:tcPr>
            <w:tcW w:w="630" w:type="dxa"/>
            <w:tcMar/>
          </w:tcPr>
          <w:p>
            <w:r>
              <w:t>0.25</w:t>
            </w:r>
          </w:p>
        </w:tc>
        <w:tc>
          <w:tcPr>
            <w:tcW w:w="900" w:type="dxa"/>
            <w:tcMar/>
          </w:tcPr>
          <w:p>
            <w:r>
              <w:t>4.14</w:t>
            </w:r>
          </w:p>
        </w:tc>
        <w:tc>
          <w:tcPr>
            <w:tcW w:w="1075" w:type="dxa"/>
            <w:tcMar/>
          </w:tcPr>
          <w:p>
            <w:r>
              <w:t>4.61</w:t>
            </w:r>
          </w:p>
        </w:tc>
      </w:tr>
      <w:tr w:rsidR="00B86A12" w:rsidTr="3DC018EE" w14:paraId="1DEC92C2" w14:textId="77777777">
        <w:trPr>
          <w:trHeight w:val="300"/>
        </w:trPr>
        <w:tc>
          <w:tcPr>
            <w:tcW w:w="1075" w:type="dxa"/>
            <w:tcMar/>
          </w:tcPr>
          <w:p w:rsidR="00B86A12" w:rsidRDefault="00000000" w14:paraId="5DA06417" w14:textId="77777777">
            <w:r w:rsidR="00000000">
              <w:rPr/>
              <w:t>Cluster 6</w:t>
            </w:r>
          </w:p>
        </w:tc>
        <w:tc>
          <w:tcPr>
            <w:tcW w:w="720" w:type="dxa"/>
            <w:tcMar/>
          </w:tcPr>
          <w:p>
            <w:r>
              <w:t>173</w:t>
            </w:r>
          </w:p>
        </w:tc>
        <w:tc>
          <w:tcPr>
            <w:tcW w:w="990" w:type="dxa"/>
            <w:tcMar/>
          </w:tcPr>
          <w:p>
            <w:r>
              <w:t>$166.8k</w:t>
            </w:r>
          </w:p>
        </w:tc>
        <w:tc>
          <w:tcPr>
            <w:tcW w:w="900" w:type="dxa"/>
            <w:tcMar/>
          </w:tcPr>
          <w:p>
            <w:r>
              <w:t>6.2%</w:t>
            </w:r>
          </w:p>
        </w:tc>
        <w:tc>
          <w:tcPr>
            <w:tcW w:w="720" w:type="dxa"/>
            <w:tcMar/>
          </w:tcPr>
          <w:p>
            <w:r>
              <w:t>1.8%</w:t>
            </w:r>
          </w:p>
        </w:tc>
        <w:tc>
          <w:tcPr>
            <w:tcW w:w="990" w:type="dxa"/>
            <w:tcMar/>
          </w:tcPr>
          <w:p>
            <w:r>
              <w:t>14.6%</w:t>
            </w:r>
          </w:p>
        </w:tc>
        <w:tc>
          <w:tcPr>
            <w:tcW w:w="810" w:type="dxa"/>
            <w:tcMar/>
          </w:tcPr>
          <w:p>
            <w:r>
              <w:t>16.9%</w:t>
            </w:r>
          </w:p>
        </w:tc>
        <w:tc>
          <w:tcPr>
            <w:tcW w:w="1260" w:type="dxa"/>
            <w:tcMar/>
          </w:tcPr>
          <w:p>
            <w:r>
              <w:t>66.6%</w:t>
            </w:r>
          </w:p>
        </w:tc>
        <w:tc>
          <w:tcPr>
            <w:tcW w:w="630" w:type="dxa"/>
            <w:tcMar/>
          </w:tcPr>
          <w:p>
            <w:r>
              <w:t>0.64</w:t>
            </w:r>
          </w:p>
        </w:tc>
        <w:tc>
          <w:tcPr>
            <w:tcW w:w="900" w:type="dxa"/>
            <w:tcMar/>
          </w:tcPr>
          <w:p>
            <w:r>
              <w:t>15.68</w:t>
            </w:r>
          </w:p>
        </w:tc>
        <w:tc>
          <w:tcPr>
            <w:tcW w:w="1075" w:type="dxa"/>
            <w:tcMar/>
          </w:tcPr>
          <w:p>
            <w:r>
              <w:t>2.55</w:t>
            </w:r>
          </w:p>
        </w:tc>
      </w:tr>
    </w:tbl>
    <w:p w:rsidR="00B86A12" w:rsidRDefault="00B86A12" w14:paraId="6E3A2026" w14:textId="77777777"/>
    <w:p w:rsidR="00B86A12" w:rsidRDefault="00000000" w14:paraId="46F0438C" w14:textId="77777777">
      <w:pPr>
        <w:pStyle w:val="Heading2"/>
        <w:numPr>
          <w:ilvl w:val="1"/>
          <w:numId w:val="11"/>
        </w:numPr>
      </w:pPr>
      <w:bookmarkStart w:name="_Ref_sec_r_wind" w:id="9419"/>
      <w:r>
        <w:t>Wind as a contextual comparison outcome</w:t>
      </w:r>
      <w:bookmarkEnd w:id="9419"/>
    </w:p>
    <w:p w:rsidR="00B86A12" w:rsidRDefault="00000000" w14:paraId="0B78958D" w14:textId="7874BCCA">
      <w:r>
        <w:t>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cross-validated model comparison for wind is reported in Figure 20. The paper therefore does not foreground the binary turbine-presence outcome in the reported results.</w:t>
      </w:r>
    </w:p>
    <w:p w:rsidR="00B140D9" w:rsidP="00B140D9" w:rsidRDefault="008F65ED" w14:paraId="6BF85EE9" w14:textId="77777777">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rsidR="00B86A12" w:rsidP="00B140D9" w:rsidRDefault="00B140D9" w14:paraId="2C0DEE82" w14:textId="28C98A86">
      <w:pPr>
        <w:pStyle w:val="Caption"/>
        <w:jc w:val="center"/>
      </w:pPr>
      <w:r>
        <w:t>Figure 16: Standardized robustness summary for y_wind_mw, included mainly as contextual evidence rather than as a headline equity result.</w:t>
      </w:r>
    </w:p>
    <w:p w:rsidR="00B86A12" w:rsidRDefault="00000000" w14:paraId="3054E7EA" w14:textId="77777777">
      <w:pPr>
        <w:pStyle w:val="Heading2"/>
        <w:numPr>
          <w:ilvl w:val="1"/>
          <w:numId w:val="11"/>
        </w:numPr>
      </w:pPr>
      <w:bookmarkStart w:name="_Ref_sec_r_overall" w:id="9420"/>
      <w:r>
        <w:t>Overall interpretation</w:t>
      </w:r>
      <w:bookmarkEnd w:id="9420"/>
    </w:p>
    <w:p w:rsidR="00B86A12" w:rsidRDefault="00000000" w14:paraId="4451CCA1" w14:textId="77777777">
      <w:r w:rsidR="00000000">
        <w:rPr/>
        <w:t>Taken together, the results</w:t>
      </w:r>
      <w:r w:rsidR="00000000">
        <w:rPr/>
        <w:t xml:space="preserve"> summarized in </w:t>
      </w:r>
      <w:r>
        <w:fldChar w:fldCharType="begin"/>
      </w:r>
      <w:r>
        <w:instrText xml:space="preserve"> REF _Ref_fig4 \h </w:instrText>
      </w:r>
      <w:r>
        <w:fldChar w:fldCharType="separate"/>
      </w:r>
      <w:r w:rsidR="00000000">
        <w:rPr/>
        <w:t>Figure 4</w:t>
      </w:r>
      <w:r>
        <w:fldChar w:fldCharType="end"/>
      </w:r>
      <w:r w:rsidR="00000000">
        <w:rPr/>
        <w:t xml:space="preserve"> and </w:t>
      </w:r>
      <w:r>
        <w:fldChar w:fldCharType="begin"/>
      </w:r>
      <w:r>
        <w:instrText xml:space="preserve"> REF _Ref_fig5 \h </w:instrText>
      </w:r>
      <w:r>
        <w:fldChar w:fldCharType="separate"/>
      </w:r>
      <w:r w:rsidR="00000000">
        <w:rPr/>
        <w:t>Figure 5</w:t>
      </w:r>
      <w:r>
        <w:fldChar w:fldCharType="end"/>
      </w:r>
      <w:r w:rsidR="00000000">
        <w:rPr/>
        <w:t xml:space="preserve"> suggest that inequity in California’s DER transition</w:t>
      </w:r>
      <w:r w:rsidR="00000000">
        <w:rPr/>
        <w:t xml:space="preserve">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rsidR="00B86A12" w:rsidRDefault="00091F08" w14:paraId="1124276A" w14:textId="14CF00EE">
      <w:pPr>
        <w:pStyle w:val="Heading1"/>
        <w:numPr>
          <w:ilvl w:val="0"/>
          <w:numId w:val="11"/>
        </w:numPr>
      </w:pPr>
      <w:bookmarkStart w:name="_Ref_sec_discussion" w:id="9421"/>
      <w:r>
        <w:t>Discussion</w:t>
      </w:r>
      <w:bookmarkEnd w:id="9421"/>
    </w:p>
    <w:p w:rsidR="00B86A12" w:rsidRDefault="00091F08" w14:paraId="3308C8B4" w14:textId="54A9FFC1">
      <w:pPr>
        <w:pStyle w:val="Heading2"/>
        <w:numPr>
          <w:ilvl w:val="1"/>
          <w:numId w:val="11"/>
        </w:numPr>
      </w:pPr>
      <w:r>
        <w:t>What persists and what changes across DER types</w:t>
      </w:r>
    </w:p>
    <w:p w:rsidR="00B86A12" w:rsidRDefault="00000000" w14:paraId="730867E5" w14:textId="4A09D824">
      <w:r w:rsidR="00000000">
        <w:rPr/>
        <w:t>The most important substantive finding is that the clean energy transition does not reproduce inequality in the same way across technologies</w:t>
      </w:r>
      <w:r w:rsidR="00000000">
        <w:rPr/>
        <w:t xml:space="preserve"> (Section </w:t>
      </w:r>
      <w:r>
        <w:fldChar w:fldCharType="begin"/>
      </w:r>
      <w:r>
        <w:instrText xml:space="preserve"> REF _Ref_sec_r_baseline \r \h </w:instrText>
      </w:r>
      <w:r>
        <w:fldChar w:fldCharType="separate"/>
      </w:r>
      <w:r w:rsidR="00000000">
        <w:rPr/>
        <w:t>4.1</w:t>
      </w:r>
      <w:r>
        <w:fldChar w:fldCharType="end"/>
      </w:r>
      <w:r w:rsidR="00000000">
        <w:rPr/>
        <w:t>)</w:t>
      </w:r>
      <w:r w:rsidR="00000000">
        <w:rPr/>
        <w:t>.</w:t>
      </w:r>
      <w:r w:rsidR="00000000">
        <w:rPr/>
        <w:t xml:space="preserve"> </w:t>
      </w:r>
      <w:r w:rsidR="00000000">
        <w:rPr/>
        <w:t>Solar PV shows persistent racial and socioeconomic patterning</w:t>
      </w:r>
      <w:r w:rsidR="00000000">
        <w:rPr/>
        <w:t xml:space="preserve"> (Section </w:t>
      </w:r>
      <w:r>
        <w:fldChar w:fldCharType="begin"/>
      </w:r>
      <w:r>
        <w:instrText xml:space="preserve"> REF _Ref_sec_r_pv \r \h </w:instrText>
      </w:r>
      <w:r>
        <w:fldChar w:fldCharType="separate"/>
      </w:r>
      <w:r w:rsidR="00000000">
        <w:rPr/>
        <w:t>4.2</w:t>
      </w:r>
      <w:r>
        <w:fldChar w:fldCharType="end"/>
      </w:r>
      <w:r w:rsidR="00000000">
        <w:rPr/>
        <w:t>)</w:t>
      </w:r>
      <w:r w:rsidR="00000000">
        <w:rPr/>
        <w:t>, but storage appears even more unequal and more stable across specifications</w:t>
      </w:r>
      <w:r w:rsidR="00000000">
        <w:rPr/>
        <w:t xml:space="preserve"> (Section </w:t>
      </w:r>
      <w:r>
        <w:fldChar w:fldCharType="begin"/>
      </w:r>
      <w:r>
        <w:instrText xml:space="preserve"> REF _Ref_sec_r_storage \r \h </w:instrText>
      </w:r>
      <w:r>
        <w:fldChar w:fldCharType="separate"/>
      </w:r>
      <w:r w:rsidR="00000000">
        <w:rPr/>
        <w:t>4.3</w:t>
      </w:r>
      <w:r>
        <w:fldChar w:fldCharType="end"/>
      </w:r>
      <w:r w:rsidR="00000000">
        <w:rPr/>
        <w:t>)</w:t>
      </w:r>
      <w:r w:rsidR="00000000">
        <w:rPr/>
        <w:t>, including after conditioning on local PV deployment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w:t>
      </w:r>
      <w:r w:rsidR="00000000">
        <w:rPr/>
        <w:t xml:space="preserve"> </w:t>
      </w:r>
      <w:r w:rsidR="00000000">
        <w:rPr/>
        <w:t>EV charging, by contrast</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does not </w:t>
      </w:r>
      <w:r w:rsidR="00000000">
        <w:rPr/>
        <w:t>fit</w:t>
      </w:r>
      <w:r w:rsidR="00000000">
        <w:rPr/>
        <w:t xml:space="preserve"> a simple underserved-versus-served story.</w:t>
      </w:r>
      <w:r w:rsidR="00000000">
        <w:rPr/>
        <w:t xml:space="preserve"> Instead, the aggregate charging measure mixes together infrastructure types that likely serve different users and are governed by different </w:t>
      </w:r>
      <w:r w:rsidR="00000000">
        <w:rPr/>
        <w:t>siting</w:t>
      </w:r>
      <w:r w:rsidR="00000000">
        <w:rPr/>
        <w:t xml:space="preserve"> logics. The paper’s contribution is therefore not only to show that disparities exist, but to show that the meaning of those disparities’ changes by technology.</w:t>
      </w:r>
    </w:p>
    <w:p w:rsidR="00B86A12" w:rsidRDefault="00000000" w14:paraId="2486B979" w14:textId="77777777">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rsidR="00B86A12" w:rsidRDefault="00091F08" w14:paraId="5F862568" w14:textId="680D6DAC">
      <w:pPr>
        <w:pStyle w:val="Heading2"/>
        <w:numPr>
          <w:ilvl w:val="1"/>
          <w:numId w:val="11"/>
        </w:numPr>
      </w:pPr>
      <w:r>
        <w:t>Plausible mechanisms</w:t>
      </w:r>
    </w:p>
    <w:p w:rsidR="00B86A12" w:rsidRDefault="00000000" w14:paraId="3855E771" w14:textId="77777777">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rsidR="00B86A12" w:rsidRDefault="00000000" w14:paraId="529C99AA" w14:textId="77777777">
      <w:r w:rsidR="00000000">
        <w:rPr/>
        <w:t xml:space="preserve">The EV charging results point to a different </w:t>
      </w:r>
      <w:r w:rsidR="00000000">
        <w:rPr/>
        <w:t>mechanism</w:t>
      </w:r>
      <w:r w:rsidR="00000000">
        <w:rPr/>
        <w:t xml:space="preserve"> story. The positive poverty association </w:t>
      </w:r>
      <w:r w:rsidR="00000000">
        <w:rPr/>
        <w:t>in the aggregate</w:t>
      </w:r>
      <w:r w:rsidR="00000000">
        <w:rPr/>
        <w:t xml:space="preserve"> charging outcome </w:t>
      </w:r>
      <w:r w:rsidR="00000000">
        <w:rPr/>
        <w:t>is not visible for Level 1 charging and appears to be driven primarily by Level 2 charging</w:t>
      </w:r>
      <w:r w:rsidR="00000000">
        <w:rPr/>
        <w:t xml:space="preserve"> (</w:t>
      </w:r>
      <w:r>
        <w:fldChar w:fldCharType="begin"/>
      </w:r>
      <w:r>
        <w:instrText xml:space="preserve"> REF _Ref_fig9 \h </w:instrText>
      </w:r>
      <w:r>
        <w:fldChar w:fldCharType="separate"/>
      </w:r>
      <w:r w:rsidR="00000000">
        <w:rPr/>
        <w:t>Figure 9</w:t>
      </w:r>
      <w:r>
        <w:fldChar w:fldCharType="end"/>
      </w:r>
      <w:r w:rsidR="00000000">
        <w:rPr/>
        <w:t xml:space="preserve"> and </w:t>
      </w:r>
      <w:r>
        <w:fldChar w:fldCharType="begin"/>
      </w:r>
      <w:r>
        <w:instrText xml:space="preserve"> REF _Ref_tbl5 \h </w:instrText>
      </w:r>
      <w:r>
        <w:fldChar w:fldCharType="separate"/>
      </w:r>
      <w:r w:rsidR="00000000">
        <w:rPr/>
        <w:t>Table 5</w:t>
      </w:r>
      <w:r>
        <w:fldChar w:fldCharType="end"/>
      </w:r>
      <w:r w:rsidR="00000000">
        <w:rPr/>
        <w:t>)</w:t>
      </w:r>
      <w:r w:rsidR="00000000">
        <w:rPr/>
        <w:t>.</w:t>
      </w:r>
      <w:r w:rsidR="00000000">
        <w:rPr/>
        <w:t xml:space="preserve"> The refreshed baseline also makes the Black-share association much weaker than before, while the Hispanic-share coefficient </w:t>
      </w:r>
      <w:r w:rsidR="00000000">
        <w:rPr/>
        <w:t>remains</w:t>
      </w:r>
      <w:r w:rsidR="00000000">
        <w:rPr/>
        <w:t xml:space="preserve"> negative and the Asian-share coefficient is positive. That pattern is more consistent with charger composition and </w:t>
      </w:r>
      <w:r w:rsidR="00000000">
        <w:rPr/>
        <w:t>siting</w:t>
      </w:r>
      <w:r w:rsidR="00000000">
        <w:rPr/>
        <w:t xml:space="preserve"> than with broad household-serving access. A key implication is that aggregate charger counts are not neutral measures of </w:t>
      </w:r>
      <w:r w:rsidR="00000000">
        <w:rPr/>
        <w:t>equitable</w:t>
      </w:r>
      <w:r w:rsidR="00000000">
        <w:rPr/>
        <w:t xml:space="preserve"> access. They may capture infrastructure abundance in ways that overstate practical charging access for residents, especially where charger types and host settings differ.</w:t>
      </w:r>
    </w:p>
    <w:p w:rsidR="00B86A12" w:rsidRDefault="00000000" w14:paraId="5CBFF0C3" w14:textId="77777777">
      <w:r>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rsidR="00B86A12" w:rsidRDefault="00091F08" w14:paraId="4A845928" w14:textId="2762C318">
      <w:pPr>
        <w:pStyle w:val="Heading2"/>
        <w:numPr>
          <w:ilvl w:val="1"/>
          <w:numId w:val="11"/>
        </w:numPr>
      </w:pPr>
      <w:r>
        <w:t>Policy relevance</w:t>
      </w:r>
    </w:p>
    <w:p w:rsidR="00B86A12" w:rsidRDefault="00000000" w14:paraId="525D3816" w14:textId="3522DC70">
      <w:r>
        <w:t xml:space="preserve">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w:t>
        <w:lastRenderedPageBreak/>
      </w:r>
      <w:r>
        <w:t>deployments may need sharper equity targeting if storage benefits are to reach communities that face higher vulnerability to outages, wildfire-related shutoffs, and climate-related disruptions.</w:t>
      </w:r>
    </w:p>
    <w:p w:rsidR="00B86A12" w:rsidRDefault="00000000" w14:paraId="5D3D74B0" w14:textId="77777777">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rsidR="00B86A12" w:rsidRDefault="00091F08" w14:paraId="19B275D5" w14:textId="34A68354">
      <w:pPr>
        <w:pStyle w:val="Heading2"/>
        <w:numPr>
          <w:ilvl w:val="1"/>
          <w:numId w:val="11"/>
        </w:numPr>
      </w:pPr>
      <w:r>
        <w:t>Broader implications for energy burden and community resilience</w:t>
      </w:r>
    </w:p>
    <w:p w:rsidR="00B86A12" w:rsidRDefault="00000000" w14:paraId="6E5F2373" w14:textId="20F041BC">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rsidR="00B86A12" w:rsidRDefault="00000000" w14:paraId="52DFE006" w14:textId="77777777">
      <w:r w:rsidR="00000000">
        <w:rPr/>
        <w:t>The energy-burden connection differs by technology</w:t>
      </w:r>
      <w:r w:rsidR="00000000">
        <w:rPr/>
        <w:t xml:space="preserve"> (Section </w:t>
      </w:r>
      <w:r>
        <w:fldChar w:fldCharType="begin"/>
      </w:r>
      <w:r>
        <w:instrText xml:space="preserve"> REF _Ref_sec_r_burden \r \h </w:instrText>
      </w:r>
      <w:r>
        <w:fldChar w:fldCharType="separate"/>
      </w:r>
      <w:r w:rsidR="00000000">
        <w:rPr/>
        <w:t>4.5</w:t>
      </w:r>
      <w:r>
        <w:fldChar w:fldCharType="end"/>
      </w:r>
      <w:r w:rsidR="00000000">
        <w:rPr/>
        <w:t>)</w:t>
      </w:r>
      <w:r w:rsidR="00000000">
        <w:rPr/>
        <w:t>.</w:t>
      </w:r>
      <w:r w:rsidR="00000000">
        <w:rPr/>
        <w:t xml:space="preserve"> For rooftop PV, lower deployment in communities with larger Black and Asian population shares matters because PV is one of the main household-level pathways through which customers can reduce net electricity costs or hedge against future rate increases. </w:t>
      </w:r>
      <w:r w:rsidR="00000000">
        <w:rPr/>
        <w:t>For storage, the Model 9 result</w:t>
      </w:r>
      <w:r w:rsidR="00000000">
        <w:rPr/>
        <w:t xml:space="preserve"> (</w:t>
      </w:r>
      <w:r>
        <w:fldChar w:fldCharType="begin"/>
      </w:r>
      <w:r>
        <w:instrText xml:space="preserve"> REF _Ref_tbl4 \h </w:instrText>
      </w:r>
      <w:r>
        <w:fldChar w:fldCharType="separate"/>
      </w:r>
      <w:r w:rsidR="00000000">
        <w:rPr/>
        <w:t>Table 4</w:t>
      </w:r>
      <w:r>
        <w:fldChar w:fldCharType="end"/>
      </w:r>
      <w:r w:rsidR="00000000">
        <w:rPr/>
        <w:t>)</w:t>
      </w:r>
      <w:r w:rsidR="00000000">
        <w:rPr/>
        <w:t xml:space="preserve"> is especially relevant</w:t>
      </w:r>
      <w:r w:rsidR="00000000">
        <w:rPr/>
        <w:t xml:space="preserve">: even after conditioning on local PV deployment, storage disparities </w:t>
      </w:r>
      <w:r w:rsidR="00000000">
        <w:rPr/>
        <w:t>remain</w:t>
      </w:r>
      <w:r w:rsidR="00000000">
        <w:rPr/>
        <w:t xml:space="preserve">, which means the resilience benefit associated with backup power is not simply following solar access in </w:t>
      </w:r>
      <w:r w:rsidR="00000000">
        <w:rPr/>
        <w:t>an equitable</w:t>
      </w:r>
      <w:r w:rsidR="00000000">
        <w:rPr/>
        <w:t xml:space="preserve"> way. In high-burden communities, that can compound vulnerability because households may face both higher bill stress and weaker access to outage protection.</w:t>
      </w:r>
    </w:p>
    <w:p w:rsidR="00B86A12" w:rsidRDefault="00000000" w14:paraId="71A21992" w14:textId="77777777">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rsidR="00B86A12" w:rsidRDefault="00000000" w14:paraId="72BBFC9C" w14:textId="77777777">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rsidR="00614286" w:rsidP="00614286" w:rsidRDefault="00091F08" w14:paraId="3CB0D7E2" w14:textId="3BED856C">
      <w:pPr>
        <w:pStyle w:val="Heading2"/>
        <w:numPr>
          <w:ilvl w:val="1"/>
          <w:numId w:val="11"/>
        </w:numPr>
      </w:pPr>
      <w:r>
        <w:t>Potential policy measures to address inequities</w:t>
      </w:r>
    </w:p>
    <w:p w:rsidRPr="00614286" w:rsidR="00614286" w:rsidP="00614286" w:rsidRDefault="00614286" w14:paraId="67FAD764" w14:textId="297118C1">
      <w:r>
        <w:t xml:space="preserve">The results imply different levers for different actors, and different emphases by technology. The cross-technology divergence argues against a single “DER equity” mandate. PV, storage, and charging require distinct </w:t>
        <w:lastRenderedPageBreak/>
      </w:r>
      <w:r>
        <w:t>instruments, and measuring success by undifferentiated deployment counts risks mistaking infrastructure presence for equitable benefit.</w:t>
      </w:r>
    </w:p>
    <w:p w:rsidRPr="00614286" w:rsidR="00614286" w:rsidP="00614286" w:rsidRDefault="00614286" w14:paraId="19342C4C" w14:textId="77777777">
      <w:r w:rsidRPr="3DC018EE" w:rsidR="00614286">
        <w:rPr>
          <w:b w:val="1"/>
          <w:bCs w:val="1"/>
        </w:rPr>
        <w:t xml:space="preserve">Lawmakers and </w:t>
      </w:r>
      <w:r w:rsidRPr="3DC018EE" w:rsidR="00614286">
        <w:rPr>
          <w:b w:val="1"/>
          <w:bCs w:val="1"/>
        </w:rPr>
        <w:t>public-sector</w:t>
      </w:r>
      <w:r w:rsidRPr="3DC018EE" w:rsidR="00614286">
        <w:rPr>
          <w:b w:val="1"/>
          <w:bCs w:val="1"/>
        </w:rPr>
        <w:t xml:space="preserve"> agencies. </w:t>
      </w:r>
      <w:r w:rsidR="00614286">
        <w:rPr/>
        <w:t xml:space="preserve">Racial disparities persist after income controls, so eligibility rules keyed only to income or to generic “disadvantaged community” designations will miss communities that are underserved on race-correlated dimensions. Storage </w:t>
      </w:r>
      <w:r w:rsidR="00614286">
        <w:rPr/>
        <w:t>warrants</w:t>
      </w:r>
      <w:r w:rsidR="00614286">
        <w:rPr/>
        <w:t xml:space="preserve"> the sharpest </w:t>
      </w:r>
      <w:r w:rsidR="00614286">
        <w:rPr/>
        <w:t>targeting</w:t>
      </w:r>
      <w:r w:rsidR="00614286">
        <w:rPr/>
        <w:t xml:space="preserve">. Resilience rebates such as successors to SGIP, backup-power provisioning, and community-storage programs should weight toward communities exposed to outages and wildfire shutoffs, </w:t>
      </w:r>
      <w:r w:rsidR="00614286">
        <w:rPr/>
        <w:t>since the Model 9 result</w:t>
      </w:r>
      <w:r w:rsidR="00614286">
        <w:rPr/>
        <w:t xml:space="preserve"> (</w:t>
      </w:r>
      <w:r>
        <w:fldChar w:fldCharType="begin"/>
      </w:r>
      <w:r>
        <w:instrText xml:space="preserve"> REF _Ref_tbl4 \h </w:instrText>
      </w:r>
      <w:r>
        <w:fldChar w:fldCharType="separate"/>
      </w:r>
      <w:r w:rsidR="00614286">
        <w:rPr/>
        <w:t>Table 4</w:t>
      </w:r>
      <w:r>
        <w:fldChar w:fldCharType="end"/>
      </w:r>
      <w:r w:rsidR="00614286">
        <w:rPr/>
        <w:t>)</w:t>
      </w:r>
      <w:r w:rsidR="00614286">
        <w:rPr/>
        <w:t xml:space="preserve"> shows the storage gap does not follow PV access.</w:t>
      </w:r>
      <w:r w:rsidR="00614286">
        <w:rPr/>
        <w:t xml:space="preserve"> For charging, procurement targets should measure usable residential access through multifamily, curbside, and renter-serving deployment rather than aggregate charger counts, </w:t>
      </w:r>
      <w:r w:rsidR="00614286">
        <w:rPr/>
        <w:t>which the subtype results</w:t>
      </w:r>
      <w:r w:rsidR="00614286">
        <w:rPr/>
        <w:t xml:space="preserve"> (</w:t>
      </w:r>
      <w:r>
        <w:fldChar w:fldCharType="begin"/>
      </w:r>
      <w:r>
        <w:instrText xml:space="preserve"> REF _Ref_tbl5 \h </w:instrText>
      </w:r>
      <w:r>
        <w:fldChar w:fldCharType="separate"/>
      </w:r>
      <w:r w:rsidR="00614286">
        <w:rPr/>
        <w:t>Table 5</w:t>
      </w:r>
      <w:r>
        <w:fldChar w:fldCharType="end"/>
      </w:r>
      <w:r w:rsidR="00614286">
        <w:rPr/>
        <w:t xml:space="preserve"> and </w:t>
      </w:r>
      <w:r>
        <w:fldChar w:fldCharType="begin"/>
      </w:r>
      <w:r>
        <w:instrText xml:space="preserve"> REF _Ref_fig9 \h </w:instrText>
      </w:r>
      <w:r>
        <w:fldChar w:fldCharType="separate"/>
      </w:r>
      <w:r w:rsidR="00614286">
        <w:rPr/>
        <w:t>Figure 9</w:t>
      </w:r>
      <w:r>
        <w:fldChar w:fldCharType="end"/>
      </w:r>
      <w:r w:rsidR="00614286">
        <w:rPr/>
        <w:t>)</w:t>
      </w:r>
      <w:r w:rsidR="00614286">
        <w:rPr/>
        <w:t xml:space="preserve"> show can overstate access.</w:t>
      </w:r>
    </w:p>
    <w:p w:rsidRPr="00614286" w:rsidR="00614286" w:rsidP="00614286" w:rsidRDefault="00614286" w14:paraId="019416D6" w14:textId="77777777">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rsidRPr="00614286" w:rsidR="00614286" w:rsidP="00614286" w:rsidRDefault="00614286" w14:paraId="293CBE33" w14:textId="77777777">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rsidR="00091F08" w:rsidP="00091F08" w:rsidRDefault="00091F08" w14:paraId="1905A7FE" w14:textId="65FCAF74">
      <w:pPr>
        <w:pStyle w:val="Heading1"/>
        <w:numPr>
          <w:ilvl w:val="0"/>
          <w:numId w:val="11"/>
        </w:numPr>
      </w:pPr>
      <w:bookmarkStart w:name="_Ref_sec_methods" w:id="9422"/>
      <w:r>
        <w:t>Methods</w:t>
      </w:r>
      <w:bookmarkEnd w:id="9422"/>
    </w:p>
    <w:p w:rsidR="00091F08" w:rsidP="00091F08" w:rsidRDefault="00091F08" w14:paraId="090A744C" w14:textId="2765185F">
      <w:pPr>
        <w:pStyle w:val="Heading2"/>
        <w:numPr>
          <w:ilvl w:val="1"/>
          <w:numId w:val="11"/>
        </w:numPr>
      </w:pPr>
      <w:r>
        <w:t>Empirical Approach</w:t>
      </w:r>
    </w:p>
    <w:p w:rsidR="00091F08" w:rsidP="00091F08" w:rsidRDefault="00091F08" w14:paraId="6463DD88" w14:textId="792D27A1">
      <w:r w:rsidR="00091F08">
        <w:rP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w:t>
      </w:r>
      <w:r w:rsidR="00091F08">
        <w:rPr/>
        <w:t>rather than to one opaque saturated specification.</w:t>
      </w:r>
      <w:r w:rsidR="00091F08">
        <w:rPr/>
        <w:t xml:space="preserve"> Section </w:t>
      </w:r>
      <w:r>
        <w:fldChar w:fldCharType="begin"/>
      </w:r>
      <w:r>
        <w:instrText xml:space="preserve"> REF _Ref_sec_m_baseline \r \h </w:instrText>
      </w:r>
      <w:r>
        <w:fldChar w:fldCharType="separate"/>
      </w:r>
      <w:r w:rsidR="00091F08">
        <w:rPr/>
        <w:t>6.6</w:t>
      </w:r>
      <w:r>
        <w:fldChar w:fldCharType="end"/>
      </w:r>
      <w:r w:rsidR="00091F08">
        <w:rPr/>
        <w:t xml:space="preserve"> states the baseline </w:t>
      </w:r>
      <w:r w:rsidR="00091F08">
        <w:rPr/>
        <w:t>equation,</w:t>
      </w:r>
      <w:r w:rsidR="00091F08">
        <w:rPr/>
        <w:t xml:space="preserve"> Section </w:t>
      </w:r>
      <w:r>
        <w:fldChar w:fldCharType="begin"/>
      </w:r>
      <w:r>
        <w:instrText xml:space="preserve"> REF _Ref_sec_modelseries \r \h </w:instrText>
      </w:r>
      <w:r>
        <w:fldChar w:fldCharType="separate"/>
      </w:r>
      <w:r w:rsidR="00091F08">
        <w:rPr/>
        <w:t>6.7</w:t>
      </w:r>
      <w:r>
        <w:fldChar w:fldCharType="end"/>
      </w:r>
      <w:r w:rsidR="00091F08">
        <w:rPr/>
        <w:t xml:space="preserve"> defines each rung of the ladder, and </w:t>
      </w:r>
      <w:r>
        <w:fldChar w:fldCharType="begin"/>
      </w:r>
      <w:r>
        <w:instrText xml:space="preserve"> REF _Ref_fig4 \h </w:instrText>
      </w:r>
      <w:r>
        <w:fldChar w:fldCharType="separate"/>
      </w:r>
      <w:r w:rsidR="00091F08">
        <w:rPr/>
        <w:t>Figure 4</w:t>
      </w:r>
      <w:r>
        <w:fldChar w:fldCharType="end"/>
      </w:r>
      <w:r w:rsidR="00091F08">
        <w:rPr/>
        <w:t xml:space="preserve"> shows the resulting coefficient paths.</w:t>
      </w:r>
      <w:r w:rsidR="00091F08">
        <w:rPr/>
        <w:t xml:space="preserve"> It also supports direct comparison across technologies, which is central to the paper’s multi-DER framing.</w:t>
      </w:r>
    </w:p>
    <w:p w:rsidR="00091F08" w:rsidP="00091F08" w:rsidRDefault="00091F08" w14:paraId="6636946E" w14:textId="19BC26DF">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rsidR="00091F08" w:rsidP="00091F08" w:rsidRDefault="00091F08" w14:paraId="56E91AA0" w14:textId="77777777">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rsidR="00091F08" w:rsidP="00091F08" w:rsidRDefault="00091F08" w14:paraId="47AF3DB9" w14:textId="6CC12440">
      <w:pPr>
        <w:pStyle w:val="Heading2"/>
        <w:numPr>
          <w:ilvl w:val="1"/>
          <w:numId w:val="11"/>
        </w:numPr>
      </w:pPr>
      <w:bookmarkStart w:name="_Ref_sec_m_data" w:id="9423"/>
      <w:r>
        <w:t>Dataset Construction and Sample</w:t>
      </w:r>
      <w:bookmarkEnd w:id="9423"/>
    </w:p>
    <w:p w:rsidR="00091F08" w:rsidP="00091F08" w:rsidRDefault="00091F08" w14:paraId="28DFB4A1" w14:textId="77777777">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r>
        <w:rPr>
          <w:rStyle w:val="CommentReference"/>
          <w:sz w:val="22"/>
          <w:szCs w:val="22"/>
        </w:rPr>
      </w:r>
    </w:p>
    <w:p w:rsidR="00091F08" w:rsidP="00091F08" w:rsidRDefault="00091F08" w14:paraId="292156D6" w14:textId="77777777">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rsidR="00091F08" w:rsidP="00091F08" w:rsidRDefault="00091F08" w14:paraId="7F0D1B1E" w14:textId="77777777">
      <w:r>
        <w:t>After source-specific cleaning, the DER measures are merged with contextual predictors. Demographic and socioeconomic variables come from the 2023 American Community Survey 5-year estimates. Housing structure uses every category in ACS B25024: single-family, multifamily, mobile-home, and boat/RV/van/other shares sum to one. Tenure uses B25003 owner occupancy, with renter occupancy as its complement. Climate and renewable-resource controls come from NASA POWER; utility territory uses a ZIP-to-utility spatial crosswalk; and annualized utility usage provides the electricity-demand proxy.</w:t>
      </w:r>
    </w:p>
    <w:p w:rsidR="00091F08" w:rsidP="00091F08" w:rsidRDefault="00091F08" w14:paraId="34D643C3" w14:textId="4A5006C1">
      <w:r w:rsidR="00091F08">
        <w:rPr/>
        <w:t xml:space="preserve">The unit of analysis is </w:t>
      </w:r>
      <w:r w:rsidR="00091F08">
        <w:rPr/>
        <w:t>the ZIP</w:t>
      </w:r>
      <w:r w:rsidR="00091F08">
        <w:rPr/>
        <w:t xml:space="preserve">/ZCTA. We use ZCTAs because they provide the most practical common geography across the available DER and demographic sources. The study is designed as a 2023 cross-sectional snapshot, using the most recent data aligned as closely as possible to that year. In the regression stage, </w:t>
      </w:r>
      <w:r w:rsidR="00091F08">
        <w:rPr/>
        <w:t xml:space="preserve">ZIP/ZCTAs with total population below 1,000 are excluded from outcome construction to avoid unstable per-capita rates in </w:t>
      </w:r>
      <w:r w:rsidR="00091F08">
        <w:rPr/>
        <w:t>very small</w:t>
      </w:r>
      <w:r w:rsidR="00091F08">
        <w:rPr/>
        <w:t xml:space="preserve"> areas.</w:t>
      </w:r>
      <w:r w:rsidR="00091F08">
        <w:rPr/>
        <w:t xml:space="preserve"> </w:t>
      </w:r>
      <w:r>
        <w:fldChar w:fldCharType="begin"/>
      </w:r>
      <w:r>
        <w:instrText xml:space="preserve"> REF _Ref_tbl2 \h </w:instrText>
      </w:r>
      <w:r>
        <w:fldChar w:fldCharType="separate"/>
      </w:r>
      <w:r w:rsidR="00091F08">
        <w:rPr/>
        <w:t>Table 2</w:t>
      </w:r>
      <w:r>
        <w:fldChar w:fldCharType="end"/>
      </w:r>
      <w:r w:rsidR="00091F08">
        <w:rPr/>
        <w:t xml:space="preserve"> summarizes the resulting analysis sample.</w:t>
      </w:r>
    </w:p>
    <w:p w:rsidR="00091F08" w:rsidP="00091F08" w:rsidRDefault="00091F08" w14:paraId="1AF25F0B" w14:textId="2446CF45">
      <w:pPr>
        <w:pStyle w:val="Heading2"/>
        <w:numPr>
          <w:ilvl w:val="1"/>
          <w:numId w:val="11"/>
        </w:numPr>
      </w:pPr>
      <w:bookmarkStart w:name="_Ref_sec_m_outcomes" w:id="9424"/>
      <w:r>
        <w:t>Outcome Variables</w:t>
      </w:r>
      <w:bookmarkEnd w:id="9424"/>
    </w:p>
    <w:p w:rsidR="00091F08" w:rsidP="00091F08" w:rsidRDefault="00091F08" w14:paraId="09F24005" w14:textId="5CFB61F8">
      <w:r w:rsidR="00091F08">
        <w:rPr/>
        <w:t>To make the outcomes comparable across technologies, each DER measure is converted into a population-normalized deployment intensity metric and then transformed using</w:t>
      </w:r>
      <w:r w:rsidRPr="3DC018EE" w:rsidR="00091F08">
        <w:rPr>
          <w:rFonts w:ascii="Courier New" w:hAnsi="Courier New"/>
          <w:sz w:val="18"/>
          <w:szCs w:val="18"/>
        </w:rPr>
        <w:t xml:space="preserve"> </w:t>
      </w:r>
      <w:r w:rsidRPr="3DC018EE" w:rsidR="00091F08">
        <w:rPr>
          <w:rFonts w:ascii="Courier New" w:hAnsi="Courier New"/>
          <w:sz w:val="18"/>
          <w:szCs w:val="18"/>
        </w:rPr>
        <w:t>log(</w:t>
      </w:r>
      <w:r w:rsidRPr="3DC018EE" w:rsidR="00091F08">
        <w:rPr>
          <w:rFonts w:ascii="Courier New" w:hAnsi="Courier New"/>
          <w:sz w:val="18"/>
          <w:szCs w:val="18"/>
        </w:rPr>
        <w:t>1 + x)</w:t>
      </w:r>
      <w:r w:rsidR="00091F08">
        <w:rPr/>
        <w:t xml:space="preserve">. This helps reduce skew and allows ZIP/ZCTAs with zero deployment to remain in the sample. </w:t>
      </w:r>
      <w:r w:rsidR="00091F08">
        <w:rPr/>
        <w:t>The three main outcomes are defined as follows.</w:t>
      </w:r>
      <w:r w:rsidR="00091F08">
        <w:rPr/>
        <w:t xml:space="preserve"> Their definitions and units are also collected in </w:t>
      </w:r>
      <w:r>
        <w:fldChar w:fldCharType="begin"/>
      </w:r>
      <w:r>
        <w:instrText xml:space="preserve"> REF _Ref_tbl1 \h </w:instrText>
      </w:r>
      <w:r>
        <w:fldChar w:fldCharType="separate"/>
      </w:r>
      <w:r w:rsidR="00091F08">
        <w:rPr/>
        <w:t>Table 1</w:t>
      </w:r>
      <w:r>
        <w:fldChar w:fldCharType="end"/>
      </w:r>
      <w:r w:rsidR="00091F08">
        <w:rPr/>
        <w:t>.</w:t>
      </w:r>
    </w:p>
    <w:p w:rsidR="00091F08" w:rsidP="00091F08" w:rsidRDefault="00091F08" w14:paraId="2D8EBF35" w14:textId="77777777">
      <w:r>
        <w:t>For EV charging:</w:t>
      </w:r>
    </w:p>
    <w:p w:rsidR="00091F08" w:rsidP="3DC018EE" w:rsidRDefault="009657B3" w14:paraId="584A215B" w14:textId="724B8952">
      <w:pPr>
        <w:tabs>
          <w:tab w:val="right" w:pos="10080"/>
        </w:tabs>
        <w:jc w:val="center"/>
      </w:pPr>
      <m:oMath>
        <m:r>
          <w:rPr>
            <w:rFonts w:ascii="Cambria Math" w:hAnsi="Cambria Math"/>
            <w:sz w:val="14"/>
            <w:szCs w:val="14"/>
          </w:rPr>
          <m:t>chargers_per_1k = (total_chargers × 1000) / population</m:t>
        </m:r>
        <m:r>
          <m:rPr>
            <m:sty m:val="p"/>
          </m:rPr>
          <w:rPr>
            <w:rFonts w:ascii="Cambria Math" w:hAnsi="Cambria Math"/>
            <w:sz w:val="14"/>
            <w:szCs w:val="14"/>
          </w:rPr>
          <w:br/>
        </m:r>
      </m:oMath>
      <m:oMath>
        <m:r>
          <w:rPr>
            <w:rFonts w:ascii="Cambria Math" w:hAnsi="Cambria Math"/>
            <w:sz w:val="14"/>
            <w:szCs w:val="14"/>
          </w:rPr>
          <m:t>y_chargers = log(1 + chargers_per_1k)</m:t>
        </m:r>
      </m:oMath>
      <w:r>
        <w:tab/>
      </w:r>
      <w:bookmarkStart w:name="_Ref_eq_chargers" w:id="9479"/>
      <w:r w:rsidR="009657B3">
        <w:rPr/>
        <w:t>(</w:t>
      </w:r>
      <w:r>
        <w:fldChar w:fldCharType="begin"/>
      </w:r>
      <w:r>
        <w:instrText xml:space="preserve"> SEQ Equation \* ARABIC </w:instrText>
      </w:r>
      <w:r>
        <w:fldChar w:fldCharType="separate"/>
      </w:r>
      <w:r w:rsidR="009657B3">
        <w:rPr/>
        <w:t>1</w:t>
      </w:r>
      <w:r>
        <w:fldChar w:fldCharType="end"/>
      </w:r>
      <w:r w:rsidR="009657B3">
        <w:rPr/>
        <w:t>)</w:t>
      </w:r>
      <w:bookmarkEnd w:id="9479"/>
    </w:p>
    <w:p w:rsidR="00091F08" w:rsidP="00091F08" w:rsidRDefault="00091F08" w14:paraId="2EEE7661" w14:textId="77777777">
      <w:r>
        <w:t>For solar PV:</w:t>
      </w:r>
    </w:p>
    <w:p w:rsidR="00091F08" w:rsidP="3DC018EE" w:rsidRDefault="009657B3" w14:paraId="0D40244F" w14:textId="380EBAB7">
      <w:pPr>
        <w:tabs>
          <w:tab w:val="right" w:pos="10080"/>
        </w:tabs>
        <w:jc w:val="center"/>
      </w:pPr>
      <m:oMath>
        <m:r>
          <w:rPr>
            <w:rFonts w:ascii="Cambria Math" w:hAnsi="Cambria Math"/>
            <w:sz w:val="14"/>
            <w:szCs w:val="14"/>
          </w:rPr>
          <m:t>pv_kW_per_1k = (PV_system_size_DC × 1000) / population</m:t>
        </m:r>
        <m:r>
          <m:rPr>
            <m:sty m:val="p"/>
          </m:rPr>
          <w:rPr>
            <w:rFonts w:ascii="Cambria Math" w:hAnsi="Cambria Math"/>
            <w:sz w:val="14"/>
            <w:szCs w:val="14"/>
          </w:rPr>
          <w:br/>
        </m:r>
      </m:oMath>
      <m:oMath>
        <m:r>
          <w:rPr>
            <w:rFonts w:ascii="Cambria Math" w:hAnsi="Cambria Math"/>
            <w:sz w:val="14"/>
            <w:szCs w:val="14"/>
          </w:rPr>
          <m:t>y_pv = log(1 + pv_kW_per_1k)</m:t>
        </m:r>
      </m:oMath>
      <w:r>
        <w:tab/>
      </w:r>
      <w:bookmarkStart w:name="_Ref_eq_pv" w:id="9476"/>
      <w:r w:rsidR="009657B3">
        <w:rPr/>
        <w:t>(</w:t>
      </w:r>
      <w:r>
        <w:fldChar w:fldCharType="begin"/>
      </w:r>
      <w:r>
        <w:instrText xml:space="preserve"> SEQ Equation \* ARABIC </w:instrText>
      </w:r>
      <w:r>
        <w:fldChar w:fldCharType="separate"/>
      </w:r>
      <w:r w:rsidR="009657B3">
        <w:rPr/>
        <w:t>2</w:t>
      </w:r>
      <w:r>
        <w:fldChar w:fldCharType="end"/>
      </w:r>
      <w:r w:rsidR="009657B3">
        <w:rPr/>
        <w:t>)</w:t>
      </w:r>
      <w:bookmarkEnd w:id="9476"/>
    </w:p>
    <w:p w:rsidR="00091F08" w:rsidP="00091F08" w:rsidRDefault="00091F08" w14:paraId="70BD9F99" w14:textId="77777777">
      <w:r>
        <w:t>For battery storage:</w:t>
      </w:r>
    </w:p>
    <w:p w:rsidR="00091F08" w:rsidP="3DC018EE" w:rsidRDefault="009657B3" w14:paraId="35A09390" w14:textId="68787290">
      <w:pPr>
        <w:tabs>
          <w:tab w:val="right" w:pos="10080"/>
        </w:tabs>
        <w:jc w:val="center"/>
      </w:p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
        <m:r>
          <w:rPr>
            <w:rFonts w:ascii="Cambria Math" w:hAnsi="Cambria Math"/>
            <w:sz w:val="14"/>
            <w:szCs w:val="14"/>
          </w:rPr>
          <m:t>y_storage = log(1 + storage_MW_per_100k)</m:t>
        </m:r>
      </m:oMath>
      <w:r>
        <w:tab/>
      </w:r>
      <w:bookmarkStart w:name="_Ref_eq_storage" w:id="9473"/>
      <w:r w:rsidR="009657B3">
        <w:rPr/>
        <w:t>(</w:t>
      </w:r>
      <w:r>
        <w:fldChar w:fldCharType="begin"/>
      </w:r>
      <w:r>
        <w:instrText xml:space="preserve"> SEQ Equation \* ARABIC </w:instrText>
      </w:r>
      <w:r>
        <w:fldChar w:fldCharType="separate"/>
      </w:r>
      <w:r w:rsidR="009657B3">
        <w:rPr/>
        <w:t>3</w:t>
      </w:r>
      <w:r>
        <w:fldChar w:fldCharType="end"/>
      </w:r>
      <w:r w:rsidR="009657B3">
        <w:rPr/>
        <w:t>)</w:t>
      </w:r>
      <w:bookmarkEnd w:id="9473"/>
    </w:p>
    <w:p w:rsidR="00091F08" w:rsidP="00091F08" w:rsidRDefault="00091F08" w14:paraId="67384E33" w14:textId="7E908E84">
      <w:r w:rsidR="00091F08">
        <w:rPr/>
        <w:t xml:space="preserve">Storage is scaled per </w:t>
      </w:r>
      <w:r w:rsidR="00091F08">
        <w:rPr/>
        <w:t>100,000 residents</w:t>
      </w:r>
      <w:r w:rsidR="00091F08">
        <w:rPr/>
        <w:t xml:space="preserve"> rather than per 1,000</w:t>
      </w:r>
      <w:r w:rsidR="00091F08">
        <w:rPr/>
        <w:t xml:space="preserve"> in Equation </w:t>
      </w:r>
      <w:r>
        <w:fldChar w:fldCharType="begin"/>
      </w:r>
      <w:r>
        <w:instrText xml:space="preserve"> REF _Ref_eq_storage \h </w:instrText>
      </w:r>
      <w:r>
        <w:fldChar w:fldCharType="separate"/>
      </w:r>
      <w:r w:rsidR="00091F08">
        <w:rPr/>
        <w:t>(3)</w:t>
      </w:r>
      <w:r>
        <w:fldChar w:fldCharType="end"/>
      </w:r>
      <w:r w:rsidR="00091F08">
        <w:rPr/>
        <w:t xml:space="preserve"> because storage deployment is much smaller</w:t>
      </w:r>
      <w:r w:rsidR="00091F08">
        <w:rPr/>
        <w:t xml:space="preserve"> and more uneven at the ZIP level, so the larger denominator keeps the raw rate in a more interpretable range before </w:t>
      </w:r>
      <w:r w:rsidR="00091F08">
        <w:rPr/>
        <w:t xml:space="preserve">transformation. In supplementary analysis, we also examine more disaggregated charging outcomes, including Level 1, Level 2, and DC fast chargers separately, along with a wind-capacity outcome used </w:t>
      </w:r>
      <w:r w:rsidR="00091F08">
        <w:rPr/>
        <w:t>mainly as</w:t>
      </w:r>
      <w:r w:rsidR="00091F08">
        <w:rPr/>
        <w:t xml:space="preserve"> contextual comparison. The core paper, however, focuses on the three outcomes above.</w:t>
      </w:r>
    </w:p>
    <w:p w:rsidR="00091F08" w:rsidP="00091F08" w:rsidRDefault="00091F08" w14:paraId="761CF256" w14:textId="12566470">
      <w:pPr>
        <w:pStyle w:val="Heading2"/>
        <w:numPr>
          <w:ilvl w:val="1"/>
          <w:numId w:val="11"/>
        </w:numPr>
      </w:pPr>
      <w:bookmarkStart w:name="_Ref_sec_m_predictors" w:id="9425"/>
      <w:r>
        <w:t>Key Explanatory Variables</w:t>
      </w:r>
      <w:bookmarkEnd w:id="9425"/>
    </w:p>
    <w:p w:rsidR="00091F08" w:rsidP="00091F08" w:rsidRDefault="00091F08" w14:paraId="716824F1" w14:textId="75DC4F9C">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rsidR="00091F08" w:rsidP="00091F08" w:rsidRDefault="00091F08" w14:paraId="435E228B" w14:textId="77777777">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rsidR="00091F08" w:rsidP="00091F08" w:rsidRDefault="00091F08" w14:paraId="0D60050B" w14:textId="77777777">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rsidR="00091F08" w:rsidP="00091F08" w:rsidRDefault="0014223F" w14:paraId="37AE229B" w14:textId="7631A326">
      <w:pPr>
        <w:pStyle w:val="Heading2"/>
        <w:numPr>
          <w:ilvl w:val="1"/>
          <w:numId w:val="11"/>
        </w:numPr>
      </w:pPr>
      <w:bookmarkStart w:name="_Ref_sec_m_controls" w:id="9426"/>
      <w:r>
        <w:t>Contextual Controls</w:t>
      </w:r>
      <w:bookmarkEnd w:id="9426"/>
    </w:p>
    <w:p w:rsidR="00091F08" w:rsidP="00091F08" w:rsidRDefault="00306FC0" w14:paraId="2E726336" w14:textId="6453AC01">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rsidR="00091F08" w:rsidP="00091F08" w:rsidRDefault="00091F08" w14:paraId="7554CC5B" w14:textId="4213282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rsidR="00091F08" w:rsidP="00091F08" w:rsidRDefault="00091F08" w14:paraId="5130B2AC" w14:textId="20C9B61E">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rsidR="00091F08" w:rsidP="00091F08" w:rsidRDefault="00091F08" w14:paraId="544354D0" w14:textId="46BD488D">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rsidR="00091F08" w:rsidP="00091F08" w:rsidRDefault="00F51C53" w14:paraId="361991B8" w14:textId="1AA3BBC1">
      <w:pPr>
        <w:pStyle w:val="Heading2"/>
        <w:numPr>
          <w:ilvl w:val="1"/>
          <w:numId w:val="11"/>
        </w:numPr>
      </w:pPr>
      <w:bookmarkStart w:name="_Ref_sec_m_baseline" w:id="9427"/>
      <w:r>
        <w:t>Baseline Regression Specification</w:t>
      </w:r>
      <w:bookmarkEnd w:id="9427"/>
    </w:p>
    <w:p w:rsidR="00091F08" w:rsidP="00091F08" w:rsidRDefault="00091F08" w14:paraId="0DF817BD" w14:textId="77777777">
      <w:r>
        <w:t>The main estimation approach is ordinary least squares regression using the transformed ZIP/ZCTA-level deployment outcomes. The baseline specification is:</w:t>
      </w:r>
    </w:p>
    <w:p w:rsidR="00091F08" w:rsidP="3DC018EE" w:rsidRDefault="00191111" w14:paraId="01B3639D" w14:textId="054ECD61">
      <w:pPr>
        <w:tabs>
          <w:tab w:val="right" w:pos="10080"/>
        </w:tabs>
        <w:jc w:val="center"/>
      </w:pPr>
      <w:r>
        <w:rPr>
          <w:rFonts w:ascii="Cambria Math" w:hAnsi="Cambria Math"/>
          <w:sz w:val="18"/>
        </w:rPr>
        <w:t>y_z = β₀ + β₁ Income_z + β₂ Black_z + β₃ Hispanic_z + β₄ Asian_z</w:t>
        <w:br/>
        <w:t>+ β₅ Poverty_z + γX_z + ε_z                                                     (4)</w:t>
      </w:r>
    </w:p>
    <w:p w:rsidR="00091F08" w:rsidP="00091F08" w:rsidRDefault="00091F08" w14:paraId="5A01291E" w14:textId="77777777">
      <w:r>
        <w:t>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(4) for the three headline outcomes are reported in Table 3.</w:t>
      </w:r>
    </w:p>
    <w:p w:rsidR="00091F08" w:rsidP="00091F08" w:rsidRDefault="00091F08" w14:paraId="79934EBF" w14:textId="4CFB9ED2">
      <w:r w:rsidR="00091F08">
        <w:rPr/>
        <w:t xml:space="preserve">All models are estimated with heteroskedasticity-robust HC1 standard errors by default. In plain language, HC1 means the standard errors are </w:t>
      </w:r>
      <w:r w:rsidR="00091F08">
        <w:rPr/>
        <w:t>adjusted</w:t>
      </w:r>
      <w:r w:rsidR="00091F08">
        <w:rPr/>
        <w:t xml:space="preserve"> so inference is less sensitive to unequal residual variance across ZIP/ZCTAs. In selected specifications, </w:t>
      </w:r>
      <w:r w:rsidR="00091F08">
        <w:rPr/>
        <w:t>we also cluster standard errors at the county level to allow for within-county correlation in errors.</w:t>
      </w:r>
      <w:r w:rsidR="00091F08">
        <w:rPr/>
        <w:t xml:space="preserve"> Spatially robust alternatives to both estimators are reported in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2340E6FB" w14:textId="265012DE">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rsidR="00091F08" w:rsidP="00091F08" w:rsidRDefault="00F51C53" w14:paraId="0BE9ECC0" w14:textId="5C86C245">
      <w:pPr>
        <w:pStyle w:val="Heading2"/>
        <w:numPr>
          <w:ilvl w:val="1"/>
          <w:numId w:val="11"/>
        </w:numPr>
      </w:pPr>
      <w:bookmarkStart w:name="_Ref236222995" w:id="163"/>
      <w:bookmarkStart w:name="_Ref_sec_modelseries" w:id="164"/>
      <w:r>
        <w:t>Model Series</w:t>
      </w:r>
      <w:bookmarkEnd w:id="163"/>
      <w:bookmarkEnd w:id="164"/>
    </w:p>
    <w:p w:rsidR="00091F08" w:rsidP="00091F08" w:rsidRDefault="002B54C7" w14:paraId="282C32C1" w14:textId="1D86728E">
      <w:pPr>
        <w:pStyle w:val="Heading3"/>
        <w:numPr>
          <w:ilvl w:val="2"/>
          <w:numId w:val="11"/>
        </w:numPr>
      </w:pPr>
      <w:r>
        <w:t>Model 1: Baseline Equity Specification</w:t>
      </w:r>
    </w:p>
    <w:p w:rsidR="00091F08" w:rsidP="00091F08" w:rsidRDefault="00091F08" w14:paraId="42A3E803" w14:textId="77777777">
      <w:r>
        <w:t>The baseline model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Equation (5).</w:t>
      </w:r>
    </w:p>
    <w:p w:rsidR="00B140D9" w:rsidP="3DC018EE" w:rsidRDefault="00191111" w14:paraId="408E562D" w14:textId="0B3E6D46">
      <w:pPr>
        <w:tabs>
          <w:tab w:val="right" w:pos="10080"/>
        </w:tabs>
        <w:jc w:val="center"/>
      </w:pPr>
      <w:r>
        <w:rPr>
          <w:rFonts w:ascii="Cambria Math" w:hAnsi="Cambria Math"/>
          <w:sz w:val="18"/>
        </w:rPr>
        <w:t>y_z = β₀ + β RaceSES_z + γ Climate_z + ε_z                                      (5)</w:t>
      </w:r>
    </w:p>
    <w:p w:rsidR="00091F08" w:rsidP="00091F08" w:rsidRDefault="00137C58" w14:paraId="25088306" w14:textId="680DCEC3">
      <w:pPr>
        <w:pStyle w:val="Heading3"/>
        <w:numPr>
          <w:ilvl w:val="2"/>
          <w:numId w:val="11"/>
        </w:numPr>
      </w:pPr>
      <w:bookmarkStart w:name="_Ref_sec_model2" w:id="9428"/>
      <w:r>
        <w:t>Model 2: Additional Socioeconomic Controls</w:t>
      </w:r>
      <w:bookmarkEnd w:id="9428"/>
    </w:p>
    <w:p w:rsidR="008E511D" w:rsidP="008E511D" w:rsidRDefault="008E511D" w14:paraId="59079E40" w14:textId="77777777">
      <w:r>
        <w:t>Model 2A: Additional SES control, bachelor’s attainment</w:t>
      </w:r>
    </w:p>
    <w:p w:rsidRPr="008E511D" w:rsidR="008E511D" w:rsidP="008E511D" w:rsidRDefault="008E511D" w14:paraId="30892A94" w14:textId="6BA82895">
      <w:r>
        <w:t>Model 2B: Additional SES control, median housing value</w:t>
      </w:r>
    </w:p>
    <w:p>
      <w:pPr/>
      <w:r>
        <w:t>Model 2C: Exhaustive housing structure composition (B25024), with single-family units as the omitted reference</w:t>
      </w:r>
    </w:p>
    <w:p>
      <w:pPr/>
      <w:r>
        <w:t>Model 2D: Housing structure plus owner occupancy (B25003), with renters as the omitted tenure reference</w:t>
      </w:r>
    </w:p>
    <w:p w:rsidR="00091F08" w:rsidP="00091F08" w:rsidRDefault="00306FC0" w14:paraId="52973F0A" w14:textId="48D49F59">
      <w:r>
        <w:t>We estimate four Model 2 variants. Models 2A and 2B add bachelor’s attainment and median housing value. Model 2C adds multifamily, mobile-home, and boat/RV/van/other shares from the exhaustive B25024 composition; Model 2D adds B25003 owner occupancy. The implementation fails rather than silently simplifying Models 2C or 2D when a required housing variable is absent or constant. These variants use the general additional-control form in Equation (6).</w:t>
      </w:r>
    </w:p>
    <w:p w:rsidR="00B140D9" w:rsidP="3DC018EE" w:rsidRDefault="00191111" w14:paraId="4BEBE194" w14:textId="03E4DC5C">
      <w:pPr>
        <w:tabs>
          <w:tab w:val="right" w:pos="10080"/>
        </w:tabs>
        <w:jc w:val="center"/>
      </w:pPr>
      <w:r>
        <w:rPr>
          <w:rFonts w:ascii="Cambria Math" w:hAnsi="Cambria Math"/>
          <w:sz w:val="18"/>
        </w:rPr>
        <w:t>y_z = β₀ + β RaceSES_z + θ SESextra_z + γ Climate_z + ε_z                       (6)</w:t>
      </w:r>
    </w:p>
    <w:p w:rsidR="00091F08" w:rsidP="00091F08" w:rsidRDefault="00091F08" w14:paraId="0F5A55E0" w14:textId="77777777">
      <w:pPr>
        <w:pStyle w:val="Heading3"/>
        <w:numPr>
          <w:ilvl w:val="2"/>
          <w:numId w:val="11"/>
        </w:numPr>
      </w:pPr>
      <w:r>
        <w:t>Alternative Climate and Resource Controls</w:t>
      </w:r>
    </w:p>
    <w:p w:rsidR="008E511D" w:rsidP="008E511D" w:rsidRDefault="008E511D" w14:paraId="2C2EF253" w14:textId="77777777">
      <w:r>
        <w:t>Model 3A: Heating and cooling degree days</w:t>
      </w:r>
    </w:p>
    <w:p w:rsidR="008E511D" w:rsidP="008E511D" w:rsidRDefault="008E511D" w14:paraId="20131486" w14:textId="77777777">
      <w:r>
        <w:t>Model 3B: Mean temperature only</w:t>
      </w:r>
    </w:p>
    <w:p w:rsidRPr="008E511D" w:rsidR="008E511D" w:rsidP="008E511D" w:rsidRDefault="008E511D" w14:paraId="38F3C644" w14:textId="17071F44">
      <w:r>
        <w:t>Model 3C: Global horizontal irradiance only</w:t>
      </w:r>
    </w:p>
    <w:p w:rsidR="00091F08" w:rsidP="00091F08" w:rsidRDefault="00091F08" w14:paraId="179D33CA" w14:textId="09E57CF2">
      <w:r>
        <w:t>To test whether results depend on a particular way of capturing geographic context, we estimate alternative versions of the baseline model with different climate or physical-suitability controls. For PV, this includes solar irradiance. For some outcomes, we compare degree-day controls with mean-temperature-based controls. For wind-related outcomes, we use wind resource measures. Equation (7) shows the resulting specification.</w:t>
      </w:r>
    </w:p>
    <w:p w:rsidR="00B140D9" w:rsidP="3DC018EE" w:rsidRDefault="00191111" w14:paraId="172D7715" w14:textId="0DB3D7BA">
      <w:pPr>
        <w:tabs>
          <w:tab w:val="right" w:pos="10080"/>
        </w:tabs>
        <w:jc w:val="center"/>
      </w:pPr>
      <w:r>
        <w:rPr>
          <w:rFonts w:ascii="Cambria Math" w:hAnsi="Cambria Math"/>
          <w:sz w:val="18"/>
        </w:rPr>
        <w:t>y_z = β₀ + β RaceSES_z + θ ResourceClimateAlt_z + ε_z                            (7)</w:t>
      </w:r>
    </w:p>
    <w:p w:rsidR="00091F08" w:rsidP="00091F08" w:rsidRDefault="00091F08" w14:paraId="04D895D1" w14:textId="77777777">
      <w:pPr>
        <w:pStyle w:val="Heading3"/>
        <w:numPr>
          <w:ilvl w:val="2"/>
          <w:numId w:val="11"/>
        </w:numPr>
      </w:pPr>
      <w:r>
        <w:t>Race-by-Income Interactions</w:t>
      </w:r>
    </w:p>
    <w:p w:rsidR="008E511D" w:rsidP="008E511D" w:rsidRDefault="008E511D" w14:paraId="2CCED536" w14:textId="77777777">
      <w:r>
        <w:t>Model 4: Race-by-income interactions (mean-centered)</w:t>
      </w:r>
    </w:p>
    <w:p w:rsidRPr="008E511D" w:rsidR="008E511D" w:rsidP="008E511D" w:rsidRDefault="008E511D" w14:paraId="4E8F1E04" w14:textId="15D6565B">
      <w:r>
        <w:t>Model 4R: Race-by-income interactions, reduced (mean-centered)</w:t>
      </w:r>
    </w:p>
    <w:p w:rsidR="00091F08" w:rsidP="00091F08" w:rsidRDefault="00FC526E" w14:paraId="03F826B5" w14:textId="74FF53DF">
      <w:r>
        <w:t>we test whether the income gradient in DER deployment differs across communities by including interaction terms between income and race/ethnicity shares. These variables are mean-centered before interaction so that the main effects remain interpretable. The interacted specification is Equation (8).</w:t>
      </w:r>
    </w:p>
    <w:p w:rsidR="00B140D9" w:rsidP="3DC018EE" w:rsidRDefault="00000000" w14:paraId="259546EC" w14:textId="3D12FA97">
      <w:pPr>
        <w:tabs>
          <w:tab w:val="right" w:pos="10080"/>
        </w:tabs>
        <w:jc w:val="center"/>
      </w:pPr>
      <w:r>
        <w:rPr>
          <w:rFonts w:ascii="Cambria Math" w:hAnsi="Cambria Math"/>
          <w:sz w:val="18"/>
        </w:rPr>
        <w:t>y_z = β₀ + β RaceSES_z + δ(Income_z × Race_z) + γX_z + ε_z                       (8)</w:t>
      </w:r>
    </w:p>
    <w:p w:rsidR="00091F08" w:rsidP="00091F08" w:rsidRDefault="00091F08" w14:paraId="61F18E92" w14:textId="77777777">
      <w:pPr>
        <w:pStyle w:val="Heading3"/>
        <w:numPr>
          <w:ilvl w:val="2"/>
          <w:numId w:val="11"/>
        </w:numPr>
      </w:pPr>
      <w:bookmarkStart w:name="_Ref_sec_model5" w:id="9429"/>
      <w:r>
        <w:t>Utility Fixed Effects and Inference Robustness</w:t>
      </w:r>
      <w:bookmarkEnd w:id="9429"/>
    </w:p>
    <w:p w:rsidR="008E511D" w:rsidP="008E511D" w:rsidRDefault="008E511D" w14:paraId="7450C5DF" w14:textId="77777777">
      <w:r>
        <w:t>Model 5: Utility territory fixed effects</w:t>
      </w:r>
    </w:p>
    <w:p w:rsidRPr="008E511D" w:rsidR="008E511D" w:rsidP="008E511D" w:rsidRDefault="008E511D" w14:paraId="171B5CAF" w14:textId="59C3F8EA">
      <w:r>
        <w:t>Model 5C: County-clustered standard errors</w:t>
      </w:r>
    </w:p>
    <w:p w:rsidR="00091F08" w:rsidP="00091F08" w:rsidRDefault="00FC526E" w14:paraId="0AF76650" w14:textId="5B8F9158">
      <w:r>
        <w:t>we estimate specifications with utility territory fixed effects to absorb institutional differences across service areas. we also estimate county-clustered standard errors as a robustness check for inference. Equation (9) adds the utility fixed effect.</w:t>
      </w:r>
    </w:p>
    <w:p w:rsidR="00B140D9" w:rsidP="3DC018EE" w:rsidRDefault="00191111" w14:paraId="12277297" w14:textId="394C069F">
      <w:pPr>
        <w:tabs>
          <w:tab w:val="right" w:pos="10080"/>
        </w:tabs>
        <w:jc w:val="center"/>
      </w:pPr>
      <w:r>
        <w:rPr>
          <w:rFonts w:ascii="Cambria Math" w:hAnsi="Cambria Math"/>
          <w:sz w:val="18"/>
        </w:rPr>
        <w:t>y_z = β₀ + β RaceSES_z + γX_z + δ Utility_z + ε_z                                (9)</w:t>
      </w:r>
    </w:p>
    <w:p w:rsidR="00091F08" w:rsidP="008E511D" w:rsidRDefault="00091F08" w14:paraId="501CB46C" w14:textId="7C98BB37">
      <w:pPr>
        <w:pStyle w:val="Heading3"/>
        <w:numPr>
          <w:ilvl w:val="2"/>
          <w:numId w:val="11"/>
        </w:numPr>
        <w:tabs>
          <w:tab w:val="left" w:pos="2647"/>
        </w:tabs>
      </w:pPr>
      <w:r>
        <w:t>Geographic Robustness</w:t>
      </w:r>
      <w:r>
        <w:tab/>
      </w:r>
    </w:p>
    <w:p w:rsidR="008E511D" w:rsidP="008E511D" w:rsidRDefault="008E511D" w14:paraId="5DD3FF8B" w14:textId="77777777">
      <w:r>
        <w:t>Model 6A: Latitude and longitude controls</w:t>
      </w:r>
    </w:p>
    <w:p w:rsidRPr="008E511D" w:rsidR="008E511D" w:rsidP="008E511D" w:rsidRDefault="008E511D" w14:paraId="342733C1" w14:textId="38378D20">
      <w:r>
        <w:t>Model 6B: County fixed effects</w:t>
      </w:r>
    </w:p>
    <w:p w:rsidR="00091F08" w:rsidP="00091F08" w:rsidRDefault="00091F08" w14:paraId="78427743" w14:textId="77777777">
      <w:r>
        <w:t>Additional specifications introduce latitude and longitude or county fixed effects to test whether the main patterns are simply reflecting broad regional gradients within California rather than more local disparities. Equations (10) and (11) give the coordinate-control and county fixed-effect versions.</w:t>
      </w:r>
    </w:p>
    <w:p w:rsidR="00B140D9" w:rsidP="3DC018EE" w:rsidRDefault="00191111" w14:paraId="18AD844D" w14:textId="1FF49075">
      <w:pPr>
        <w:tabs>
          <w:tab w:val="right" w:pos="10080"/>
        </w:tabs>
        <w:jc w:val="center"/>
      </w:pPr>
      <w:r>
        <w:rPr>
          <w:rFonts w:ascii="Cambria Math" w:hAnsi="Cambria Math"/>
          <w:sz w:val="18"/>
        </w:rPr>
        <w:t>y_z = β₀ + β RaceSES_z + γX_z + θ Geo_z + ε_z                                  (10)</w:t>
      </w:r>
    </w:p>
    <w:p w:rsidR="004A1694" w:rsidP="00091F08" w:rsidRDefault="004A1694" w14:paraId="42865D9B" w14:textId="313C6E0D">
      <w:r>
        <w:t>With county fixed effects:</w:t>
      </w:r>
    </w:p>
    <w:p w:rsidR="004A1694" w:rsidP="3DC018EE" w:rsidRDefault="00191111" w14:paraId="5F7E45E3" w14:textId="083942DE">
      <w:pPr>
        <w:tabs>
          <w:tab w:val="right" w:pos="10080"/>
        </w:tabs>
        <w:jc w:val="center"/>
      </w:pPr>
      <w:r>
        <w:rPr>
          <w:rFonts w:ascii="Cambria Math" w:hAnsi="Cambria Math"/>
          <w:sz w:val="18"/>
        </w:rPr>
        <w:t>y_z = β₀ + β RaceSES_z + γX_z + δ County_z + ε_z                               (11)</w:t>
      </w:r>
    </w:p>
    <w:p w:rsidR="00091F08" w:rsidP="00091F08" w:rsidRDefault="002B54C7" w14:paraId="28E631FD" w14:textId="2A0983AD">
      <w:pPr>
        <w:pStyle w:val="Heading3"/>
        <w:numPr>
          <w:ilvl w:val="2"/>
          <w:numId w:val="11"/>
        </w:numPr>
      </w:pPr>
      <w:bookmarkStart w:name="_Ref_sec_model7" w:id="9430"/>
      <w:r>
        <w:t>Model 7: Infrastructure Context Controls</w:t>
      </w:r>
      <w:bookmarkEnd w:id="9430"/>
    </w:p>
    <w:p w:rsidRPr="008E511D" w:rsidR="008E511D" w:rsidP="008E511D" w:rsidRDefault="008E511D" w14:paraId="68A82DCE" w14:textId="116673B4">
      <w:r>
        <w:t>Model 7PC: Per-capita infrastructure controls</w:t>
      </w:r>
    </w:p>
    <w:p w:rsidR="00091F08" w:rsidP="00091F08" w:rsidRDefault="00FC526E" w14:paraId="221878ED" w14:textId="63A59EE2">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 Equation (12) adds the infrastructure block.</w:t>
      </w:r>
    </w:p>
    <w:p w:rsidR="004A1694" w:rsidP="3DC018EE" w:rsidRDefault="00191111" w14:paraId="1FA78E8F" w14:textId="4571B0BD">
      <w:pPr>
        <w:tabs>
          <w:tab w:val="right" w:pos="10080"/>
        </w:tabs>
        <w:jc w:val="center"/>
      </w:pPr>
      <w:r>
        <w:rPr>
          <w:rFonts w:ascii="Cambria Math" w:hAnsi="Cambria Math"/>
          <w:sz w:val="18"/>
        </w:rPr>
        <w:t>y_z = β₀ + β RaceSES_z + γX_z + λ Infrastructure_z + ε_z                       (12)</w:t>
      </w:r>
    </w:p>
    <w:p w:rsidRPr="008159BC" w:rsidR="008159BC" w:rsidP="008159BC" w:rsidRDefault="002B54C7" w14:paraId="40855E19" w14:textId="1266C1CA">
      <w:pPr>
        <w:pStyle w:val="Heading3"/>
        <w:numPr>
          <w:ilvl w:val="2"/>
          <w:numId w:val="11"/>
        </w:numPr>
      </w:pPr>
      <w:bookmarkStart w:name="_Ref_sec_model8" w:id="9431"/>
      <w:r>
        <w:t>Model 8:  Electricity Demand Controls</w:t>
      </w:r>
      <w:bookmarkEnd w:id="9431"/>
    </w:p>
    <w:p w:rsidR="00091F08" w:rsidP="00091F08" w:rsidRDefault="00C47129" w14:paraId="01C46A66" w14:textId="3E147886">
      <w:r>
        <w:t>Here, we add a demand proxy based on annual electricity consumption. This is particularly relevant for EV charging, where infrastructure deployment may track commercial activity and underlying load as much as residential adoption potential. Equation (13) adds the demand proxy.</w:t>
      </w:r>
    </w:p>
    <w:p xmlns:wp14="http://schemas.microsoft.com/office/word/2010/wordml" w14:paraId="409BFD96" wp14:textId="77777777">
      <w:pPr/>
      <w:r>
        <w:t xml:space="preserve">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w:t>
      </w:r>
      <w:del w:id="90001" w:author="Claude (release sync)" w:date="2026-08-13T00:00:00Z">
        <w:r>
          <w:delText>1,392</w:delText>
        </w:r>
      </w:del>
      <w:ins w:id="90002" w:author="Claude (release sync)" w:date="2026-08-13T00:00:00Z">
        <w:r>
          <w:t>1,390</w:t>
        </w:r>
      </w:ins>
      <w:r>
        <w:t xml:space="preserve">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rsidR="008159BC" w:rsidP="3DC018EE" w:rsidRDefault="00191111" w14:paraId="2748FBAB" w14:textId="35EB890B">
      <w:pPr>
        <w:tabs>
          <w:tab w:val="right" w:pos="10080"/>
        </w:tabs>
        <w:jc w:val="center"/>
      </w:pPr>
      <w:r>
        <w:rPr>
          <w:rFonts w:ascii="Cambria Math" w:hAnsi="Cambria Math"/>
          <w:sz w:val="18"/>
        </w:rPr>
        <w:t>y_z = β₀ + β RaceSES_z + γX_z + λ Infrastructure_z + ϕ Demand_z + ε_z          (13)</w:t>
      </w:r>
    </w:p>
    <w:p w:rsidRPr="008159BC" w:rsidR="008159BC" w:rsidP="008159BC" w:rsidRDefault="008159BC" w14:paraId="4305DE38" w14:textId="27A58022">
      <w:pPr>
        <w:pStyle w:val="Heading3"/>
        <w:numPr>
          <w:ilvl w:val="2"/>
          <w:numId w:val="11"/>
        </w:numPr>
        <w:rPr/>
      </w:pPr>
      <w:bookmarkStart w:name="_Ref_sec_model9" w:id="9432"/>
      <w:r w:rsidR="008159BC">
        <w:rPr/>
        <w:t>Models 9 and 9A: Outcome-Specific DER Cross-Control and Extension Models</w:t>
      </w:r>
      <w:bookmarkEnd w:id="9432"/>
    </w:p>
    <w:p w:rsidRPr="002B54C7" w:rsidR="002B54C7" w:rsidP="008159BC" w:rsidRDefault="002B54C7" w14:paraId="67D5CC51" w14:textId="7AC027FF">
      <w:r>
        <w:t>Model 9 (storage, with PV control) adds local PV deployment to the storage model, to test whether storage disparities persist after conditioning on upstream PV deployment. Equation (14) states the combined specification.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p>
    <w:p w:rsidRPr="002B54C7" w:rsidR="002B54C7" w:rsidP="002B54C7" w:rsidRDefault="002B54C7" w14:paraId="100C390A" w14:textId="77777777">
      <w:r>
        <w:t>Formula:</w:t>
      </w:r>
    </w:p>
    <w:p w:rsidRPr="002B54C7" w:rsidR="002B54C7" w:rsidP="3DC018EE" w:rsidRDefault="00191111" w14:paraId="3FF4E08B" w14:textId="3FF69E23">
      <w:pPr>
        <w:tabs>
          <w:tab w:val="right" w:pos="10080"/>
        </w:tabs>
        <w:jc w:val="center"/>
      </w:pPr>
      <w:r>
        <w:rPr>
          <w:rFonts w:ascii="Cambria Math" w:hAnsi="Cambria Math"/>
          <w:sz w:val="18"/>
        </w:rPr>
        <w:t>y_z = β₀ + β RaceSES_z + γX_z + λ Infrastructure_z + ϕ Demand_z + ψ DER_z + ε_z (14)</w:t>
      </w:r>
    </w:p>
    <w:p w:rsidR="002B54C7" w:rsidP="00091F08" w:rsidRDefault="002B54C7" w14:paraId="6DE49933" w14:textId="21E96CB6">
      <w:r w:rsidR="002B54C7">
        <w:rPr/>
        <w:t>Because these two variants differ in both outcome and control set, we treat them as targeted robustness and extension models rather than a single, uniform specification applied across all outcomes.</w:t>
      </w:r>
    </w:p>
    <w:p w:rsidR="00091F08" w:rsidP="00091F08" w:rsidRDefault="00091F08" w14:paraId="67326EDE" w14:textId="38C881A9">
      <w:r>
        <w:t>Taken together, this model ladder allows us to ask a structured question: do racial/ethnic disparities shrink meaningfully once we account for socioeconomic status, geography, utility context, and infrastructure, or do they remain persistent across specifications?</w:t>
      </w:r>
    </w:p>
    <w:p w:rsidR="00091F08" w:rsidP="00091F08" w:rsidRDefault="0042424C" w14:paraId="14D4341D" w14:textId="758A24E6">
      <w:pPr>
        <w:pStyle w:val="Heading2"/>
        <w:numPr>
          <w:ilvl w:val="1"/>
          <w:numId w:val="11"/>
        </w:numPr>
      </w:pPr>
      <w:bookmarkStart w:name="_Ref_sec_m_estimation" w:id="9433"/>
      <w:r>
        <w:t>Estimation and Inference</w:t>
      </w:r>
      <w:bookmarkEnd w:id="9433"/>
    </w:p>
    <w:p w:rsidR="00091F08" w:rsidP="00091F08" w:rsidRDefault="00091F08" w14:paraId="5B977C0B" w14:textId="6DBC1526">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rsidR="00091F08" w:rsidP="00091F08" w:rsidRDefault="0042424C" w14:paraId="5D7E87B6" w14:textId="29C8DB77">
      <w:pPr>
        <w:pStyle w:val="Heading2"/>
        <w:numPr>
          <w:ilvl w:val="1"/>
          <w:numId w:val="11"/>
        </w:numPr>
      </w:pPr>
      <w:bookmarkStart w:name="_Ref_sec_m_robustness" w:id="9434"/>
      <w:r>
        <w:t>Robustness and Diagnostic Checks</w:t>
      </w:r>
      <w:bookmarkEnd w:id="9434"/>
    </w:p>
    <w:p w:rsidR="00091F08" w:rsidP="00091F08" w:rsidRDefault="00091F08" w14:paraId="5A294987" w14:textId="2DBCA13E">
      <w:r w:rsidR="00091F08">
        <w:rPr/>
        <w:t xml:space="preserve">In addition to the main regression ladder, we conduct several supporting checks. </w:t>
      </w:r>
      <w:r w:rsidR="00091F08">
        <w:rPr/>
        <w:t>We examine variance inflation factors (VIFs) to monitor multicollinearity across specifications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xml:space="preserve">, compare alternative climate and resource control blocks to test the stability of the results, estimate county-clustered standard errors to assess whether statistical significance is sensitive to local spatial clustering, </w:t>
      </w:r>
      <w:r w:rsidR="00091F08">
        <w:rPr/>
        <w:t>and generate descriptive maps, distribution plots, and coefficient comparison figures to visualize both the raw patterns and the modeled results</w:t>
      </w:r>
      <w:r w:rsidR="00091F08">
        <w:rPr/>
        <w:t xml:space="preserve"> (</w:t>
      </w:r>
      <w:r>
        <w:fldChar w:fldCharType="begin"/>
      </w:r>
      <w:r>
        <w:instrText xml:space="preserve"> REF _Ref_fig1 \h </w:instrText>
      </w:r>
      <w:r>
        <w:fldChar w:fldCharType="separate"/>
      </w:r>
      <w:r w:rsidR="00091F08">
        <w:rPr/>
        <w:t>Figure 1</w:t>
      </w:r>
      <w:r>
        <w:fldChar w:fldCharType="end"/>
      </w:r>
      <w:r w:rsidR="00091F08">
        <w:rPr/>
        <w:t xml:space="preserve">, </w:t>
      </w:r>
      <w:r>
        <w:fldChar w:fldCharType="begin"/>
      </w:r>
      <w:r>
        <w:instrText xml:space="preserve"> REF _Ref_fig2 \h </w:instrText>
      </w:r>
      <w:r>
        <w:fldChar w:fldCharType="separate"/>
      </w:r>
      <w:r w:rsidR="00091F08">
        <w:rPr/>
        <w:t>Figure 2</w:t>
      </w:r>
      <w:r>
        <w:fldChar w:fldCharType="end"/>
      </w:r>
      <w:r w:rsidR="00091F08">
        <w:rPr/>
        <w:t xml:space="preserve">, and </w:t>
      </w:r>
      <w:r>
        <w:fldChar w:fldCharType="begin"/>
      </w:r>
      <w:r>
        <w:instrText xml:space="preserve"> REF _Ref_fig4 \h </w:instrText>
      </w:r>
      <w:r>
        <w:fldChar w:fldCharType="separate"/>
      </w:r>
      <w:r w:rsidR="00091F08">
        <w:rPr/>
        <w:t>Figure 4</w:t>
      </w:r>
      <w:r>
        <w:fldChar w:fldCharType="end"/>
      </w:r>
      <w:r w:rsidR="00091F08">
        <w:rPr/>
        <w:t>)</w:t>
      </w:r>
      <w:r w:rsidR="00091F08">
        <w:rPr/>
        <w:t>.</w:t>
      </w:r>
      <w:r w:rsidR="00091F08">
        <w:rPr/>
        <w:t xml:space="preserve"> Residual spatial dependence and spatially robust inference are examined in </w:t>
      </w:r>
      <w:r>
        <w:fldChar w:fldCharType="begin"/>
      </w:r>
      <w:r>
        <w:instrText xml:space="preserve"> REF _Ref_sec_appx_diag \h </w:instrText>
      </w:r>
      <w:r>
        <w:fldChar w:fldCharType="separate"/>
      </w:r>
      <w:r w:rsidR="00091F08">
        <w:rPr/>
        <w:t>Statistical robustness and diagnostics</w:t>
      </w:r>
      <w:r>
        <w:fldChar w:fldCharType="end"/>
      </w:r>
      <w:r w:rsidR="00091F08">
        <w:rPr/>
        <w:t xml:space="preserve"> (</w:t>
      </w:r>
      <w:r>
        <w:fldChar w:fldCharType="begin"/>
      </w:r>
      <w:r>
        <w:instrText xml:space="preserve"> REF _Ref_tbl_moran \h </w:instrText>
      </w:r>
      <w:r>
        <w:fldChar w:fldCharType="separate"/>
      </w:r>
      <w:r w:rsidR="00091F08">
        <w:rPr/>
        <w:t>Table 8</w:t>
      </w:r>
      <w:r>
        <w:fldChar w:fldCharType="end"/>
      </w:r>
      <w:r w:rsidR="00091F08">
        <w:rPr/>
        <w:t xml:space="preserve"> and </w:t>
      </w:r>
      <w:r>
        <w:fldChar w:fldCharType="begin"/>
      </w:r>
      <w:r>
        <w:instrText xml:space="preserve"> REF _Ref_tbl_conley \h </w:instrText>
      </w:r>
      <w:r>
        <w:fldChar w:fldCharType="separate"/>
      </w:r>
      <w:r w:rsidR="00091F08">
        <w:rPr/>
        <w:t>Table 9</w:t>
      </w:r>
      <w:r>
        <w:fldChar w:fldCharType="end"/>
      </w:r>
      <w:r w:rsidR="00091F08">
        <w:rPr/>
        <w:t>).</w:t>
      </w:r>
    </w:p>
    <w:p w:rsidR="00091F08" w:rsidP="00091F08" w:rsidRDefault="00091F08" w14:paraId="7CF695E8" w14:textId="02528DDE">
      <w:r w:rsidR="00091F08">
        <w:rPr/>
        <w:t xml:space="preserve">VIF screening informs the </w:t>
      </w:r>
      <w:r w:rsidR="00091F08">
        <w:rPr/>
        <w:t>model</w:t>
      </w:r>
      <w:r w:rsidR="00091F08">
        <w:rPr/>
        <w:t xml:space="preserve"> inventory, but it is not used as a rigid mechanical inclusion rule. </w:t>
      </w:r>
      <w:r w:rsidR="00091F08">
        <w:rPr/>
        <w:t>Some richer specifications show elevated VIF values</w:t>
      </w:r>
      <w:r w:rsidR="00091F08">
        <w:rPr/>
        <w:t xml:space="preserve"> (</w:t>
      </w:r>
      <w:r>
        <w:fldChar w:fldCharType="begin"/>
      </w:r>
      <w:r>
        <w:instrText xml:space="preserve"> REF _Ref_tbl_vif \h </w:instrText>
      </w:r>
      <w:r>
        <w:fldChar w:fldCharType="separate"/>
      </w:r>
      <w:r w:rsidR="00091F08">
        <w:rPr/>
        <w:t>Table 7</w:t>
      </w:r>
      <w:r>
        <w:fldChar w:fldCharType="end"/>
      </w:r>
      <w:r w:rsidR="00091F08">
        <w:rPr/>
        <w:t>)</w:t>
      </w:r>
      <w:r w:rsidR="00091F08">
        <w:rPr/>
        <w:t>, especially once multiple SES and contextual controls are introduced.</w:t>
      </w:r>
      <w:r w:rsidR="00091F08">
        <w:rPr/>
        <w:t xml:space="preserve"> We </w:t>
      </w:r>
      <w:r w:rsidR="00091F08">
        <w:rPr/>
        <w:t>retain</w:t>
      </w:r>
      <w:r w:rsidR="00091F08">
        <w:rPr/>
        <w:t xml:space="preserve"> predictors when they correspond to substantively distinct constructs that are central to the modeling </w:t>
      </w:r>
      <w:r w:rsidR="00091F08">
        <w:rPr/>
        <w:t>objective</w:t>
      </w:r>
      <w:r w:rsidR="00091F08">
        <w:rPr/>
        <w:t xml:space="preserve"> rather than treating any moderate VIF increase as evidence that the model is unusable. The relevant </w:t>
      </w:r>
      <w:r w:rsidR="00091F08">
        <w:rPr/>
        <w:t>question for this paper is therefore whether the coefficients of interest remain interpretable and stable, not whether every rich specification minimizes collinearity by design.</w:t>
      </w:r>
    </w:p>
    <w:p w:rsidR="00091F08" w:rsidP="00091F08" w:rsidRDefault="00091F08" w14:paraId="1AE1EBA1" w14:textId="0192E238">
      <w:r>
        <w:t>In exploratory analysis, we compare linear specifications to more flexible predictive models, including polynomial regression, random forest, and gradient-boosted trees, using cross-validation (Figure 17, Figure 18, and Figure 20). These models are not the basis for the paper’s main claims. Instead, they serve as a diagnostic check on whether simple linear models are missing strong nonlinear structure. The substantive conclusions remain grounded in the interpretable OLS results.</w:t>
      </w:r>
    </w:p>
    <w:p w:rsidR="00091F08" w:rsidP="00CF0667" w:rsidRDefault="00D32F87" w14:paraId="68194D30" w14:textId="4E19FCCA">
      <w:pPr>
        <w:pStyle w:val="Heading2"/>
        <w:numPr>
          <w:ilvl w:val="1"/>
          <w:numId w:val="11"/>
        </w:numPr>
        <w:jc w:val="both"/>
      </w:pPr>
      <w:r>
        <w:t>Methodological Limitations</w:t>
      </w:r>
    </w:p>
    <w:p w:rsidR="00091F08" w:rsidP="00091F08" w:rsidRDefault="00091F08" w14:paraId="7D755332" w14:textId="5EFFB05D">
      <w:r>
        <w:t>This methodology identifies area-level associations, not causal effects. B25024 structure and B25003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rsidR="00B86A12" w:rsidRDefault="00000000" w14:paraId="30D6CF34" w14:textId="24341779">
      <w:pPr>
        <w:pStyle w:val="Heading1"/>
        <w:numPr>
          <w:ilvl w:val="0"/>
          <w:numId w:val="11"/>
        </w:numPr>
      </w:pPr>
      <w:bookmarkStart w:name="_Ref_sec_limitations" w:id="9435"/>
      <w:r>
        <w:t>Limitations</w:t>
      </w:r>
      <w:bookmarkEnd w:id="9435"/>
    </w:p>
    <w:p w:rsidR="00B86A12" w:rsidRDefault="00000000" w14:paraId="3BD7D256" w14:textId="77777777">
      <w:r>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rsidR="00B86A12" w:rsidRDefault="00000000" w14:paraId="61ACFBEA" w14:textId="77777777">
      <w:r w:rsidR="00000000">
        <w:rPr/>
        <w:t>The use of ZIP/ZCTA geography is a practical strength for harmonizing multiple datasets, but it also introduces limitations. ZIP/ZCTAs can blur substantial within-</w:t>
      </w:r>
      <w:r w:rsidR="00000000">
        <w:rPr/>
        <w:t>area</w:t>
      </w:r>
      <w:r w:rsidR="00000000">
        <w:rPr/>
        <w:t xml:space="preserve"> heterogeneity, and ecological inference problems </w:t>
      </w:r>
      <w:r w:rsidR="00000000">
        <w:rPr/>
        <w:t>remain</w:t>
      </w:r>
      <w:r w:rsidR="00000000">
        <w:rPr/>
        <w:t xml:space="preserve">. The analysis therefore cannot describe the behavior of individual households or residents. In addition, some raw source files </w:t>
      </w:r>
      <w:r w:rsidR="00000000">
        <w:rPr/>
        <w:t>required</w:t>
      </w:r>
      <w:r w:rsidR="00000000">
        <w:rPr/>
        <w:t xml:space="preserve"> spatial assignment from latitude and longitude, manual ZIP corrections, or source-specific cleaning decisions, all of which may introduce measurement error. For EV chargers specifically, </w:t>
      </w:r>
      <w:r w:rsidR="00000000">
        <w:rPr/>
        <w:t>rows without valid source ZIPs are excluded from ZIP/ZCTA outcomes rather than rescued from coordinates</w:t>
      </w:r>
      <w:r w:rsidR="00000000">
        <w:rPr/>
        <w:t xml:space="preserve"> (Section </w:t>
      </w:r>
      <w:r>
        <w:fldChar w:fldCharType="begin"/>
      </w:r>
      <w:r>
        <w:instrText xml:space="preserve"> REF _Ref_sec_m_data \r \h </w:instrText>
      </w:r>
      <w:r>
        <w:fldChar w:fldCharType="separate"/>
      </w:r>
      <w:r w:rsidR="00000000">
        <w:rPr/>
        <w:t>6.2</w:t>
      </w:r>
      <w:r>
        <w:fldChar w:fldCharType="end"/>
      </w:r>
      <w:r w:rsidR="00000000">
        <w:rPr/>
        <w:t>)</w:t>
      </w:r>
      <w:r w:rsidR="00000000">
        <w:rPr/>
        <w:t>, so the charger outcomes should be interpreted as valid-source-ZIP charger records.</w:t>
      </w:r>
    </w:p>
    <w:p w:rsidR="00B86A12" w:rsidRDefault="00000000" w14:paraId="44493592" w14:textId="77777777">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(Section 4.8; Figure 16).</w:t>
      </w:r>
    </w:p>
    <w:p w:rsidR="00B86A12" w:rsidRDefault="00000000" w14:paraId="4798FBA7" w14:textId="77777777">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rsidR="00B86A12" w:rsidRDefault="00000000" w14:paraId="52FB18CC" w14:textId="77777777">
      <w:pPr>
        <w:pStyle w:val="Heading1"/>
        <w:numPr>
          <w:ilvl w:val="0"/>
          <w:numId w:val="11"/>
        </w:numPr>
      </w:pPr>
      <w:bookmarkStart w:name="_Ref_sec_conclusion" w:id="9436"/>
      <w:r>
        <w:t>Conclusion</w:t>
      </w:r>
      <w:bookmarkEnd w:id="9436"/>
    </w:p>
    <w:p w:rsidR="00B86A12" w:rsidRDefault="00000000" w14:paraId="05F32FDE" w14:textId="77777777">
      <w:r w:rsidR="00000000">
        <w:rPr/>
        <w:t>This paper asks whether racial and socioeconomic disparities in distributed energy resource deployment persist across California ZIP/ZCTA areas</w:t>
      </w:r>
      <w:r w:rsidR="00000000">
        <w:rPr/>
        <w:t xml:space="preserve"> (Section </w:t>
      </w:r>
      <w:r>
        <w:fldChar w:fldCharType="begin"/>
      </w:r>
      <w:r>
        <w:instrText xml:space="preserve"> REF _Ref_sec_intro \r \h </w:instrText>
      </w:r>
      <w:r>
        <w:fldChar w:fldCharType="separate"/>
      </w:r>
      <w:r w:rsidR="00000000">
        <w:rPr/>
        <w:t>1</w:t>
      </w:r>
      <w:r>
        <w:fldChar w:fldCharType="end"/>
      </w:r>
      <w:r w:rsidR="00000000">
        <w:rPr/>
        <w:t>)</w:t>
      </w:r>
      <w:r w:rsidR="00000000">
        <w:rPr/>
        <w:t xml:space="preserve"> once </w:t>
      </w:r>
      <w:r w:rsidR="00000000">
        <w:rPr/>
        <w:t>observed</w:t>
      </w:r>
      <w:r w:rsidR="00000000">
        <w:rPr/>
        <w:t xml:space="preserve"> socioeconomic, geographic, institutional, and infrastructure controls are added. The answer is yes, but the form of disparity depends strongly on the technology being considered. </w:t>
      </w:r>
      <w:r w:rsidR="00000000">
        <w:rPr/>
        <w:t>Solar PV and especially battery storage remain unequally distributed across communities even in more demanding specifications</w:t>
      </w:r>
      <w:r w:rsidR="00000000">
        <w:rPr/>
        <w:t xml:space="preserve"> (Sections </w:t>
      </w:r>
      <w:r>
        <w:fldChar w:fldCharType="begin"/>
      </w:r>
      <w:r>
        <w:instrText xml:space="preserve"> REF _Ref_sec_r_pv \r \h </w:instrText>
      </w:r>
      <w:r>
        <w:fldChar w:fldCharType="separate"/>
      </w:r>
      <w:r w:rsidR="00000000">
        <w:rPr/>
        <w:t>4.2</w:t>
      </w:r>
      <w:r>
        <w:fldChar w:fldCharType="end"/>
      </w:r>
      <w:r w:rsidR="00000000">
        <w:rPr/>
        <w:t xml:space="preserve"> and </w:t>
      </w:r>
      <w:r>
        <w:fldChar w:fldCharType="begin"/>
      </w:r>
      <w:r>
        <w:instrText xml:space="preserve"> REF _Ref_sec_r_storage \r \h </w:instrText>
      </w:r>
      <w:r>
        <w:fldChar w:fldCharType="separate"/>
      </w:r>
      <w:r w:rsidR="00000000">
        <w:rPr/>
        <w:t>4.3</w:t>
      </w:r>
      <w:r>
        <w:fldChar w:fldCharType="end"/>
      </w:r>
      <w:r w:rsidR="00000000">
        <w:rPr/>
        <w:t>)</w:t>
      </w:r>
      <w:r w:rsidR="00000000">
        <w:rPr/>
        <w:t>, while EV charging shows a more complicated pattern</w:t>
      </w:r>
      <w:r w:rsidR="00000000">
        <w:rPr/>
        <w:t xml:space="preserve"> (Section </w:t>
      </w:r>
      <w:r>
        <w:fldChar w:fldCharType="begin"/>
      </w:r>
      <w:r>
        <w:instrText xml:space="preserve"> REF _Ref_sec_r_chargers \r \h </w:instrText>
      </w:r>
      <w:r>
        <w:fldChar w:fldCharType="separate"/>
      </w:r>
      <w:r w:rsidR="00000000">
        <w:rPr/>
        <w:t>4.4</w:t>
      </w:r>
      <w:r>
        <w:fldChar w:fldCharType="end"/>
      </w:r>
      <w:r w:rsidR="00000000">
        <w:rPr/>
        <w:t>)</w:t>
      </w:r>
      <w:r w:rsidR="00000000">
        <w:rPr/>
        <w:t xml:space="preserve"> in which aggregate charger counts</w:t>
      </w:r>
      <w:r w:rsidR="00000000">
        <w:rPr/>
        <w:t xml:space="preserve"> can obscure meaningful differences across charger types.</w:t>
      </w:r>
    </w:p>
    <w:p w:rsidR="00B86A12" w:rsidRDefault="00000000" w14:paraId="5D7FFE63" w14:textId="77777777">
      <w:r w:rsidR="00000000">
        <w:rPr/>
        <w:t>The broader lesson is that clean energy inequality is not one phenomenon</w:t>
      </w:r>
      <w:r w:rsidR="00000000">
        <w:rPr/>
        <w:t xml:space="preserve"> (Section </w:t>
      </w:r>
      <w:r>
        <w:fldChar w:fldCharType="begin"/>
      </w:r>
      <w:r>
        <w:instrText xml:space="preserve"> REF _Ref_sec_r_overall \r \h </w:instrText>
      </w:r>
      <w:r>
        <w:fldChar w:fldCharType="separate"/>
      </w:r>
      <w:r w:rsidR="00000000">
        <w:rPr/>
        <w:t>4.9</w:t>
      </w:r>
      <w:r>
        <w:fldChar w:fldCharType="end"/>
      </w:r>
      <w:r w:rsidR="00000000">
        <w:rPr/>
        <w:t>)</w:t>
      </w:r>
      <w:r w:rsidR="00000000">
        <w:rPr/>
        <w:t>.</w:t>
      </w:r>
      <w:r w:rsidR="00000000">
        <w:rP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w:t>
      </w:r>
      <w:r w:rsidR="00000000">
        <w:rPr/>
        <w:t>A more credible clean energy transition therefore requires not only more deployment, but better measurement of who can actually use, benefit from, and rely on each technology.</w:t>
      </w:r>
    </w:p>
    <w:p w:rsidR="00B86A12" w:rsidRDefault="00000000" w14:paraId="124EF249" w14:textId="77777777">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rsidR="00B86A12" w:rsidRDefault="00000000" w14:paraId="79B19795" w14:textId="77777777">
      <w:pPr>
        <w:pStyle w:val="Heading1"/>
      </w:pPr>
      <w:bookmarkStart w:name="_Ref_sec_appendix" w:id="9437"/>
      <w:r>
        <w:t>Appendix: Additional Robustness Visuals</w:t>
      </w:r>
      <w:r>
        <w:rPr>
          <w:rStyle w:val="CommentReference"/>
          <w:sz w:val="28"/>
          <w:szCs w:val="28"/>
        </w:rPr>
      </w:r>
      <w:bookmarkEnd w:id="9437"/>
    </w:p>
    <w:p w:rsidR="00B86A12" w:rsidRDefault="00000000" w14:paraId="2D1130C2" w14:textId="77777777">
      <w:r>
        <w:t>This appendix keeps the heavier visual material out of the main results flow while preserving model-comparison, spatial, wind, and housing-control checks (Figures 17 through 21), followed by the statistical diagnostics in Tables 7 through 9.</w:t>
      </w:r>
    </w:p>
    <w:p w:rsidR="00B86A12" w:rsidRDefault="00000000" w14:paraId="07883F19" w14:textId="77777777">
      <w:pPr>
        <w:pStyle w:val="Heading3"/>
      </w:pPr>
      <w:r>
        <w:t>Outcome-specific model comparisons</w:t>
      </w:r>
    </w:p>
    <w:p w:rsidR="00B86A12" w:rsidRDefault="00000000" w14:paraId="10E9538A" w14:textId="77777777">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rsidR="00537512" w:rsidRDefault="00000000" w14:paraId="63B2BFDC" w14:textId="7AC4CE66">
      <w:pPr>
        <w:pStyle w:val="Caption"/>
        <w:keepNext/>
      </w:pPr>
      <w:r>
        <w:t>Figure 17: Storage adoption: cross-validated predictive comparison of linear and nonlinear models. Error bars are +/- 1 SD across the five cross-validation folds.</w:t>
      </w:r>
    </w:p>
    <w:p w:rsidR="00B86A12" w:rsidRDefault="00000000" w14:paraId="6236841C" w14:textId="77777777">
      <w:r>
        <w:t>Storage model-comparison figure (Figure 17). The same appendix folder also includes EV charging (Figure 18) and wind (Figure 20) comparison exports for side-by-side review.</w:t>
      </w:r>
    </w:p>
    <w:p w:rsidR="00B86A12" w:rsidRDefault="00000000" w14:paraId="6077221A" w14:textId="77777777">
      <w:pPr>
        <w:pStyle w:val="Heading3"/>
      </w:pPr>
      <w:r>
        <w:t>EV charging model comparison</w:t>
      </w:r>
    </w:p>
    <w:p w:rsidR="00B86A12" w:rsidRDefault="00000000" w14:paraId="556429EB" w14:textId="77777777">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rsidR="00537512" w:rsidRDefault="00000000" w14:paraId="5B773728" w14:textId="7600B193">
      <w:pPr>
        <w:pStyle w:val="Caption"/>
        <w:keepNext/>
      </w:pPr>
      <w:r>
        <w:t>Figure 18: Aggregate EV charging: cross-validated predictive comparison of linear and nonlinear models.</w:t>
      </w:r>
    </w:p>
    <w:p w:rsidR="00B86A12" w:rsidRDefault="00000000" w14:paraId="7EA8FA7A" w14:textId="77777777">
      <w:r>
        <w:t>Aggregate charging comparison across the model ladder (Figure 18), included here rather than inline so the main section can focus on the headline robustness (Figure 8) and subtype composition (Figure 9) figures.</w:t>
      </w:r>
    </w:p>
    <w:p w:rsidR="00B86A12" w:rsidRDefault="00000000" w14:paraId="339E1FEB" w14:textId="77777777">
      <w:pPr>
        <w:pStyle w:val="Heading3"/>
      </w:pPr>
      <w:r>
        <w:t>Representative baseline spatial maps</w:t>
      </w:r>
    </w:p>
    <w:p w:rsidR="00B86A12" w:rsidRDefault="00000000" w14:paraId="543B4F1D" w14:textId="77777777">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rsidR="00537512" w:rsidRDefault="00000000" w14:paraId="078BEA61" w14:textId="6CDB1512">
      <w:pPr>
        <w:pStyle w:val="Caption"/>
        <w:keepNext/>
      </w:pPr>
      <w:r>
        <w:t>Figure 19: Representative baseline spatial output for rooftop PV: observed adoption and Model 1 standardized residuals by ZIP/ZCTA.</w:t>
      </w:r>
    </w:p>
    <w:p w:rsidR="00B86A12" w:rsidRDefault="00000000" w14:paraId="0256F616" w14:textId="77777777">
      <w:r>
        <w:t>Representative baseline spatial output for rooftop PV (Figure 19). Matching storage and charging spatial maps are linked in the same appendix asset folder; the statewide observed geography for all three outcomes is shown in Figure 1.</w:t>
      </w:r>
    </w:p>
    <w:p w:rsidR="00B86A12" w:rsidRDefault="00000000" w14:paraId="5D2B68B5" w14:textId="77777777">
      <w:pPr>
        <w:pStyle w:val="Heading3"/>
      </w:pPr>
      <w:r>
        <w:t>Supplementary wind comparison</w:t>
      </w:r>
    </w:p>
    <w:p w:rsidR="00B86A12" w:rsidRDefault="00000000" w14:paraId="655CC2DE" w14:textId="77777777">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rsidR="00537512" w:rsidRDefault="00000000" w14:paraId="4AFCA1E6" w14:textId="3730A345">
      <w:pPr>
        <w:pStyle w:val="Caption"/>
        <w:keepNext/>
      </w:pPr>
      <w:r>
        <w:t>Figure 20: Wind capacity: cross-validated predictive comparison of linear and nonlinear models, included as contextual material.</w:t>
      </w:r>
    </w:p>
    <w:p w:rsidR="00B86A12" w:rsidRDefault="00000000" w14:paraId="32ACAAB2" w14:textId="77777777">
      <w:r>
        <w:t>Wind remains supplementary in the paper (Section 4.8), but the model-comparison export (Figure 20) is preserved here as a contextual benchmark against the consumer-facing DER outcomes.</w:t>
      </w:r>
    </w:p>
    <w:p>
      <w:pPr>
        <w:pStyle w:val="Heading3"/>
      </w:pPr>
      <w:r>
        <w:t>Housing structure and tenure attenuation</w:t>
      </w:r>
    </w:p>
    <w:p>
      <w:r>
        <w:drawing>
          <wp:inline>
            <wp:extent cx="5852160" cy="2338610"/>
            <wp:docPr id="1989849343" name="Picture 1989849343" descr="Race coefficients before and after adding housing structure and tenure controls"/>
            <wp:cNvGraphicFramePr>
              <a:graphicFrameLocks noChangeAspect="1"/>
            </wp:cNvGraphicFramePr>
            <a:graphic>
              <a:graphicData uri="http://schemas.openxmlformats.org/drawingml/2006/picture">
                <pic:pic>
                  <pic:nvPicPr>
                    <pic:cNvPr id="0" name="housing_structure_attenuation.png"/>
                    <pic:cNvPicPr/>
                  </pic:nvPicPr>
                  <pic:blipFill>
                    <a:blip r:embed="rId46"/>
                    <a:stretch>
                      <a:fillRect/>
                    </a:stretch>
                  </pic:blipFill>
                  <pic:spPr>
                    <a:xfrm>
                      <a:off x="0" y="0"/>
                      <a:ext cx="5852160" cy="2338610"/>
                    </a:xfrm>
                    <a:prstGeom prst="rect"/>
                  </pic:spPr>
                </pic:pic>
              </a:graphicData>
            </a:graphic>
          </wp:inline>
        </w:drawing>
      </w:r>
    </w:p>
    <w:p>
      <w:pPr>
        <w:pStyle w:val="Caption"/>
      </w:pPr>
      <w:r>
        <w:t>Figure 21: Race-coefficient attenuation after adding exhaustive B25024 housing structure and B25003 tenure controls. Hollow points are the standardized baseline; filled points are Model 2D.</w:t>
      </w:r>
    </w:p>
    <w:p>
      <w:pPr/>
      <w:r>
        <w:t>Structure coefficients use single-family housing as the omitted reference, and tenure uses renters as the omitted reference.</w:t>
      </w:r>
    </w:p>
    <w:p xmlns:wp14="http://schemas.microsoft.com/office/word/2010/wordml" w14:paraId="08C926C6" wp14:textId="77777777">
      <w:pPr>
        <w:pStyle w:val="Heading2"/>
      </w:pPr>
      <w:bookmarkStart w:name="_Ref_sec_appx_diag" w:id="9438"/>
      <w:r w:rsidR="3DC018EE">
        <w:rPr/>
        <w:t>Statistical robustness and diagnostics</w:t>
      </w:r>
      <w:bookmarkEnd w:id="9438"/>
    </w:p>
    <w:p xmlns:wp14="http://schemas.microsoft.com/office/word/2010/wordml" w14:paraId="729C019C" wp14:textId="77777777">
      <w:pPr/>
      <w:r w:rsidR="3DC018EE">
        <w:rPr/>
        <w:t xml:space="preserve">The </w:t>
      </w:r>
      <w:r w:rsidR="3DC018EE">
        <w:rPr/>
        <w:t>remainder</w:t>
      </w:r>
      <w:r w:rsidR="3DC018EE">
        <w:rPr/>
        <w:t xml:space="preserve"> of the appendix reports diagnostic checks on the estimating equations rather than </w:t>
      </w:r>
      <w:r w:rsidR="3DC018EE">
        <w:rPr/>
        <w:t>additional</w:t>
      </w:r>
      <w:r w:rsidR="3DC018EE">
        <w:rPr/>
        <w:t xml:space="preserve"> descriptive figures</w:t>
      </w:r>
      <w:r w:rsidR="3DC018EE">
        <w:rPr/>
        <w:t xml:space="preserve"> (</w:t>
      </w:r>
      <w:r>
        <w:fldChar w:fldCharType="begin"/>
      </w:r>
      <w:r>
        <w:instrText xml:space="preserve"> REF _Ref_tbl_vif \h </w:instrText>
      </w:r>
      <w:r>
        <w:fldChar w:fldCharType="separate"/>
      </w:r>
      <w:r w:rsidR="3DC018EE">
        <w:rPr/>
        <w:t>Table 7</w:t>
      </w:r>
      <w:r>
        <w:fldChar w:fldCharType="end"/>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 xml:space="preserve">, and </w:t>
      </w:r>
      <w:r>
        <w:fldChar w:fldCharType="begin"/>
      </w:r>
      <w:r>
        <w:instrText xml:space="preserve"> REF _Ref_tbl_conley \h </w:instrText>
      </w:r>
      <w:r>
        <w:fldChar w:fldCharType="separate"/>
      </w:r>
      <w:r w:rsidR="3DC018EE">
        <w:rPr/>
        <w:t>Table 9</w:t>
      </w:r>
      <w:r>
        <w:fldChar w:fldCharType="end"/>
      </w:r>
      <w:r w:rsidR="3DC018EE">
        <w:rPr/>
        <w:t>)</w:t>
      </w:r>
      <w:r w:rsidR="3DC018EE">
        <w:rPr/>
        <w:t>.</w:t>
      </w:r>
      <w:r w:rsidR="3DC018EE">
        <w:rPr/>
        <w:t xml:space="preserve"> These do not alter any </w:t>
      </w:r>
      <w:r w:rsidR="3DC018EE">
        <w:rPr/>
        <w:t>point</w:t>
      </w:r>
      <w:r w:rsidR="3DC018EE">
        <w:rPr/>
        <w:t xml:space="preserve"> estimate; </w:t>
      </w:r>
      <w:r w:rsidR="3DC018EE">
        <w:rPr/>
        <w:t xml:space="preserve">they </w:t>
      </w:r>
      <w:r w:rsidR="3DC018EE">
        <w:rPr/>
        <w:t>characterise</w:t>
      </w:r>
      <w:r w:rsidR="3DC018EE">
        <w:rPr/>
        <w:t xml:space="preserve"> how much confidence the standard errors deserve and where the specification is strained.</w:t>
      </w:r>
      <w:r w:rsidR="3DC018EE">
        <w:rPr/>
        <w:t xml:space="preserve"> Section </w:t>
      </w:r>
      <w:r>
        <w:fldChar w:fldCharType="begin"/>
      </w:r>
      <w:r>
        <w:instrText xml:space="preserve"> REF _Ref_sec_m_robustness \r \h </w:instrText>
      </w:r>
      <w:r>
        <w:fldChar w:fldCharType="separate"/>
      </w:r>
      <w:r w:rsidR="3DC018EE">
        <w:rPr/>
        <w:t>6.9</w:t>
      </w:r>
      <w:r>
        <w:fldChar w:fldCharType="end"/>
      </w:r>
      <w:r w:rsidR="3DC018EE">
        <w:rPr/>
        <w:t xml:space="preserve"> describes the diagnostic strategy these checks implement.</w:t>
      </w:r>
    </w:p>
    <w:p xmlns:wp14="http://schemas.microsoft.com/office/word/2010/wordml" w14:paraId="69DFA50E" wp14:textId="77777777">
      <w:pPr>
        <w:pStyle w:val="Heading3"/>
        <w:pageBreakBefore/>
      </w:pPr>
      <w:r w:rsidR="3DC018EE">
        <w:rPr/>
        <w:t>Multicollinearity diagnostics</w:t>
      </w:r>
    </w:p>
    <w:p xmlns:wp14="http://schemas.microsoft.com/office/word/2010/wordml" w14:paraId="14DFDF17" wp14:textId="77777777">
      <w:pPr/>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VIF tables for every model and outcome are exported alongside the coefficient tables.</w:t>
      </w:r>
    </w:p>
    <w:p xmlns:wp14="http://schemas.microsoft.com/office/word/2010/wordml" w14:paraId="12FEDFB2" wp14:textId="77777777">
      <w:pPr>
        <w:pStyle w:val="Caption"/>
        <w:keepNext w:val="1"/>
      </w:pPr>
      <w:bookmarkStart w:name="_Ref_tbl_vif" w:id="8482"/>
      <w:r w:rsidR="3DC018EE">
        <w:rPr/>
        <w:t xml:space="preserve">Table </w:t>
      </w:r>
      <w:r>
        <w:fldChar w:fldCharType="begin"/>
      </w:r>
      <w:r>
        <w:instrText xml:space="preserve"> SEQ Table \* ARABIC </w:instrText>
      </w:r>
      <w:r>
        <w:fldChar w:fldCharType="separate"/>
      </w:r>
      <w:r w:rsidR="3DC018EE">
        <w:rPr/>
        <w:t>7</w:t>
      </w:r>
      <w:r>
        <w:fldChar w:fldCharType="end"/>
      </w:r>
      <w:bookmarkEnd w:id="8482"/>
      <w:r w:rsidR="3DC018EE">
        <w:rPr/>
        <w:t xml:space="preserve">: Variance inflation factors across four Solar PV specifications. Values above about 10 </w:t>
      </w:r>
      <w:r w:rsidR="3DC018EE">
        <w:rPr/>
        <w:t>indicate</w:t>
      </w:r>
      <w:r w:rsidR="3DC018EE">
        <w:rPr/>
        <w:t xml:space="preserve"> a coefficient is not separately </w:t>
      </w:r>
      <w:r w:rsidR="3DC018EE">
        <w:rPr/>
        <w:t>identified</w:t>
      </w:r>
      <w:r w:rsidR="3DC018EE">
        <w:rPr/>
        <w:t xml:space="preserve">; an </w:t>
      </w:r>
      <w:r w:rsidR="3DC018EE">
        <w:rPr/>
        <w:t>em</w:t>
      </w:r>
      <w:r w:rsidR="3DC018EE">
        <w:rPr/>
        <w:t xml:space="preserve"> dash means the predictor does not enter that model.</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73D8F3A8" wp14:textId="77777777">
        <w:trPr>
          <w:trHeight w:val="300"/>
        </w:trPr>
        <w:tc>
          <w:tcPr>
            <w:tcW w:w="2600" w:type="dxa"/>
            <w:tcMar/>
          </w:tcPr>
          <w:p w14:paraId="21D1D49E" wp14:textId="77777777">
            <w:pPr/>
            <w:r w:rsidR="3DC018EE">
              <w:rPr/>
              <w:t>Predictor</w:t>
            </w:r>
          </w:p>
        </w:tc>
        <w:tc>
          <w:tcPr>
            <w:tcW w:w="1500" w:type="dxa"/>
            <w:tcMar/>
          </w:tcPr>
          <w:p w14:paraId="1663C669" wp14:textId="77777777">
            <w:pPr/>
            <w:r w:rsidR="3DC018EE">
              <w:rPr/>
              <w:t>M1 baseline</w:t>
            </w:r>
          </w:p>
        </w:tc>
        <w:tc>
          <w:tcPr>
            <w:tcW w:w="1700" w:type="dxa"/>
            <w:tcMar/>
          </w:tcPr>
          <w:p w14:paraId="0A53E43C" wp14:textId="77777777">
            <w:pPr/>
            <w:r w:rsidR="3DC018EE">
              <w:rPr/>
              <w:t>M2 + housing value</w:t>
            </w:r>
          </w:p>
        </w:tc>
        <w:tc>
          <w:tcPr>
            <w:tcW w:w="1900" w:type="dxa"/>
            <w:tcMar/>
          </w:tcPr>
          <w:p w14:paraId="30430107" wp14:textId="77777777">
            <w:pPr/>
            <w:r w:rsidR="3DC018EE">
              <w:rPr/>
              <w:t>M2D + structure/tenure</w:t>
            </w:r>
          </w:p>
        </w:tc>
        <w:tc>
          <w:tcPr>
            <w:tcW w:w="2100" w:type="dxa"/>
            <w:tcMar/>
          </w:tcPr>
          <w:p w14:paraId="07D57FB2" wp14:textId="77777777">
            <w:pPr/>
            <w:r w:rsidR="3DC018EE">
              <w:rPr/>
              <w:t>M7 per-capita infrastructure</w:t>
            </w:r>
          </w:p>
        </w:tc>
      </w:tr>
      <w:tr xmlns:wp14="http://schemas.microsoft.com/office/word/2010/wordml" w:rsidTr="3DC018EE" w14:paraId="236DCBF5" wp14:textId="77777777">
        <w:trPr>
          <w:trHeight w:val="300"/>
        </w:trPr>
        <w:tc>
          <w:tcPr>
            <w:tcW w:w="2600" w:type="dxa"/>
            <w:tcMar/>
          </w:tcPr>
          <w:p w14:paraId="0919CDFC" wp14:textId="77777777">
            <w:pPr/>
            <w:r w:rsidR="3DC018EE">
              <w:rPr/>
              <w:t>Log median income</w:t>
            </w:r>
          </w:p>
        </w:tc>
        <w:tc>
          <w:tcPr>
            <w:tcW w:w="1500" w:type="dxa"/>
            <w:tcMar/>
          </w:tcPr>
          <w:p>
            <w:r>
              <w:t>3.09</w:t>
            </w:r>
          </w:p>
        </w:tc>
        <w:tc>
          <w:tcPr>
            <w:tcW w:w="1700" w:type="dxa"/>
            <w:tcMar/>
          </w:tcPr>
          <w:p>
            <w:r>
              <w:t>4.94</w:t>
            </w:r>
          </w:p>
        </w:tc>
        <w:tc>
          <w:tcPr>
            <w:tcW w:w="1900" w:type="dxa"/>
            <w:tcMar/>
          </w:tcPr>
          <w:p>
            <w:r>
              <w:t>3.64</w:t>
            </w:r>
          </w:p>
        </w:tc>
        <w:tc>
          <w:tcPr>
            <w:tcW w:w="2100" w:type="dxa"/>
            <w:tcMar/>
          </w:tcPr>
          <w:p>
            <w:r>
              <w:t>3.18</w:t>
            </w:r>
          </w:p>
        </w:tc>
      </w:tr>
      <w:tr xmlns:wp14="http://schemas.microsoft.com/office/word/2010/wordml" w:rsidTr="3DC018EE" w14:paraId="6312142A" wp14:textId="77777777">
        <w:trPr>
          <w:trHeight w:val="300"/>
        </w:trPr>
        <w:tc>
          <w:tcPr>
            <w:tcW w:w="2600" w:type="dxa"/>
            <w:tcMar/>
          </w:tcPr>
          <w:p w14:paraId="3E01E0D6" wp14:textId="77777777">
            <w:pPr/>
            <w:r w:rsidR="3DC018EE">
              <w:rPr/>
              <w:t>Poverty rate</w:t>
            </w:r>
          </w:p>
        </w:tc>
        <w:tc>
          <w:tcPr>
            <w:tcW w:w="1500" w:type="dxa"/>
            <w:tcMar/>
          </w:tcPr>
          <w:p>
            <w:r>
              <w:t>2.59</w:t>
            </w:r>
          </w:p>
        </w:tc>
        <w:tc>
          <w:tcPr>
            <w:tcW w:w="1700" w:type="dxa"/>
            <w:tcMar/>
          </w:tcPr>
          <w:p>
            <w:r>
              <w:t>2.68</w:t>
            </w:r>
          </w:p>
        </w:tc>
        <w:tc>
          <w:tcPr>
            <w:tcW w:w="1900" w:type="dxa"/>
            <w:tcMar/>
          </w:tcPr>
          <w:p>
            <w:r>
              <w:t>2.80</w:t>
            </w:r>
          </w:p>
        </w:tc>
        <w:tc>
          <w:tcPr>
            <w:tcW w:w="2100" w:type="dxa"/>
            <w:tcMar/>
          </w:tcPr>
          <w:p>
            <w:r>
              <w:t>2.61</w:t>
            </w:r>
          </w:p>
        </w:tc>
      </w:tr>
      <w:tr xmlns:wp14="http://schemas.microsoft.com/office/word/2010/wordml" w:rsidTr="3DC018EE" w14:paraId="2C15119C" wp14:textId="77777777">
        <w:trPr>
          <w:trHeight w:val="300"/>
        </w:trPr>
        <w:tc>
          <w:tcPr>
            <w:tcW w:w="2600" w:type="dxa"/>
            <w:tcMar/>
          </w:tcPr>
          <w:p w14:paraId="2E2FA821" wp14:textId="77777777">
            <w:pPr/>
            <w:r w:rsidR="3DC018EE">
              <w:rPr/>
              <w:t>% Hispanic</w:t>
            </w:r>
          </w:p>
        </w:tc>
        <w:tc>
          <w:tcPr>
            <w:tcW w:w="1500" w:type="dxa"/>
            <w:tcMar/>
          </w:tcPr>
          <w:p>
            <w:r>
              <w:t>1.42</w:t>
            </w:r>
          </w:p>
        </w:tc>
        <w:tc>
          <w:tcPr>
            <w:tcW w:w="1700" w:type="dxa"/>
            <w:tcMar/>
          </w:tcPr>
          <w:p>
            <w:r>
              <w:t>1.43</w:t>
            </w:r>
          </w:p>
        </w:tc>
        <w:tc>
          <w:tcPr>
            <w:tcW w:w="1900" w:type="dxa"/>
            <w:tcMar/>
          </w:tcPr>
          <w:p>
            <w:r>
              <w:t>1.61</w:t>
            </w:r>
          </w:p>
        </w:tc>
        <w:tc>
          <w:tcPr>
            <w:tcW w:w="2100" w:type="dxa"/>
            <w:tcMar/>
          </w:tcPr>
          <w:p>
            <w:r>
              <w:t>1.46</w:t>
            </w:r>
          </w:p>
        </w:tc>
      </w:tr>
      <w:tr xmlns:wp14="http://schemas.microsoft.com/office/word/2010/wordml" w:rsidTr="3DC018EE" w14:paraId="0233F6E3" wp14:textId="77777777">
        <w:trPr>
          <w:trHeight w:val="300"/>
        </w:trPr>
        <w:tc>
          <w:tcPr>
            <w:tcW w:w="2600" w:type="dxa"/>
            <w:tcMar/>
          </w:tcPr>
          <w:p w14:paraId="7FE43FF3" wp14:textId="77777777">
            <w:pPr/>
            <w:r w:rsidR="3DC018EE">
              <w:rPr/>
              <w:t>% Asian</w:t>
            </w:r>
          </w:p>
        </w:tc>
        <w:tc>
          <w:tcPr>
            <w:tcW w:w="1500" w:type="dxa"/>
            <w:tcMar/>
          </w:tcPr>
          <w:p>
            <w:r>
              <w:t>1.26</w:t>
            </w:r>
          </w:p>
        </w:tc>
        <w:tc>
          <w:tcPr>
            <w:tcW w:w="1700" w:type="dxa"/>
            <w:tcMar/>
          </w:tcPr>
          <w:p>
            <w:r>
              <w:t>1.29</w:t>
            </w:r>
          </w:p>
        </w:tc>
        <w:tc>
          <w:tcPr>
            <w:tcW w:w="1900" w:type="dxa"/>
            <w:tcMar/>
          </w:tcPr>
          <w:p>
            <w:r>
              <w:t>1.37</w:t>
            </w:r>
          </w:p>
        </w:tc>
        <w:tc>
          <w:tcPr>
            <w:tcW w:w="2100" w:type="dxa"/>
            <w:tcMar/>
          </w:tcPr>
          <w:p>
            <w:r>
              <w:t>1.34</w:t>
            </w:r>
          </w:p>
        </w:tc>
      </w:tr>
      <w:tr xmlns:wp14="http://schemas.microsoft.com/office/word/2010/wordml" w:rsidTr="3DC018EE" w14:paraId="6EF583B8" wp14:textId="77777777">
        <w:trPr>
          <w:trHeight w:val="300"/>
        </w:trPr>
        <w:tc>
          <w:tcPr>
            <w:tcW w:w="2600" w:type="dxa"/>
            <w:tcMar/>
          </w:tcPr>
          <w:p w14:paraId="2C2ED1D4" wp14:textId="77777777">
            <w:pPr/>
            <w:r w:rsidR="3DC018EE">
              <w:rPr/>
              <w:t>Solar irradiance (GHI)</w:t>
            </w:r>
          </w:p>
        </w:tc>
        <w:tc>
          <w:tcPr>
            <w:tcW w:w="1500" w:type="dxa"/>
            <w:tcMar/>
          </w:tcPr>
          <w:p>
            <w:r>
              <w:t>1.15</w:t>
            </w:r>
          </w:p>
        </w:tc>
        <w:tc>
          <w:tcPr>
            <w:tcW w:w="1700" w:type="dxa"/>
            <w:tcMar/>
          </w:tcPr>
          <w:p>
            <w:r>
              <w:t>1.18</w:t>
            </w:r>
          </w:p>
        </w:tc>
        <w:tc>
          <w:tcPr>
            <w:tcW w:w="1900" w:type="dxa"/>
            <w:tcMar/>
          </w:tcPr>
          <w:p>
            <w:r>
              <w:t>1.18</w:t>
            </w:r>
          </w:p>
        </w:tc>
        <w:tc>
          <w:tcPr>
            <w:tcW w:w="2100" w:type="dxa"/>
            <w:tcMar/>
          </w:tcPr>
          <w:p>
            <w:r>
              <w:t>1.15</w:t>
            </w:r>
          </w:p>
        </w:tc>
      </w:tr>
      <w:tr xmlns:wp14="http://schemas.microsoft.com/office/word/2010/wordml" w:rsidTr="3DC018EE" w14:paraId="34812B63" wp14:textId="77777777">
        <w:trPr>
          <w:trHeight w:val="300"/>
        </w:trPr>
        <w:tc>
          <w:tcPr>
            <w:tcW w:w="2600" w:type="dxa"/>
            <w:tcMar/>
          </w:tcPr>
          <w:p w14:paraId="48D9FDD0" wp14:textId="77777777">
            <w:pPr/>
            <w:r w:rsidR="3DC018EE">
              <w:rPr/>
              <w:t>% Black</w:t>
            </w:r>
          </w:p>
        </w:tc>
        <w:tc>
          <w:tcPr>
            <w:tcW w:w="1500" w:type="dxa"/>
            <w:tcMar/>
          </w:tcPr>
          <w:p>
            <w:r>
              <w:t>1.04</w:t>
            </w:r>
          </w:p>
        </w:tc>
        <w:tc>
          <w:tcPr>
            <w:tcW w:w="1700" w:type="dxa"/>
            <w:tcMar/>
          </w:tcPr>
          <w:p>
            <w:r>
              <w:t>1.05</w:t>
            </w:r>
          </w:p>
        </w:tc>
        <w:tc>
          <w:tcPr>
            <w:tcW w:w="1900" w:type="dxa"/>
            <w:tcMar/>
          </w:tcPr>
          <w:p>
            <w:r>
              <w:t>1.13</w:t>
            </w:r>
          </w:p>
        </w:tc>
        <w:tc>
          <w:tcPr>
            <w:tcW w:w="2100" w:type="dxa"/>
            <w:tcMar/>
          </w:tcPr>
          <w:p>
            <w:r>
              <w:t>1.06</w:t>
            </w:r>
          </w:p>
        </w:tc>
      </w:tr>
      <w:tr xmlns:wp14="http://schemas.microsoft.com/office/word/2010/wordml" w:rsidTr="3DC018EE" w14:paraId="6D7C6A8B" wp14:textId="77777777">
        <w:trPr>
          <w:trHeight w:val="300"/>
        </w:trPr>
        <w:tc>
          <w:tcPr>
            <w:tcW w:w="2600" w:type="dxa"/>
            <w:tcMar/>
          </w:tcPr>
          <w:p w14:paraId="7B956C8B" wp14:textId="77777777">
            <w:pPr/>
            <w:r w:rsidR="3DC018EE">
              <w:rPr/>
              <w:t>Log housing value</w:t>
            </w:r>
          </w:p>
        </w:tc>
        <w:tc>
          <w:tcPr>
            <w:tcW w:w="1500" w:type="dxa"/>
            <w:tcMar/>
          </w:tcPr>
          <w:p>
            <w:r>
              <w:t>—</w:t>
            </w:r>
          </w:p>
        </w:tc>
        <w:tc>
          <w:tcPr>
            <w:tcW w:w="1700" w:type="dxa"/>
            <w:tcMar/>
          </w:tcPr>
          <w:p>
            <w:r>
              <w:t>2.84</w:t>
            </w:r>
          </w:p>
        </w:tc>
        <w:tc>
          <w:tcPr>
            <w:tcW w:w="1900" w:type="dxa"/>
            <w:tcMar/>
          </w:tcPr>
          <w:p>
            <w:r>
              <w:t>—</w:t>
            </w:r>
          </w:p>
        </w:tc>
        <w:tc>
          <w:tcPr>
            <w:tcW w:w="2100" w:type="dxa"/>
            <w:tcMar/>
          </w:tcPr>
          <w:p>
            <w:r>
              <w:t>—</w:t>
            </w:r>
          </w:p>
        </w:tc>
      </w:tr>
      <w:tr xmlns:wp14="http://schemas.microsoft.com/office/word/2010/wordml" w:rsidTr="3DC018EE" w14:paraId="28B98230" wp14:textId="77777777">
        <w:trPr>
          <w:trHeight w:val="300"/>
        </w:trPr>
        <w:tc>
          <w:tcPr>
            <w:tcW w:w="2600" w:type="dxa"/>
            <w:tcMar/>
          </w:tcPr>
          <w:p w14:paraId="4BC36FF2" wp14:textId="77777777">
            <w:pPr/>
            <w:r w:rsidR="3DC018EE">
              <w:rPr/>
              <w:t>% owner-occupied</w:t>
            </w:r>
          </w:p>
        </w:tc>
        <w:tc>
          <w:tcPr>
            <w:tcW w:w="1500" w:type="dxa"/>
            <w:tcMar/>
          </w:tcPr>
          <w:p>
            <w:r>
              <w:t>—</w:t>
            </w:r>
          </w:p>
        </w:tc>
        <w:tc>
          <w:tcPr>
            <w:tcW w:w="1700" w:type="dxa"/>
            <w:tcMar/>
          </w:tcPr>
          <w:p>
            <w:r>
              <w:t>—</w:t>
            </w:r>
          </w:p>
        </w:tc>
        <w:tc>
          <w:tcPr>
            <w:tcW w:w="1900" w:type="dxa"/>
            <w:tcMar/>
          </w:tcPr>
          <w:p>
            <w:r>
              <w:t>5.30</w:t>
            </w:r>
          </w:p>
        </w:tc>
        <w:tc>
          <w:tcPr>
            <w:tcW w:w="2100" w:type="dxa"/>
            <w:tcMar/>
          </w:tcPr>
          <w:p>
            <w:r>
              <w:t>—</w:t>
            </w:r>
          </w:p>
        </w:tc>
      </w:tr>
      <w:tr xmlns:wp14="http://schemas.microsoft.com/office/word/2010/wordml" w:rsidTr="3DC018EE" w14:paraId="4FBEB6B1" wp14:textId="77777777">
        <w:trPr>
          <w:trHeight w:val="300"/>
        </w:trPr>
        <w:tc>
          <w:tcPr>
            <w:tcW w:w="2600" w:type="dxa"/>
            <w:tcMar/>
          </w:tcPr>
          <w:p w14:paraId="2DD0AF86" wp14:textId="77777777">
            <w:pPr/>
            <w:r w:rsidR="3DC018EE">
              <w:rPr/>
              <w:t>% multifamily units</w:t>
            </w:r>
          </w:p>
        </w:tc>
        <w:tc>
          <w:tcPr>
            <w:tcW w:w="1500" w:type="dxa"/>
            <w:tcMar/>
          </w:tcPr>
          <w:p>
            <w:r>
              <w:t>—</w:t>
            </w:r>
          </w:p>
        </w:tc>
        <w:tc>
          <w:tcPr>
            <w:tcW w:w="1700" w:type="dxa"/>
            <w:tcMar/>
          </w:tcPr>
          <w:p>
            <w:r>
              <w:t>—</w:t>
            </w:r>
          </w:p>
        </w:tc>
        <w:tc>
          <w:tcPr>
            <w:tcW w:w="1900" w:type="dxa"/>
            <w:tcMar/>
          </w:tcPr>
          <w:p>
            <w:r>
              <w:t>4.62</w:t>
            </w:r>
          </w:p>
        </w:tc>
        <w:tc>
          <w:tcPr>
            <w:tcW w:w="2100" w:type="dxa"/>
            <w:tcMar/>
          </w:tcPr>
          <w:p>
            <w:r>
              <w:t>—</w:t>
            </w:r>
          </w:p>
        </w:tc>
      </w:tr>
      <w:tr xmlns:wp14="http://schemas.microsoft.com/office/word/2010/wordml" w:rsidTr="3DC018EE" w14:paraId="7D9AC31E" wp14:textId="77777777">
        <w:trPr>
          <w:trHeight w:val="300"/>
        </w:trPr>
        <w:tc>
          <w:tcPr>
            <w:tcW w:w="2600" w:type="dxa"/>
            <w:tcMar/>
          </w:tcPr>
          <w:p w14:paraId="1BA04357" wp14:textId="77777777">
            <w:pPr/>
            <w:r w:rsidR="3DC018EE">
              <w:rPr/>
              <w:t>% mobile-home units</w:t>
            </w:r>
          </w:p>
        </w:tc>
        <w:tc>
          <w:tcPr>
            <w:tcW w:w="1500" w:type="dxa"/>
            <w:tcMar/>
          </w:tcPr>
          <w:p>
            <w:r>
              <w:t>—</w:t>
            </w:r>
          </w:p>
        </w:tc>
        <w:tc>
          <w:tcPr>
            <w:tcW w:w="1700" w:type="dxa"/>
            <w:tcMar/>
          </w:tcPr>
          <w:p>
            <w:r>
              <w:t>—</w:t>
            </w:r>
          </w:p>
        </w:tc>
        <w:tc>
          <w:tcPr>
            <w:tcW w:w="1900" w:type="dxa"/>
            <w:tcMar/>
          </w:tcPr>
          <w:p>
            <w:r>
              <w:t>1.56</w:t>
            </w:r>
          </w:p>
        </w:tc>
        <w:tc>
          <w:tcPr>
            <w:tcW w:w="2100" w:type="dxa"/>
            <w:tcMar/>
          </w:tcPr>
          <w:p>
            <w:r>
              <w:t>—</w:t>
            </w:r>
          </w:p>
        </w:tc>
      </w:tr>
      <w:tr>
        <w:tc>
          <w:tcPr>
            <w:tcW w:type="dxa" w:w="2600"/>
          </w:tcPr>
          <w:p>
            <w:r>
              <w:t>% boat/RV/van/other units</w:t>
            </w:r>
          </w:p>
        </w:tc>
        <w:tc>
          <w:tcPr>
            <w:tcW w:type="dxa" w:w="1500"/>
          </w:tcPr>
          <w:p>
            <w:r>
              <w:t>—</w:t>
            </w:r>
          </w:p>
        </w:tc>
        <w:tc>
          <w:tcPr>
            <w:tcW w:type="dxa" w:w="1700"/>
          </w:tcPr>
          <w:p>
            <w:r>
              <w:t>—</w:t>
            </w:r>
          </w:p>
        </w:tc>
        <w:tc>
          <w:tcPr>
            <w:tcW w:type="dxa" w:w="1900"/>
          </w:tcPr>
          <w:p>
            <w:r>
              <w:t>1.11</w:t>
            </w:r>
          </w:p>
        </w:tc>
        <w:tc>
          <w:tcPr>
            <w:tcW w:type="dxa" w:w="2100"/>
          </w:tcPr>
          <w:p>
            <w:r>
              <w:t>—</w:t>
            </w:r>
          </w:p>
        </w:tc>
      </w:tr>
      <w:tr xmlns:wp14="http://schemas.microsoft.com/office/word/2010/wordml" w:rsidTr="3DC018EE" w14:paraId="6CE9EAE6" wp14:textId="77777777">
        <w:trPr>
          <w:trHeight w:val="300"/>
        </w:trPr>
        <w:tc>
          <w:tcPr>
            <w:tcW w:w="2600" w:type="dxa"/>
            <w:tcMar/>
          </w:tcPr>
          <w:p w14:paraId="598F6106" wp14:textId="77777777">
            <w:pPr/>
            <w:r w:rsidR="3DC018EE">
              <w:rPr/>
              <w:t>Wind MW per 100k</w:t>
            </w:r>
          </w:p>
        </w:tc>
        <w:tc>
          <w:tcPr>
            <w:tcW w:w="1500" w:type="dxa"/>
            <w:tcMar/>
          </w:tcPr>
          <w:p>
            <w:r>
              <w:t>—</w:t>
            </w:r>
          </w:p>
        </w:tc>
        <w:tc>
          <w:tcPr>
            <w:tcW w:w="1700" w:type="dxa"/>
            <w:tcMar/>
          </w:tcPr>
          <w:p>
            <w:r>
              <w:t>—</w:t>
            </w:r>
          </w:p>
        </w:tc>
        <w:tc>
          <w:tcPr>
            <w:tcW w:w="1900" w:type="dxa"/>
            <w:tcMar/>
          </w:tcPr>
          <w:p>
            <w:r>
              <w:t>—</w:t>
            </w:r>
          </w:p>
        </w:tc>
        <w:tc>
          <w:tcPr>
            <w:tcW w:w="2100" w:type="dxa"/>
            <w:tcMar/>
          </w:tcPr>
          <w:p>
            <w:r>
              <w:t>27.40</w:t>
            </w:r>
          </w:p>
        </w:tc>
      </w:tr>
      <w:tr xmlns:wp14="http://schemas.microsoft.com/office/word/2010/wordml" w:rsidTr="3DC018EE" w14:paraId="16FC58D6" wp14:textId="77777777">
        <w:trPr>
          <w:trHeight w:val="300"/>
        </w:trPr>
        <w:tc>
          <w:tcPr>
            <w:tcW w:w="2600" w:type="dxa"/>
            <w:tcMar/>
          </w:tcPr>
          <w:p w14:paraId="2AC7D63E" wp14:textId="77777777">
            <w:pPr/>
            <w:r w:rsidR="3DC018EE">
              <w:rPr/>
              <w:t>Turbines per 100k</w:t>
            </w:r>
          </w:p>
        </w:tc>
        <w:tc>
          <w:tcPr>
            <w:tcW w:w="1500" w:type="dxa"/>
            <w:tcMar/>
          </w:tcPr>
          <w:p>
            <w:r>
              <w:t>—</w:t>
            </w:r>
          </w:p>
        </w:tc>
        <w:tc>
          <w:tcPr>
            <w:tcW w:w="1700" w:type="dxa"/>
            <w:tcMar/>
          </w:tcPr>
          <w:p>
            <w:r>
              <w:t>—</w:t>
            </w:r>
          </w:p>
        </w:tc>
        <w:tc>
          <w:tcPr>
            <w:tcW w:w="1900" w:type="dxa"/>
            <w:tcMar/>
          </w:tcPr>
          <w:p>
            <w:r>
              <w:t>—</w:t>
            </w:r>
          </w:p>
        </w:tc>
        <w:tc>
          <w:tcPr>
            <w:tcW w:w="2100" w:type="dxa"/>
            <w:tcMar/>
          </w:tcPr>
          <w:p>
            <w:r>
              <w:t>27.38</w:t>
            </w:r>
          </w:p>
        </w:tc>
      </w:tr>
      <w:tr xmlns:wp14="http://schemas.microsoft.com/office/word/2010/wordml" w:rsidTr="3DC018EE" w14:paraId="3AB90E93" wp14:textId="77777777">
        <w:trPr>
          <w:trHeight w:val="300"/>
        </w:trPr>
        <w:tc>
          <w:tcPr>
            <w:tcW w:w="2600" w:type="dxa"/>
            <w:tcMar/>
          </w:tcPr>
          <w:p w14:paraId="46DE174C" wp14:textId="77777777">
            <w:pPr/>
            <w:r w:rsidR="3DC018EE">
              <w:rPr/>
              <w:t>Storage MW per 100k</w:t>
            </w:r>
          </w:p>
        </w:tc>
        <w:tc>
          <w:tcPr>
            <w:tcW w:w="1500" w:type="dxa"/>
            <w:tcMar/>
          </w:tcPr>
          <w:p>
            <w:r>
              <w:t>—</w:t>
            </w:r>
          </w:p>
        </w:tc>
        <w:tc>
          <w:tcPr>
            <w:tcW w:w="1700" w:type="dxa"/>
            <w:tcMar/>
          </w:tcPr>
          <w:p>
            <w:r>
              <w:t>—</w:t>
            </w:r>
          </w:p>
        </w:tc>
        <w:tc>
          <w:tcPr>
            <w:tcW w:w="1900" w:type="dxa"/>
            <w:tcMar/>
          </w:tcPr>
          <w:p>
            <w:r>
              <w:t>—</w:t>
            </w:r>
          </w:p>
        </w:tc>
        <w:tc>
          <w:tcPr>
            <w:tcW w:w="2100" w:type="dxa"/>
            <w:tcMar/>
          </w:tcPr>
          <w:p>
            <w:r>
              <w:t>1.15</w:t>
            </w:r>
          </w:p>
        </w:tc>
      </w:tr>
      <w:tr xmlns:wp14="http://schemas.microsoft.com/office/word/2010/wordml" w:rsidTr="3DC018EE" w14:paraId="50D03CBB" wp14:textId="77777777">
        <w:trPr>
          <w:trHeight w:val="300"/>
        </w:trPr>
        <w:tc>
          <w:tcPr>
            <w:tcW w:w="2600" w:type="dxa"/>
            <w:tcMar/>
          </w:tcPr>
          <w:p w14:paraId="0F5E89D8" wp14:textId="77777777">
            <w:pPr/>
            <w:r w:rsidR="3DC018EE">
              <w:rPr/>
              <w:t>Plant MW per 100k</w:t>
            </w:r>
          </w:p>
        </w:tc>
        <w:tc>
          <w:tcPr>
            <w:tcW w:w="1500" w:type="dxa"/>
            <w:tcMar/>
          </w:tcPr>
          <w:p>
            <w:r>
              <w:t>—</w:t>
            </w:r>
          </w:p>
        </w:tc>
        <w:tc>
          <w:tcPr>
            <w:tcW w:w="1700" w:type="dxa"/>
            <w:tcMar/>
          </w:tcPr>
          <w:p>
            <w:r>
              <w:t>—</w:t>
            </w:r>
          </w:p>
        </w:tc>
        <w:tc>
          <w:tcPr>
            <w:tcW w:w="1900" w:type="dxa"/>
            <w:tcMar/>
          </w:tcPr>
          <w:p>
            <w:r>
              <w:t>—</w:t>
            </w:r>
          </w:p>
        </w:tc>
        <w:tc>
          <w:tcPr>
            <w:tcW w:w="2100" w:type="dxa"/>
            <w:tcMar/>
          </w:tcPr>
          <w:p>
            <w:r>
              <w:t>1.02</w:t>
            </w:r>
          </w:p>
        </w:tc>
      </w:tr>
      <w:tr xmlns:wp14="http://schemas.microsoft.com/office/word/2010/wordml" w:rsidTr="3DC018EE" w14:paraId="056C8557" wp14:textId="77777777">
        <w:trPr>
          <w:trHeight w:val="300"/>
        </w:trPr>
        <w:tc>
          <w:tcPr>
            <w:tcW w:w="2600" w:type="dxa"/>
            <w:tcMar/>
          </w:tcPr>
          <w:p w14:paraId="591343D5" wp14:textId="77777777">
            <w:pPr/>
            <w:r w:rsidR="3DC018EE">
              <w:rPr/>
              <w:t>Maximum</w:t>
            </w:r>
            <w:r w:rsidR="3DC018EE">
              <w:rPr/>
              <w:t xml:space="preserve"> VIF</w:t>
            </w:r>
          </w:p>
        </w:tc>
        <w:tc>
          <w:tcPr>
            <w:tcW w:w="1500" w:type="dxa"/>
            <w:tcMar/>
          </w:tcPr>
          <w:p>
            <w:r>
              <w:t>3.09</w:t>
            </w:r>
          </w:p>
        </w:tc>
        <w:tc>
          <w:tcPr>
            <w:tcW w:w="1700" w:type="dxa"/>
            <w:tcMar/>
          </w:tcPr>
          <w:p>
            <w:r>
              <w:t>4.94</w:t>
            </w:r>
          </w:p>
        </w:tc>
        <w:tc>
          <w:tcPr>
            <w:tcW w:w="1900" w:type="dxa"/>
            <w:tcMar/>
          </w:tcPr>
          <w:p>
            <w:r>
              <w:t>5.30</w:t>
            </w:r>
          </w:p>
        </w:tc>
        <w:tc>
          <w:tcPr>
            <w:tcW w:w="2100" w:type="dxa"/>
            <w:tcMar/>
          </w:tcPr>
          <w:p>
            <w:r>
              <w:t>27.40</w:t>
            </w:r>
          </w:p>
        </w:tc>
      </w:tr>
    </w:tbl>
    <w:p xmlns:wp14="http://schemas.microsoft.com/office/word/2010/wordml" w14:paraId="01C39BA2" wp14:textId="77777777">
      <w:pPr>
        <w:pStyle w:val="Heading3"/>
        <w:pageBreakBefore/>
      </w:pPr>
      <w:r w:rsidR="3DC018EE">
        <w:rPr/>
        <w:t>Spatial autocorrelation of residuals</w:t>
      </w:r>
    </w:p>
    <w:p xmlns:wp14="http://schemas.microsoft.com/office/word/2010/wordml" w14:paraId="77EB4983" wp14:textId="77777777">
      <w:pPr/>
      <w:r>
        <w:t>Moran’s I computed on the OLS residuals using row-standardised eight-nearest-neighbour weights over ZCTA centroids, with pseudo p-values from 999 permutations (Table 8). All 72 tests (six outcomes by four specifications by three neighbour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county clustering alone is not sufficient. Conley spatial HAC standard errors (Table 9) would be the natural next step. Results are stable across four, eight and sixteen neighbours; the full grid is exported to outputs/tables/morans_i_residuals.csv.</w:t>
      </w:r>
    </w:p>
    <w:p xmlns:wp14="http://schemas.microsoft.com/office/word/2010/wordml" w14:paraId="18DDE935" wp14:textId="77777777">
      <w:pPr>
        <w:pStyle w:val="Caption"/>
        <w:keepNext w:val="1"/>
      </w:pPr>
      <w:bookmarkStart w:name="_Ref_tbl_moran" w:id="8683"/>
      <w:r w:rsidR="3DC018EE">
        <w:rPr/>
        <w:t xml:space="preserve">Table </w:t>
      </w:r>
      <w:r>
        <w:fldChar w:fldCharType="begin"/>
      </w:r>
      <w:r>
        <w:instrText xml:space="preserve"> SEQ Table \* ARABIC </w:instrText>
      </w:r>
      <w:r>
        <w:fldChar w:fldCharType="separate"/>
      </w:r>
      <w:r w:rsidR="3DC018EE">
        <w:rPr/>
        <w:t>8</w:t>
      </w:r>
      <w:r>
        <w:fldChar w:fldCharType="end"/>
      </w:r>
      <w:bookmarkEnd w:id="8683"/>
      <w:r w:rsidR="3DC018EE">
        <w:rPr/>
        <w:t>: Moran’s I on OLS residuals, eight-nearest-</w:t>
      </w:r>
      <w:r w:rsidR="3DC018EE">
        <w:rPr/>
        <w:t>neighbour</w:t>
      </w:r>
      <w:r w:rsidR="3DC018EE">
        <w:rPr/>
        <w:t xml:space="preserve"> weights. Every entry is significant at p &lt; </w:t>
      </w:r>
      <w:r w:rsidR="3DC018EE">
        <w:rPr/>
        <w:t>0.001 by</w:t>
      </w:r>
      <w:r w:rsidR="3DC018EE">
        <w:rPr/>
        <w:t xml:space="preserve"> permutation test. Larger values </w:t>
      </w:r>
      <w:r w:rsidR="3DC018EE">
        <w:rPr/>
        <w:t>indicate</w:t>
      </w:r>
      <w:r w:rsidR="3DC018EE">
        <w:rPr/>
        <w:t xml:space="preserve"> stronger spatial clustering of what the model </w:t>
      </w:r>
      <w:r w:rsidR="3DC018EE">
        <w:rPr/>
        <w:t>fails to</w:t>
      </w:r>
      <w:r w:rsidR="3DC018EE">
        <w:rPr/>
        <w:t xml:space="preserve"> explain.</w:t>
      </w:r>
    </w:p>
    <w:tbl>
      <w:tblPr>
        <w:tblStyle w:val="TableGrid"/>
        <w:tblW w:w="0" w:type="auto"/>
        <w:tblLook w:val="04A0" w:firstRow="1" w:lastRow="0" w:firstColumn="1" w:lastColumn="0" w:noHBand="0" w:noVBand="1"/>
      </w:tblPr>
      <w:tblGrid>
        <w:gridCol w:w="2600"/>
        <w:gridCol w:w="1500"/>
        <w:gridCol w:w="1700"/>
        <w:gridCol w:w="1900"/>
        <w:gridCol w:w="2100"/>
      </w:tblGrid>
      <w:tr xmlns:wp14="http://schemas.microsoft.com/office/word/2010/wordml" w:rsidTr="3DC018EE" w14:paraId="16B0C376" wp14:textId="77777777">
        <w:trPr>
          <w:trHeight w:val="300"/>
        </w:trPr>
        <w:tc>
          <w:tcPr>
            <w:tcW w:w="2600" w:type="dxa"/>
            <w:tcMar/>
          </w:tcPr>
          <w:p w14:paraId="70DE9F48" wp14:textId="77777777">
            <w:pPr/>
            <w:r w:rsidR="3DC018EE">
              <w:rPr/>
              <w:t>Outcome</w:t>
            </w:r>
          </w:p>
        </w:tc>
        <w:tc>
          <w:tcPr>
            <w:tcW w:w="1500" w:type="dxa"/>
            <w:tcMar/>
          </w:tcPr>
          <w:p w14:paraId="7BEF6CEB" wp14:textId="77777777">
            <w:pPr/>
            <w:r w:rsidR="3DC018EE">
              <w:rPr/>
              <w:t>M1 baseline</w:t>
            </w:r>
          </w:p>
        </w:tc>
        <w:tc>
          <w:tcPr>
            <w:tcW w:w="1700" w:type="dxa"/>
            <w:tcMar/>
          </w:tcPr>
          <w:p w14:paraId="123D8515" wp14:textId="77777777">
            <w:pPr/>
            <w:r w:rsidR="3DC018EE">
              <w:rPr/>
              <w:t xml:space="preserve">M6A + </w:t>
            </w:r>
            <w:r w:rsidR="3DC018EE">
              <w:rPr/>
              <w:t>lat</w:t>
            </w:r>
            <w:r w:rsidR="3DC018EE">
              <w:rPr/>
              <w:t>/</w:t>
            </w:r>
            <w:r w:rsidR="3DC018EE">
              <w:rPr/>
              <w:t>lon</w:t>
            </w:r>
          </w:p>
        </w:tc>
        <w:tc>
          <w:tcPr>
            <w:tcW w:w="1900" w:type="dxa"/>
            <w:tcMar/>
          </w:tcPr>
          <w:p w14:paraId="536944AE" wp14:textId="77777777">
            <w:pPr/>
            <w:r w:rsidR="3DC018EE">
              <w:rPr/>
              <w:t>M6B county FE</w:t>
            </w:r>
          </w:p>
        </w:tc>
        <w:tc>
          <w:tcPr>
            <w:tcW w:w="2100" w:type="dxa"/>
            <w:tcMar/>
          </w:tcPr>
          <w:p w14:paraId="42D7D193" wp14:textId="77777777">
            <w:pPr/>
            <w:r w:rsidR="3DC018EE">
              <w:rPr/>
              <w:t>M8 + demand proxy</w:t>
            </w:r>
          </w:p>
        </w:tc>
      </w:tr>
      <w:tr xmlns:wp14="http://schemas.microsoft.com/office/word/2010/wordml" w:rsidTr="3DC018EE" w14:paraId="17551604" wp14:textId="77777777">
        <w:trPr>
          <w:trHeight w:val="300"/>
        </w:trPr>
        <w:tc>
          <w:tcPr>
            <w:tcW w:w="2600" w:type="dxa"/>
            <w:tcMar/>
          </w:tcPr>
          <w:p w14:paraId="05781018" wp14:textId="77777777">
            <w:pPr/>
            <w:r w:rsidR="3DC018EE">
              <w:rPr/>
              <w:t>Solar PV</w:t>
            </w:r>
          </w:p>
        </w:tc>
        <w:tc>
          <w:tcPr>
            <w:tcW w:w="1500" w:type="dxa"/>
            <w:tcMar/>
          </w:tcPr>
          <w:p>
            <w:r>
              <w:t>0.437</w:t>
            </w:r>
          </w:p>
        </w:tc>
        <w:tc>
          <w:tcPr>
            <w:tcW w:w="1700" w:type="dxa"/>
            <w:tcMar/>
          </w:tcPr>
          <w:p>
            <w:r>
              <w:t>0.426</w:t>
            </w:r>
          </w:p>
        </w:tc>
        <w:tc>
          <w:tcPr>
            <w:tcW w:w="1900" w:type="dxa"/>
            <w:tcMar/>
          </w:tcPr>
          <w:p>
            <w:r>
              <w:t>0.145</w:t>
            </w:r>
          </w:p>
        </w:tc>
        <w:tc>
          <w:tcPr>
            <w:tcW w:w="2100" w:type="dxa"/>
            <w:tcMar/>
          </w:tcPr>
          <w:p>
            <w:r>
              <w:t>0.359</w:t>
            </w:r>
          </w:p>
        </w:tc>
      </w:tr>
      <w:tr xmlns:wp14="http://schemas.microsoft.com/office/word/2010/wordml" w:rsidTr="3DC018EE" w14:paraId="0CEE8202" wp14:textId="77777777">
        <w:trPr>
          <w:trHeight w:val="300"/>
        </w:trPr>
        <w:tc>
          <w:tcPr>
            <w:tcW w:w="2600" w:type="dxa"/>
            <w:tcMar/>
          </w:tcPr>
          <w:p w14:paraId="53EAFB8C" wp14:textId="77777777">
            <w:pPr/>
            <w:r w:rsidR="3DC018EE">
              <w:rPr/>
              <w:t>Storage</w:t>
            </w:r>
          </w:p>
        </w:tc>
        <w:tc>
          <w:tcPr>
            <w:tcW w:w="1500" w:type="dxa"/>
            <w:tcMar/>
          </w:tcPr>
          <w:p>
            <w:r>
              <w:t>0.319</w:t>
            </w:r>
          </w:p>
        </w:tc>
        <w:tc>
          <w:tcPr>
            <w:tcW w:w="1700" w:type="dxa"/>
            <w:tcMar/>
          </w:tcPr>
          <w:p>
            <w:r>
              <w:t>0.314</w:t>
            </w:r>
          </w:p>
        </w:tc>
        <w:tc>
          <w:tcPr>
            <w:tcW w:w="1900" w:type="dxa"/>
            <w:tcMar/>
          </w:tcPr>
          <w:p>
            <w:r>
              <w:t>0.096</w:t>
            </w:r>
          </w:p>
        </w:tc>
        <w:tc>
          <w:tcPr>
            <w:tcW w:w="2100" w:type="dxa"/>
            <w:tcMar/>
          </w:tcPr>
          <w:p>
            <w:r>
              <w:t>0.150</w:t>
            </w:r>
          </w:p>
        </w:tc>
      </w:tr>
      <w:tr xmlns:wp14="http://schemas.microsoft.com/office/word/2010/wordml" w:rsidTr="3DC018EE" w14:paraId="4B95ED90" wp14:textId="77777777">
        <w:trPr>
          <w:trHeight w:val="300"/>
        </w:trPr>
        <w:tc>
          <w:tcPr>
            <w:tcW w:w="2600" w:type="dxa"/>
            <w:tcMar/>
          </w:tcPr>
          <w:p w14:paraId="28924774" wp14:textId="77777777">
            <w:pPr/>
            <w:r w:rsidR="3DC018EE">
              <w:rPr/>
              <w:t>EV chargers (aggregate)</w:t>
            </w:r>
          </w:p>
        </w:tc>
        <w:tc>
          <w:tcPr>
            <w:tcW w:w="1500" w:type="dxa"/>
            <w:tcMar/>
          </w:tcPr>
          <w:p>
            <w:r>
              <w:t>0.140</w:t>
            </w:r>
          </w:p>
        </w:tc>
        <w:tc>
          <w:tcPr>
            <w:tcW w:w="1700" w:type="dxa"/>
            <w:tcMar/>
          </w:tcPr>
          <w:p>
            <w:r>
              <w:t>0.132</w:t>
            </w:r>
          </w:p>
        </w:tc>
        <w:tc>
          <w:tcPr>
            <w:tcW w:w="1900" w:type="dxa"/>
            <w:tcMar/>
          </w:tcPr>
          <w:p>
            <w:r>
              <w:t>0.078</w:t>
            </w:r>
          </w:p>
        </w:tc>
        <w:tc>
          <w:tcPr>
            <w:tcW w:w="2100" w:type="dxa"/>
            <w:tcMar/>
          </w:tcPr>
          <w:p>
            <w:r>
              <w:t>0.127</w:t>
            </w:r>
          </w:p>
        </w:tc>
      </w:tr>
      <w:tr xmlns:wp14="http://schemas.microsoft.com/office/word/2010/wordml" w:rsidTr="3DC018EE" w14:paraId="31338BAC" wp14:textId="77777777">
        <w:trPr>
          <w:trHeight w:val="300"/>
        </w:trPr>
        <w:tc>
          <w:tcPr>
            <w:tcW w:w="2600" w:type="dxa"/>
            <w:tcMar/>
          </w:tcPr>
          <w:p w14:paraId="784D2239" wp14:textId="77777777">
            <w:pPr/>
            <w:r w:rsidR="3DC018EE">
              <w:rPr/>
              <w:t>EV chargers (Level 2)</w:t>
            </w:r>
          </w:p>
        </w:tc>
        <w:tc>
          <w:tcPr>
            <w:tcW w:w="1500" w:type="dxa"/>
            <w:tcMar/>
          </w:tcPr>
          <w:p>
            <w:r>
              <w:t>0.162</w:t>
            </w:r>
          </w:p>
        </w:tc>
        <w:tc>
          <w:tcPr>
            <w:tcW w:w="1700" w:type="dxa"/>
            <w:tcMar/>
          </w:tcPr>
          <w:p>
            <w:r>
              <w:t>0.152</w:t>
            </w:r>
          </w:p>
        </w:tc>
        <w:tc>
          <w:tcPr>
            <w:tcW w:w="1900" w:type="dxa"/>
            <w:tcMar/>
          </w:tcPr>
          <w:p>
            <w:r>
              <w:t>0.100</w:t>
            </w:r>
          </w:p>
        </w:tc>
        <w:tc>
          <w:tcPr>
            <w:tcW w:w="2100" w:type="dxa"/>
            <w:tcMar/>
          </w:tcPr>
          <w:p>
            <w:r>
              <w:t>0.149</w:t>
            </w:r>
          </w:p>
        </w:tc>
      </w:tr>
      <w:tr xmlns:wp14="http://schemas.microsoft.com/office/word/2010/wordml" w:rsidTr="3DC018EE" w14:paraId="2812A855" wp14:textId="77777777">
        <w:trPr>
          <w:trHeight w:val="300"/>
        </w:trPr>
        <w:tc>
          <w:tcPr>
            <w:tcW w:w="2600" w:type="dxa"/>
            <w:tcMar/>
          </w:tcPr>
          <w:p w14:paraId="14174668" wp14:textId="77777777">
            <w:pPr/>
            <w:r w:rsidR="3DC018EE">
              <w:rPr/>
              <w:t>Energy burden</w:t>
            </w:r>
          </w:p>
        </w:tc>
        <w:tc>
          <w:tcPr>
            <w:tcW w:w="1500" w:type="dxa"/>
            <w:tcMar/>
          </w:tcPr>
          <w:p>
            <w:r>
              <w:t>0.352</w:t>
            </w:r>
          </w:p>
        </w:tc>
        <w:tc>
          <w:tcPr>
            <w:tcW w:w="1700" w:type="dxa"/>
            <w:tcMar/>
          </w:tcPr>
          <w:p>
            <w:r>
              <w:t>0.434</w:t>
            </w:r>
          </w:p>
        </w:tc>
        <w:tc>
          <w:tcPr>
            <w:tcW w:w="1900" w:type="dxa"/>
            <w:tcMar/>
          </w:tcPr>
          <w:p>
            <w:r>
              <w:t>0.275</w:t>
            </w:r>
          </w:p>
        </w:tc>
        <w:tc>
          <w:tcPr>
            <w:tcW w:w="2100" w:type="dxa"/>
            <w:tcMar/>
          </w:tcPr>
          <w:p>
            <w:r>
              <w:t>0.289</w:t>
            </w:r>
          </w:p>
        </w:tc>
      </w:tr>
      <w:tr xmlns:wp14="http://schemas.microsoft.com/office/word/2010/wordml" w:rsidTr="3DC018EE" w14:paraId="3CCAB386" wp14:textId="77777777">
        <w:trPr>
          <w:trHeight w:val="300"/>
        </w:trPr>
        <w:tc>
          <w:tcPr>
            <w:tcW w:w="2600" w:type="dxa"/>
            <w:tcMar/>
          </w:tcPr>
          <w:p w14:paraId="7269B375" wp14:textId="77777777">
            <w:pPr/>
            <w:r w:rsidR="3DC018EE">
              <w:rPr/>
              <w:t>Log affordability gap</w:t>
            </w:r>
          </w:p>
        </w:tc>
        <w:tc>
          <w:tcPr>
            <w:tcW w:w="1500" w:type="dxa"/>
            <w:tcMar/>
          </w:tcPr>
          <w:p>
            <w:r>
              <w:t>0.153</w:t>
            </w:r>
          </w:p>
        </w:tc>
        <w:tc>
          <w:tcPr>
            <w:tcW w:w="1700" w:type="dxa"/>
            <w:tcMar/>
          </w:tcPr>
          <w:p>
            <w:r>
              <w:t>0.142</w:t>
            </w:r>
          </w:p>
        </w:tc>
        <w:tc>
          <w:tcPr>
            <w:tcW w:w="1900" w:type="dxa"/>
            <w:tcMar/>
          </w:tcPr>
          <w:p>
            <w:r>
              <w:t>0.112</w:t>
            </w:r>
          </w:p>
        </w:tc>
        <w:tc>
          <w:tcPr>
            <w:tcW w:w="2100" w:type="dxa"/>
            <w:tcMar/>
          </w:tcPr>
          <w:p>
            <w:r>
              <w:t>0.127</w:t>
            </w:r>
          </w:p>
        </w:tc>
      </w:tr>
    </w:tbl>
    <w:p xmlns:wp14="http://schemas.microsoft.com/office/word/2010/wordml" w14:paraId="21DB8298" wp14:textId="77777777">
      <w:pPr>
        <w:pStyle w:val="Heading3"/>
        <w:pageBreakBefore/>
      </w:pPr>
      <w:r w:rsidR="3DC018EE">
        <w:rPr/>
        <w:t>Conley spatial HAC standard errors</w:t>
      </w:r>
    </w:p>
    <w:p xmlns:wp14="http://schemas.microsoft.com/office/word/2010/wordml" w14:paraId="4582DA0C" wp14:textId="77777777">
      <w:pPr/>
      <w:r w:rsidR="3DC018EE">
        <w:rPr/>
        <w:t>Given the residual spatial dependence documented above</w:t>
      </w:r>
      <w:r w:rsidR="3DC018EE">
        <w:rPr/>
        <w:t xml:space="preserve"> (</w:t>
      </w:r>
      <w:r>
        <w:fldChar w:fldCharType="begin"/>
      </w:r>
      <w:r>
        <w:instrText xml:space="preserve"> REF _Ref_tbl_moran \h </w:instrText>
      </w:r>
      <w:r>
        <w:fldChar w:fldCharType="separate"/>
      </w:r>
      <w:r w:rsidR="3DC018EE">
        <w:rPr/>
        <w:t>Table 8</w:t>
      </w:r>
      <w:r>
        <w:fldChar w:fldCharType="end"/>
      </w:r>
      <w:r w:rsidR="3DC018EE">
        <w:rPr/>
        <w:t>)</w:t>
      </w:r>
      <w:r w:rsidR="3DC018EE">
        <w:rPr/>
        <w:t>, we recompute the baseline standard errors following Conley (1999)</w:t>
      </w:r>
      <w:r w:rsidR="3DC018EE">
        <w:rPr/>
        <w:t xml:space="preserve"> (</w:t>
      </w:r>
      <w:r>
        <w:fldChar w:fldCharType="begin"/>
      </w:r>
      <w:r>
        <w:instrText xml:space="preserve"> REF _Ref_tbl_conley \h </w:instrText>
      </w:r>
      <w:r>
        <w:fldChar w:fldCharType="separate"/>
      </w:r>
      <w:r w:rsidR="3DC018EE">
        <w:rPr/>
        <w:t>Table 9</w:t>
      </w:r>
      <w:r>
        <w:fldChar w:fldCharType="end"/>
      </w:r>
      <w:r w:rsidR="3DC018EE">
        <w:rPr/>
        <w:t>)</w:t>
      </w:r>
      <w:r w:rsidR="3DC018EE">
        <w:rP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w:t>
      </w:r>
      <w:r w:rsidR="3DC018EE">
        <w:rPr/>
        <w:t>relative</w:t>
      </w:r>
      <w:r w:rsidR="3DC018EE">
        <w:rPr/>
        <w:t xml:space="preserve"> to HC1 and plateau between 100 and </w:t>
      </w:r>
      <w:r w:rsidR="3DC018EE">
        <w:rPr/>
        <w:t xml:space="preserve">200 </w:t>
      </w:r>
      <w:r w:rsidR="3DC018EE">
        <w:rPr/>
        <w:t>kilometres</w:t>
      </w:r>
      <w:r w:rsidR="3DC018EE">
        <w:rPr/>
        <w:t xml:space="preserve">, consistent with clustering at utility-territory and metropolitan scale. The substantive conclusions </w:t>
      </w:r>
      <w:r w:rsidR="3DC018EE">
        <w:rPr/>
        <w:t>hold</w:t>
      </w:r>
      <w:r w:rsidR="3DC018EE">
        <w:rPr/>
        <w:t xml:space="preserve"> but their relative strength changes. The Asian-share coefficients for PV and storage remain significant at the 0.1 percent level at every cutoff and are the most robust results in the paper. The Black-share coefficients </w:t>
      </w:r>
      <w:r w:rsidR="3DC018EE">
        <w:rPr/>
        <w:t>remain</w:t>
      </w:r>
      <w:r w:rsidR="3DC018EE">
        <w:rPr/>
        <w:t xml:space="preserve">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xmlns:wp14="http://schemas.microsoft.com/office/word/2010/wordml" w14:paraId="7C50BE52" wp14:textId="77777777">
      <w:pPr>
        <w:pStyle w:val="Caption"/>
        <w:keepNext w:val="1"/>
      </w:pPr>
      <w:bookmarkStart w:name="_Ref_tbl_conley" w:id="9353"/>
      <w:r w:rsidR="3DC018EE">
        <w:rPr/>
        <w:t xml:space="preserve">Table </w:t>
      </w:r>
      <w:r>
        <w:fldChar w:fldCharType="begin"/>
      </w:r>
      <w:r>
        <w:instrText xml:space="preserve"> SEQ Table \* ARABIC </w:instrText>
      </w:r>
      <w:r>
        <w:fldChar w:fldCharType="separate"/>
      </w:r>
      <w:r w:rsidR="3DC018EE">
        <w:rPr/>
        <w:t>9</w:t>
      </w:r>
      <w:r>
        <w:fldChar w:fldCharType="end"/>
      </w:r>
      <w:bookmarkEnd w:id="9353"/>
      <w:r w:rsidR="3DC018EE">
        <w:rPr/>
        <w:t>: Conley spatial HAC standard errors for the baseline specification, Bartlett kernel over great-circle distance. Coefficients are identical across columns; only the standard errors differ. Stars denote significance under each estimator.</w:t>
      </w:r>
    </w:p>
    <w:tbl>
      <w:tblPr>
        <w:tblStyle w:val="TableGrid"/>
        <w:tblW w:w="0" w:type="auto"/>
        <w:tblLook w:val="04A0" w:firstRow="1" w:lastRow="0" w:firstColumn="1" w:lastColumn="0" w:noHBand="0" w:noVBand="1"/>
      </w:tblPr>
      <w:tblGrid>
        <w:gridCol w:w="2400"/>
        <w:gridCol w:w="1400"/>
        <w:gridCol w:w="1400"/>
        <w:gridCol w:w="1500"/>
        <w:gridCol w:w="1550"/>
        <w:gridCol w:w="1550"/>
      </w:tblGrid>
      <w:tr xmlns:wp14="http://schemas.microsoft.com/office/word/2010/wordml" w:rsidTr="3DC018EE" w14:paraId="282762A4" wp14:textId="77777777">
        <w:trPr>
          <w:trHeight w:val="300"/>
        </w:trPr>
        <w:tc>
          <w:tcPr>
            <w:tcW w:w="2400" w:type="dxa"/>
            <w:tcMar/>
          </w:tcPr>
          <w:p w14:paraId="0CEB4B25" wp14:textId="77777777">
            <w:pPr/>
            <w:r w:rsidR="3DC018EE">
              <w:rPr/>
              <w:t>Term</w:t>
            </w:r>
          </w:p>
        </w:tc>
        <w:tc>
          <w:tcPr>
            <w:tcW w:w="1400" w:type="dxa"/>
            <w:tcMar/>
          </w:tcPr>
          <w:p w14:paraId="01CF54E9" wp14:textId="77777777">
            <w:pPr/>
            <w:r w:rsidR="3DC018EE">
              <w:rPr/>
              <w:t>Coefficient</w:t>
            </w:r>
          </w:p>
        </w:tc>
        <w:tc>
          <w:tcPr>
            <w:tcW w:w="1400" w:type="dxa"/>
            <w:tcMar/>
          </w:tcPr>
          <w:p w14:paraId="68758FC4" wp14:textId="77777777">
            <w:pPr/>
            <w:r w:rsidR="3DC018EE">
              <w:rPr/>
              <w:t>HC1</w:t>
            </w:r>
          </w:p>
        </w:tc>
        <w:tc>
          <w:tcPr>
            <w:tcW w:w="1500" w:type="dxa"/>
            <w:tcMar/>
          </w:tcPr>
          <w:p w14:paraId="48AD497A" wp14:textId="77777777">
            <w:pPr/>
            <w:r w:rsidR="3DC018EE">
              <w:rPr/>
              <w:t xml:space="preserve">Conley </w:t>
            </w:r>
            <w:r w:rsidR="3DC018EE">
              <w:rPr/>
              <w:t>50 km</w:t>
            </w:r>
          </w:p>
        </w:tc>
        <w:tc>
          <w:tcPr>
            <w:tcW w:w="1550" w:type="dxa"/>
            <w:tcMar/>
          </w:tcPr>
          <w:p w14:paraId="32E9FA66" wp14:textId="77777777">
            <w:pPr/>
            <w:r w:rsidR="3DC018EE">
              <w:rPr/>
              <w:t xml:space="preserve">Conley </w:t>
            </w:r>
            <w:r w:rsidR="3DC018EE">
              <w:rPr/>
              <w:t>100 km</w:t>
            </w:r>
          </w:p>
        </w:tc>
        <w:tc>
          <w:tcPr>
            <w:tcW w:w="1550" w:type="dxa"/>
            <w:tcMar/>
          </w:tcPr>
          <w:p w14:paraId="3C2B19A3" wp14:textId="77777777">
            <w:pPr/>
            <w:r w:rsidR="3DC018EE">
              <w:rPr/>
              <w:t xml:space="preserve">Conley </w:t>
            </w:r>
            <w:r w:rsidR="3DC018EE">
              <w:rPr/>
              <w:t>200 km</w:t>
            </w:r>
          </w:p>
        </w:tc>
      </w:tr>
      <w:tr xmlns:wp14="http://schemas.microsoft.com/office/word/2010/wordml" w:rsidTr="3DC018EE" w14:paraId="5E7153C1" wp14:textId="77777777">
        <w:trPr>
          <w:trHeight w:val="300"/>
        </w:trPr>
        <w:tc>
          <w:tcPr>
            <w:tcW w:w="2400" w:type="dxa"/>
            <w:tcMar/>
          </w:tcPr>
          <w:p w14:paraId="5C1944EF" wp14:textId="77777777">
            <w:pPr/>
            <w:r w:rsidR="3DC018EE">
              <w:rPr/>
              <w:t>Solar PV</w:t>
            </w:r>
          </w:p>
        </w:tc>
        <w:tc>
          <w:tcPr>
            <w:tcW w:w="1400" w:type="dxa"/>
            <w:tcMar/>
          </w:tcPr>
          <w:p w14:paraId="672A6659" wp14:textId="77777777">
            <w:pPr/>
            <w:r/>
          </w:p>
        </w:tc>
        <w:tc>
          <w:tcPr>
            <w:tcW w:w="1400" w:type="dxa"/>
            <w:tcMar/>
          </w:tcPr>
          <w:p w14:paraId="0A37501D" wp14:textId="77777777">
            <w:pPr/>
            <w:r/>
          </w:p>
        </w:tc>
        <w:tc>
          <w:tcPr>
            <w:tcW w:w="1500" w:type="dxa"/>
            <w:tcMar/>
          </w:tcPr>
          <w:p w14:paraId="5DAB6C7B" wp14:textId="77777777">
            <w:pPr/>
            <w:r/>
          </w:p>
        </w:tc>
        <w:tc>
          <w:tcPr>
            <w:tcW w:w="1550" w:type="dxa"/>
            <w:tcMar/>
          </w:tcPr>
          <w:p w14:paraId="02EB378F" wp14:textId="77777777">
            <w:pPr/>
            <w:r/>
          </w:p>
        </w:tc>
        <w:tc>
          <w:tcPr>
            <w:tcW w:w="1550" w:type="dxa"/>
            <w:tcMar/>
          </w:tcPr>
          <w:p w14:paraId="6A05A809" wp14:textId="77777777">
            <w:pPr/>
            <w:r/>
          </w:p>
        </w:tc>
      </w:tr>
      <w:tr xmlns:wp14="http://schemas.microsoft.com/office/word/2010/wordml" w:rsidTr="3DC018EE" w14:paraId="58F717A3" wp14:textId="77777777">
        <w:trPr>
          <w:trHeight w:val="300"/>
        </w:trPr>
        <w:tc>
          <w:tcPr>
            <w:tcW w:w="2400" w:type="dxa"/>
            <w:tcMar/>
          </w:tcPr>
          <w:p w14:paraId="40530C65" wp14:textId="77777777">
            <w:pPr/>
            <w:r w:rsidR="3DC018EE">
              <w:rPr/>
              <w:t xml:space="preserve">  Log median income</w:t>
            </w:r>
          </w:p>
        </w:tc>
        <w:tc>
          <w:tcPr>
            <w:tcW w:w="1400" w:type="dxa"/>
            <w:tcMar/>
          </w:tcPr>
          <w:p>
            <w:r>
              <w:t>0.126</w:t>
            </w:r>
          </w:p>
        </w:tc>
        <w:tc>
          <w:tcPr>
            <w:tcW w:w="1400" w:type="dxa"/>
            <w:tcMar/>
          </w:tcPr>
          <w:p>
            <w:r>
              <w:t>0.038***</w:t>
            </w:r>
          </w:p>
        </w:tc>
        <w:tc>
          <w:tcPr>
            <w:tcW w:w="1500" w:type="dxa"/>
            <w:tcMar/>
          </w:tcPr>
          <w:p>
            <w:r>
              <w:t>0.053*</w:t>
            </w:r>
          </w:p>
        </w:tc>
        <w:tc>
          <w:tcPr>
            <w:tcW w:w="1550" w:type="dxa"/>
            <w:tcMar/>
          </w:tcPr>
          <w:p>
            <w:r>
              <w:t>0.056*</w:t>
            </w:r>
          </w:p>
        </w:tc>
        <w:tc>
          <w:tcPr>
            <w:tcW w:w="1550" w:type="dxa"/>
            <w:tcMar/>
          </w:tcPr>
          <w:p>
            <w:r>
              <w:t>0.053*</w:t>
            </w:r>
          </w:p>
        </w:tc>
      </w:tr>
      <w:tr xmlns:wp14="http://schemas.microsoft.com/office/word/2010/wordml" w:rsidTr="3DC018EE" w14:paraId="3F1E0F73" wp14:textId="77777777">
        <w:trPr>
          <w:trHeight w:val="300"/>
        </w:trPr>
        <w:tc>
          <w:tcPr>
            <w:tcW w:w="2400" w:type="dxa"/>
            <w:tcMar/>
          </w:tcPr>
          <w:p w14:paraId="3A4AD729" wp14:textId="77777777">
            <w:pPr/>
            <w:r w:rsidR="3DC018EE">
              <w:rPr/>
              <w:t xml:space="preserve">  % Black</w:t>
            </w:r>
          </w:p>
        </w:tc>
        <w:tc>
          <w:tcPr>
            <w:tcW w:w="1400" w:type="dxa"/>
            <w:tcMar/>
          </w:tcPr>
          <w:p>
            <w:r>
              <w:t>-0.760</w:t>
            </w:r>
          </w:p>
        </w:tc>
        <w:tc>
          <w:tcPr>
            <w:tcW w:w="1400" w:type="dxa"/>
            <w:tcMar/>
          </w:tcPr>
          <w:p>
            <w:r>
              <w:t>0.109***</w:t>
            </w:r>
          </w:p>
        </w:tc>
        <w:tc>
          <w:tcPr>
            <w:tcW w:w="1500" w:type="dxa"/>
            <w:tcMar/>
          </w:tcPr>
          <w:p>
            <w:r>
              <w:t>0.173***</w:t>
            </w:r>
          </w:p>
        </w:tc>
        <w:tc>
          <w:tcPr>
            <w:tcW w:w="1550" w:type="dxa"/>
            <w:tcMar/>
          </w:tcPr>
          <w:p>
            <w:r>
              <w:t>0.237**</w:t>
            </w:r>
          </w:p>
        </w:tc>
        <w:tc>
          <w:tcPr>
            <w:tcW w:w="1550" w:type="dxa"/>
            <w:tcMar/>
          </w:tcPr>
          <w:p>
            <w:r>
              <w:t>0.298*</w:t>
            </w:r>
          </w:p>
        </w:tc>
      </w:tr>
      <w:tr xmlns:wp14="http://schemas.microsoft.com/office/word/2010/wordml" w:rsidTr="3DC018EE" w14:paraId="5F10B9CB" wp14:textId="77777777">
        <w:trPr>
          <w:trHeight w:val="300"/>
        </w:trPr>
        <w:tc>
          <w:tcPr>
            <w:tcW w:w="2400" w:type="dxa"/>
            <w:tcMar/>
          </w:tcPr>
          <w:p w14:paraId="33DB55C5" wp14:textId="77777777">
            <w:pPr/>
            <w:r w:rsidR="3DC018EE">
              <w:rPr/>
              <w:t xml:space="preserve">  % Hispanic</w:t>
            </w:r>
          </w:p>
        </w:tc>
        <w:tc>
          <w:tcPr>
            <w:tcW w:w="1400" w:type="dxa"/>
            <w:tcMar/>
          </w:tcPr>
          <w:p>
            <w:r>
              <w:t>0.017</w:t>
            </w:r>
          </w:p>
        </w:tc>
        <w:tc>
          <w:tcPr>
            <w:tcW w:w="1400" w:type="dxa"/>
            <w:tcMar/>
          </w:tcPr>
          <w:p>
            <w:r>
              <w:t>0.048</w:t>
            </w:r>
          </w:p>
        </w:tc>
        <w:tc>
          <w:tcPr>
            <w:tcW w:w="1500" w:type="dxa"/>
            <w:tcMar/>
          </w:tcPr>
          <w:p>
            <w:r>
              <w:t>0.105</w:t>
            </w:r>
          </w:p>
        </w:tc>
        <w:tc>
          <w:tcPr>
            <w:tcW w:w="1550" w:type="dxa"/>
            <w:tcMar/>
          </w:tcPr>
          <w:p>
            <w:r>
              <w:t>0.122</w:t>
            </w:r>
          </w:p>
        </w:tc>
        <w:tc>
          <w:tcPr>
            <w:tcW w:w="1550" w:type="dxa"/>
            <w:tcMar/>
          </w:tcPr>
          <w:p>
            <w:r>
              <w:t>0.144</w:t>
            </w:r>
          </w:p>
        </w:tc>
      </w:tr>
      <w:tr xmlns:wp14="http://schemas.microsoft.com/office/word/2010/wordml" w:rsidTr="3DC018EE" w14:paraId="18DC1A00" wp14:textId="77777777">
        <w:trPr>
          <w:trHeight w:val="300"/>
        </w:trPr>
        <w:tc>
          <w:tcPr>
            <w:tcW w:w="2400" w:type="dxa"/>
            <w:tcMar/>
          </w:tcPr>
          <w:p w14:paraId="295ECFE0" wp14:textId="77777777">
            <w:pPr/>
            <w:r w:rsidR="3DC018EE">
              <w:rPr/>
              <w:t xml:space="preserve">  % Asian</w:t>
            </w:r>
          </w:p>
        </w:tc>
        <w:tc>
          <w:tcPr>
            <w:tcW w:w="1400" w:type="dxa"/>
            <w:tcMar/>
          </w:tcPr>
          <w:p>
            <w:r>
              <w:t>-0.579</w:t>
            </w:r>
          </w:p>
        </w:tc>
        <w:tc>
          <w:tcPr>
            <w:tcW w:w="1400" w:type="dxa"/>
            <w:tcMar/>
          </w:tcPr>
          <w:p>
            <w:r>
              <w:t>0.048***</w:t>
            </w:r>
          </w:p>
        </w:tc>
        <w:tc>
          <w:tcPr>
            <w:tcW w:w="1500" w:type="dxa"/>
            <w:tcMar/>
          </w:tcPr>
          <w:p>
            <w:r>
              <w:t>0.071***</w:t>
            </w:r>
          </w:p>
        </w:tc>
        <w:tc>
          <w:tcPr>
            <w:tcW w:w="1550" w:type="dxa"/>
            <w:tcMar/>
          </w:tcPr>
          <w:p>
            <w:r>
              <w:t>0.085***</w:t>
            </w:r>
          </w:p>
        </w:tc>
        <w:tc>
          <w:tcPr>
            <w:tcW w:w="1550" w:type="dxa"/>
            <w:tcMar/>
          </w:tcPr>
          <w:p>
            <w:r>
              <w:t>0.085***</w:t>
            </w:r>
          </w:p>
        </w:tc>
      </w:tr>
      <w:tr xmlns:wp14="http://schemas.microsoft.com/office/word/2010/wordml" w:rsidTr="3DC018EE" w14:paraId="25245CBB" wp14:textId="77777777">
        <w:trPr>
          <w:trHeight w:val="300"/>
        </w:trPr>
        <w:tc>
          <w:tcPr>
            <w:tcW w:w="2400" w:type="dxa"/>
            <w:tcMar/>
          </w:tcPr>
          <w:p w14:paraId="5793E797" wp14:textId="77777777">
            <w:pPr/>
            <w:r w:rsidR="3DC018EE">
              <w:rPr/>
              <w:t xml:space="preserve">  Poverty rate</w:t>
            </w:r>
          </w:p>
        </w:tc>
        <w:tc>
          <w:tcPr>
            <w:tcW w:w="1400" w:type="dxa"/>
            <w:tcMar/>
          </w:tcPr>
          <w:p>
            <w:r>
              <w:t>-0.047</w:t>
            </w:r>
          </w:p>
        </w:tc>
        <w:tc>
          <w:tcPr>
            <w:tcW w:w="1400" w:type="dxa"/>
            <w:tcMar/>
          </w:tcPr>
          <w:p>
            <w:r>
              <w:t>0.219</w:t>
            </w:r>
          </w:p>
        </w:tc>
        <w:tc>
          <w:tcPr>
            <w:tcW w:w="1500" w:type="dxa"/>
            <w:tcMar/>
          </w:tcPr>
          <w:p>
            <w:r>
              <w:t>0.240</w:t>
            </w:r>
          </w:p>
        </w:tc>
        <w:tc>
          <w:tcPr>
            <w:tcW w:w="1550" w:type="dxa"/>
            <w:tcMar/>
          </w:tcPr>
          <w:p>
            <w:r>
              <w:t>0.254</w:t>
            </w:r>
          </w:p>
        </w:tc>
        <w:tc>
          <w:tcPr>
            <w:tcW w:w="1550" w:type="dxa"/>
            <w:tcMar/>
          </w:tcPr>
          <w:p>
            <w:r>
              <w:t>0.259</w:t>
            </w:r>
          </w:p>
        </w:tc>
      </w:tr>
      <w:tr xmlns:wp14="http://schemas.microsoft.com/office/word/2010/wordml" w:rsidTr="3DC018EE" w14:paraId="0D2F6A35" wp14:textId="77777777">
        <w:trPr>
          <w:trHeight w:val="300"/>
        </w:trPr>
        <w:tc>
          <w:tcPr>
            <w:tcW w:w="2400" w:type="dxa"/>
            <w:tcMar/>
          </w:tcPr>
          <w:p w14:paraId="53127CA5" wp14:textId="77777777">
            <w:pPr/>
            <w:r w:rsidR="3DC018EE">
              <w:rPr/>
              <w:t>Storage</w:t>
            </w:r>
          </w:p>
        </w:tc>
        <w:tc>
          <w:tcPr>
            <w:tcW w:w="1400" w:type="dxa"/>
            <w:tcMar/>
          </w:tcPr>
          <w:p w14:paraId="5A39BBE3" wp14:textId="77777777">
            <w:pPr/>
            <w:r/>
          </w:p>
        </w:tc>
        <w:tc>
          <w:tcPr>
            <w:tcW w:w="1400" w:type="dxa"/>
            <w:tcMar/>
          </w:tcPr>
          <w:p w14:paraId="41C8F396" wp14:textId="77777777">
            <w:pPr/>
            <w:r/>
          </w:p>
        </w:tc>
        <w:tc>
          <w:tcPr>
            <w:tcW w:w="1500" w:type="dxa"/>
            <w:tcMar/>
          </w:tcPr>
          <w:p w14:paraId="72A3D3EC" wp14:textId="77777777">
            <w:pPr/>
            <w:r/>
          </w:p>
        </w:tc>
        <w:tc>
          <w:tcPr>
            <w:tcW w:w="1550" w:type="dxa"/>
            <w:tcMar/>
          </w:tcPr>
          <w:p w14:paraId="0D0B940D" wp14:textId="77777777">
            <w:pPr/>
            <w:r/>
          </w:p>
        </w:tc>
        <w:tc>
          <w:tcPr>
            <w:tcW w:w="1550" w:type="dxa"/>
            <w:tcMar/>
          </w:tcPr>
          <w:p w14:paraId="0E27B00A" wp14:textId="77777777">
            <w:pPr/>
            <w:r/>
          </w:p>
        </w:tc>
      </w:tr>
      <w:tr xmlns:wp14="http://schemas.microsoft.com/office/word/2010/wordml" w:rsidTr="3DC018EE" w14:paraId="4745B14E" wp14:textId="77777777">
        <w:trPr>
          <w:trHeight w:val="300"/>
        </w:trPr>
        <w:tc>
          <w:tcPr>
            <w:tcW w:w="2400" w:type="dxa"/>
            <w:tcMar/>
          </w:tcPr>
          <w:p w14:paraId="2772C42A" wp14:textId="77777777">
            <w:pPr/>
            <w:r w:rsidR="3DC018EE">
              <w:rPr/>
              <w:t xml:space="preserve">  Log median income</w:t>
            </w:r>
          </w:p>
        </w:tc>
        <w:tc>
          <w:tcPr>
            <w:tcW w:w="1400" w:type="dxa"/>
            <w:tcMar/>
          </w:tcPr>
          <w:p>
            <w:r>
              <w:t>0.771</w:t>
            </w:r>
          </w:p>
        </w:tc>
        <w:tc>
          <w:tcPr>
            <w:tcW w:w="1400" w:type="dxa"/>
            <w:tcMar/>
          </w:tcPr>
          <w:p>
            <w:r>
              <w:t>0.122***</w:t>
            </w:r>
          </w:p>
        </w:tc>
        <w:tc>
          <w:tcPr>
            <w:tcW w:w="1500" w:type="dxa"/>
            <w:tcMar/>
          </w:tcPr>
          <w:p>
            <w:r>
              <w:t>0.176***</w:t>
            </w:r>
          </w:p>
        </w:tc>
        <w:tc>
          <w:tcPr>
            <w:tcW w:w="1550" w:type="dxa"/>
            <w:tcMar/>
          </w:tcPr>
          <w:p>
            <w:r>
              <w:t>0.179***</w:t>
            </w:r>
          </w:p>
        </w:tc>
        <w:tc>
          <w:tcPr>
            <w:tcW w:w="1550" w:type="dxa"/>
            <w:tcMar/>
          </w:tcPr>
          <w:p>
            <w:r>
              <w:t>0.168***</w:t>
            </w:r>
          </w:p>
        </w:tc>
      </w:tr>
      <w:tr xmlns:wp14="http://schemas.microsoft.com/office/word/2010/wordml" w:rsidTr="3DC018EE" w14:paraId="43BCF119" wp14:textId="77777777">
        <w:trPr>
          <w:trHeight w:val="300"/>
        </w:trPr>
        <w:tc>
          <w:tcPr>
            <w:tcW w:w="2400" w:type="dxa"/>
            <w:tcMar/>
          </w:tcPr>
          <w:p w14:paraId="7FB70A42" wp14:textId="77777777">
            <w:pPr/>
            <w:r w:rsidR="3DC018EE">
              <w:rPr/>
              <w:t xml:space="preserve">  % Black</w:t>
            </w:r>
          </w:p>
        </w:tc>
        <w:tc>
          <w:tcPr>
            <w:tcW w:w="1400" w:type="dxa"/>
            <w:tcMar/>
          </w:tcPr>
          <w:p>
            <w:r>
              <w:t>-1.652</w:t>
            </w:r>
          </w:p>
        </w:tc>
        <w:tc>
          <w:tcPr>
            <w:tcW w:w="1400" w:type="dxa"/>
            <w:tcMar/>
          </w:tcPr>
          <w:p>
            <w:r>
              <w:t>0.328***</w:t>
            </w:r>
          </w:p>
        </w:tc>
        <w:tc>
          <w:tcPr>
            <w:tcW w:w="1500" w:type="dxa"/>
            <w:tcMar/>
          </w:tcPr>
          <w:p>
            <w:r>
              <w:t>0.464***</w:t>
            </w:r>
          </w:p>
        </w:tc>
        <w:tc>
          <w:tcPr>
            <w:tcW w:w="1550" w:type="dxa"/>
            <w:tcMar/>
          </w:tcPr>
          <w:p>
            <w:r>
              <w:t>0.557**</w:t>
            </w:r>
          </w:p>
        </w:tc>
        <w:tc>
          <w:tcPr>
            <w:tcW w:w="1550" w:type="dxa"/>
            <w:tcMar/>
          </w:tcPr>
          <w:p>
            <w:r>
              <w:t>0.644*</w:t>
            </w:r>
          </w:p>
        </w:tc>
      </w:tr>
      <w:tr xmlns:wp14="http://schemas.microsoft.com/office/word/2010/wordml" w:rsidTr="3DC018EE" w14:paraId="591E9C6F" wp14:textId="77777777">
        <w:trPr>
          <w:trHeight w:val="300"/>
        </w:trPr>
        <w:tc>
          <w:tcPr>
            <w:tcW w:w="2400" w:type="dxa"/>
            <w:tcMar/>
          </w:tcPr>
          <w:p w14:paraId="5E9EAFA3" wp14:textId="77777777">
            <w:pPr/>
            <w:r w:rsidR="3DC018EE">
              <w:rPr/>
              <w:t xml:space="preserve">  % Hispanic</w:t>
            </w:r>
          </w:p>
        </w:tc>
        <w:tc>
          <w:tcPr>
            <w:tcW w:w="1400" w:type="dxa"/>
            <w:tcMar/>
          </w:tcPr>
          <w:p>
            <w:r>
              <w:t>-0.612</w:t>
            </w:r>
          </w:p>
        </w:tc>
        <w:tc>
          <w:tcPr>
            <w:tcW w:w="1400" w:type="dxa"/>
            <w:tcMar/>
          </w:tcPr>
          <w:p>
            <w:r>
              <w:t>0.126***</w:t>
            </w:r>
          </w:p>
        </w:tc>
        <w:tc>
          <w:tcPr>
            <w:tcW w:w="1500" w:type="dxa"/>
            <w:tcMar/>
          </w:tcPr>
          <w:p>
            <w:r>
              <w:t>0.205**</w:t>
            </w:r>
          </w:p>
        </w:tc>
        <w:tc>
          <w:tcPr>
            <w:tcW w:w="1550" w:type="dxa"/>
            <w:tcMar/>
          </w:tcPr>
          <w:p>
            <w:r>
              <w:t>0.213**</w:t>
            </w:r>
          </w:p>
        </w:tc>
        <w:tc>
          <w:tcPr>
            <w:tcW w:w="1550" w:type="dxa"/>
            <w:tcMar/>
          </w:tcPr>
          <w:p>
            <w:r>
              <w:t>0.182***</w:t>
            </w:r>
          </w:p>
        </w:tc>
      </w:tr>
      <w:tr xmlns:wp14="http://schemas.microsoft.com/office/word/2010/wordml" w:rsidTr="3DC018EE" w14:paraId="589E9A3A" wp14:textId="77777777">
        <w:trPr>
          <w:trHeight w:val="300"/>
        </w:trPr>
        <w:tc>
          <w:tcPr>
            <w:tcW w:w="2400" w:type="dxa"/>
            <w:tcMar/>
          </w:tcPr>
          <w:p w14:paraId="313E33D3" wp14:textId="77777777">
            <w:pPr/>
            <w:r w:rsidR="3DC018EE">
              <w:rPr/>
              <w:t xml:space="preserve">  % Asian</w:t>
            </w:r>
          </w:p>
        </w:tc>
        <w:tc>
          <w:tcPr>
            <w:tcW w:w="1400" w:type="dxa"/>
            <w:tcMar/>
          </w:tcPr>
          <w:p>
            <w:r>
              <w:t>-1.780</w:t>
            </w:r>
          </w:p>
        </w:tc>
        <w:tc>
          <w:tcPr>
            <w:tcW w:w="1400" w:type="dxa"/>
            <w:tcMar/>
          </w:tcPr>
          <w:p>
            <w:r>
              <w:t>0.162***</w:t>
            </w:r>
          </w:p>
        </w:tc>
        <w:tc>
          <w:tcPr>
            <w:tcW w:w="1500" w:type="dxa"/>
            <w:tcMar/>
          </w:tcPr>
          <w:p>
            <w:r>
              <w:t>0.292***</w:t>
            </w:r>
          </w:p>
        </w:tc>
        <w:tc>
          <w:tcPr>
            <w:tcW w:w="1550" w:type="dxa"/>
            <w:tcMar/>
          </w:tcPr>
          <w:p>
            <w:r>
              <w:t>0.344***</w:t>
            </w:r>
          </w:p>
        </w:tc>
        <w:tc>
          <w:tcPr>
            <w:tcW w:w="1550" w:type="dxa"/>
            <w:tcMar/>
          </w:tcPr>
          <w:p>
            <w:r>
              <w:t>0.339***</w:t>
            </w:r>
          </w:p>
        </w:tc>
      </w:tr>
      <w:tr xmlns:wp14="http://schemas.microsoft.com/office/word/2010/wordml" w:rsidTr="3DC018EE" w14:paraId="1B8134F7" wp14:textId="77777777">
        <w:trPr>
          <w:trHeight w:val="300"/>
        </w:trPr>
        <w:tc>
          <w:tcPr>
            <w:tcW w:w="2400" w:type="dxa"/>
            <w:tcMar/>
          </w:tcPr>
          <w:p w14:paraId="03C56569" wp14:textId="77777777">
            <w:pPr/>
            <w:r w:rsidR="3DC018EE">
              <w:rPr/>
              <w:t xml:space="preserve">  Poverty rate</w:t>
            </w:r>
          </w:p>
        </w:tc>
        <w:tc>
          <w:tcPr>
            <w:tcW w:w="1400" w:type="dxa"/>
            <w:tcMar/>
          </w:tcPr>
          <w:p>
            <w:r>
              <w:t>-0.228</w:t>
            </w:r>
          </w:p>
        </w:tc>
        <w:tc>
          <w:tcPr>
            <w:tcW w:w="1400" w:type="dxa"/>
            <w:tcMar/>
          </w:tcPr>
          <w:p>
            <w:r>
              <w:t>0.562</w:t>
            </w:r>
          </w:p>
        </w:tc>
        <w:tc>
          <w:tcPr>
            <w:tcW w:w="1500" w:type="dxa"/>
            <w:tcMar/>
          </w:tcPr>
          <w:p>
            <w:r>
              <w:t>0.681</w:t>
            </w:r>
          </w:p>
        </w:tc>
        <w:tc>
          <w:tcPr>
            <w:tcW w:w="1550" w:type="dxa"/>
            <w:tcMar/>
          </w:tcPr>
          <w:p>
            <w:r>
              <w:t>0.710</w:t>
            </w:r>
          </w:p>
        </w:tc>
        <w:tc>
          <w:tcPr>
            <w:tcW w:w="1550" w:type="dxa"/>
            <w:tcMar/>
          </w:tcPr>
          <w:p>
            <w:r>
              <w:t>0.682</w:t>
            </w:r>
          </w:p>
        </w:tc>
      </w:tr>
      <w:tr xmlns:wp14="http://schemas.microsoft.com/office/word/2010/wordml" w:rsidTr="3DC018EE" w14:paraId="64B3DF23" wp14:textId="77777777">
        <w:trPr>
          <w:trHeight w:val="300"/>
        </w:trPr>
        <w:tc>
          <w:tcPr>
            <w:tcW w:w="2400" w:type="dxa"/>
            <w:tcMar/>
          </w:tcPr>
          <w:p w14:paraId="2DE1338F" wp14:textId="77777777">
            <w:pPr/>
            <w:r w:rsidR="3DC018EE">
              <w:rPr/>
              <w:t>EV chargers (aggregate)</w:t>
            </w:r>
          </w:p>
        </w:tc>
        <w:tc>
          <w:tcPr>
            <w:tcW w:w="1400" w:type="dxa"/>
            <w:tcMar/>
          </w:tcPr>
          <w:p w14:paraId="60061E4C" wp14:textId="77777777">
            <w:pPr/>
            <w:r/>
          </w:p>
        </w:tc>
        <w:tc>
          <w:tcPr>
            <w:tcW w:w="1400" w:type="dxa"/>
            <w:tcMar/>
          </w:tcPr>
          <w:p w14:paraId="44EAFD9C" wp14:textId="77777777">
            <w:pPr/>
            <w:r/>
          </w:p>
        </w:tc>
        <w:tc>
          <w:tcPr>
            <w:tcW w:w="1500" w:type="dxa"/>
            <w:tcMar/>
          </w:tcPr>
          <w:p w14:paraId="4B94D5A5" wp14:textId="77777777">
            <w:pPr/>
            <w:r/>
          </w:p>
        </w:tc>
        <w:tc>
          <w:tcPr>
            <w:tcW w:w="1550" w:type="dxa"/>
            <w:tcMar/>
          </w:tcPr>
          <w:p w14:paraId="3DEEC669" wp14:textId="77777777">
            <w:pPr/>
            <w:r/>
          </w:p>
        </w:tc>
        <w:tc>
          <w:tcPr>
            <w:tcW w:w="1550" w:type="dxa"/>
            <w:tcMar/>
          </w:tcPr>
          <w:p w14:paraId="3656B9AB" wp14:textId="77777777">
            <w:pPr/>
            <w:r/>
          </w:p>
        </w:tc>
      </w:tr>
      <w:tr xmlns:wp14="http://schemas.microsoft.com/office/word/2010/wordml" w:rsidTr="3DC018EE" w14:paraId="75A52F4C" wp14:textId="77777777">
        <w:trPr>
          <w:trHeight w:val="300"/>
        </w:trPr>
        <w:tc>
          <w:tcPr>
            <w:tcW w:w="2400" w:type="dxa"/>
            <w:tcMar/>
          </w:tcPr>
          <w:p w14:paraId="43D273AB" wp14:textId="77777777">
            <w:pPr/>
            <w:r w:rsidR="3DC018EE">
              <w:rPr/>
              <w:t xml:space="preserve">  Log median income</w:t>
            </w:r>
          </w:p>
        </w:tc>
        <w:tc>
          <w:tcPr>
            <w:tcW w:w="1400" w:type="dxa"/>
            <w:tcMar/>
          </w:tcPr>
          <w:p>
            <w:r>
              <w:t>0.164</w:t>
            </w:r>
          </w:p>
        </w:tc>
        <w:tc>
          <w:tcPr>
            <w:tcW w:w="1400" w:type="dxa"/>
            <w:tcMar/>
          </w:tcPr>
          <w:p>
            <w:r>
              <w:t>0.098</w:t>
            </w:r>
          </w:p>
        </w:tc>
        <w:tc>
          <w:tcPr>
            <w:tcW w:w="1500" w:type="dxa"/>
            <w:tcMar/>
          </w:tcPr>
          <w:p>
            <w:r>
              <w:t>0.130</w:t>
            </w:r>
          </w:p>
        </w:tc>
        <w:tc>
          <w:tcPr>
            <w:tcW w:w="1550" w:type="dxa"/>
            <w:tcMar/>
          </w:tcPr>
          <w:p>
            <w:r>
              <w:t>0.120</w:t>
            </w:r>
          </w:p>
        </w:tc>
        <w:tc>
          <w:tcPr>
            <w:tcW w:w="1550" w:type="dxa"/>
            <w:tcMar/>
          </w:tcPr>
          <w:p>
            <w:r>
              <w:t>0.102</w:t>
            </w:r>
          </w:p>
        </w:tc>
      </w:tr>
      <w:tr xmlns:wp14="http://schemas.microsoft.com/office/word/2010/wordml" w:rsidTr="3DC018EE" w14:paraId="7CC8860B" wp14:textId="77777777">
        <w:trPr>
          <w:trHeight w:val="300"/>
        </w:trPr>
        <w:tc>
          <w:tcPr>
            <w:tcW w:w="2400" w:type="dxa"/>
            <w:tcMar/>
          </w:tcPr>
          <w:p w14:paraId="7EA32E08" wp14:textId="77777777">
            <w:pPr/>
            <w:r w:rsidR="3DC018EE">
              <w:rPr/>
              <w:t xml:space="preserve">  % Black</w:t>
            </w:r>
          </w:p>
        </w:tc>
        <w:tc>
          <w:tcPr>
            <w:tcW w:w="1400" w:type="dxa"/>
            <w:tcMar/>
          </w:tcPr>
          <w:p>
            <w:r>
              <w:t>-0.007</w:t>
            </w:r>
          </w:p>
        </w:tc>
        <w:tc>
          <w:tcPr>
            <w:tcW w:w="1400" w:type="dxa"/>
            <w:tcMar/>
          </w:tcPr>
          <w:p>
            <w:r>
              <w:t>0.343</w:t>
            </w:r>
          </w:p>
        </w:tc>
        <w:tc>
          <w:tcPr>
            <w:tcW w:w="1500" w:type="dxa"/>
            <w:tcMar/>
          </w:tcPr>
          <w:p>
            <w:r>
              <w:t>0.275</w:t>
            </w:r>
          </w:p>
        </w:tc>
        <w:tc>
          <w:tcPr>
            <w:tcW w:w="1550" w:type="dxa"/>
            <w:tcMar/>
          </w:tcPr>
          <w:p>
            <w:r>
              <w:t>0.294</w:t>
            </w:r>
          </w:p>
        </w:tc>
        <w:tc>
          <w:tcPr>
            <w:tcW w:w="1550" w:type="dxa"/>
            <w:tcMar/>
          </w:tcPr>
          <w:p>
            <w:r>
              <w:t>0.285</w:t>
            </w:r>
          </w:p>
        </w:tc>
      </w:tr>
      <w:tr xmlns:wp14="http://schemas.microsoft.com/office/word/2010/wordml" w:rsidTr="3DC018EE" w14:paraId="249E9D82" wp14:textId="77777777">
        <w:trPr>
          <w:trHeight w:val="300"/>
        </w:trPr>
        <w:tc>
          <w:tcPr>
            <w:tcW w:w="2400" w:type="dxa"/>
            <w:tcMar/>
          </w:tcPr>
          <w:p w14:paraId="2B188841" wp14:textId="77777777">
            <w:pPr/>
            <w:r w:rsidR="3DC018EE">
              <w:rPr/>
              <w:t xml:space="preserve">  % Hispanic</w:t>
            </w:r>
          </w:p>
        </w:tc>
        <w:tc>
          <w:tcPr>
            <w:tcW w:w="1400" w:type="dxa"/>
            <w:tcMar/>
          </w:tcPr>
          <w:p>
            <w:r>
              <w:t>-0.399</w:t>
            </w:r>
          </w:p>
        </w:tc>
        <w:tc>
          <w:tcPr>
            <w:tcW w:w="1400" w:type="dxa"/>
            <w:tcMar/>
          </w:tcPr>
          <w:p>
            <w:r>
              <w:t>0.105***</w:t>
            </w:r>
          </w:p>
        </w:tc>
        <w:tc>
          <w:tcPr>
            <w:tcW w:w="1500" w:type="dxa"/>
            <w:tcMar/>
          </w:tcPr>
          <w:p>
            <w:r>
              <w:t>0.156*</w:t>
            </w:r>
          </w:p>
        </w:tc>
        <w:tc>
          <w:tcPr>
            <w:tcW w:w="1550" w:type="dxa"/>
            <w:tcMar/>
          </w:tcPr>
          <w:p>
            <w:r>
              <w:t>0.165*</w:t>
            </w:r>
          </w:p>
        </w:tc>
        <w:tc>
          <w:tcPr>
            <w:tcW w:w="1550" w:type="dxa"/>
            <w:tcMar/>
          </w:tcPr>
          <w:p>
            <w:r>
              <w:t>0.173*</w:t>
            </w:r>
          </w:p>
        </w:tc>
      </w:tr>
      <w:tr xmlns:wp14="http://schemas.microsoft.com/office/word/2010/wordml" w:rsidTr="3DC018EE" w14:paraId="5ACB405C" wp14:textId="77777777">
        <w:trPr>
          <w:trHeight w:val="300"/>
        </w:trPr>
        <w:tc>
          <w:tcPr>
            <w:tcW w:w="2400" w:type="dxa"/>
            <w:tcMar/>
          </w:tcPr>
          <w:p w14:paraId="351B2A56" wp14:textId="77777777">
            <w:pPr/>
            <w:r w:rsidR="3DC018EE">
              <w:rPr/>
              <w:t xml:space="preserve">  % Asian</w:t>
            </w:r>
          </w:p>
        </w:tc>
        <w:tc>
          <w:tcPr>
            <w:tcW w:w="1400" w:type="dxa"/>
            <w:tcMar/>
          </w:tcPr>
          <w:p>
            <w:r>
              <w:t>0.410</w:t>
            </w:r>
          </w:p>
        </w:tc>
        <w:tc>
          <w:tcPr>
            <w:tcW w:w="1400" w:type="dxa"/>
            <w:tcMar/>
          </w:tcPr>
          <w:p>
            <w:r>
              <w:t>0.146**</w:t>
            </w:r>
          </w:p>
        </w:tc>
        <w:tc>
          <w:tcPr>
            <w:tcW w:w="1500" w:type="dxa"/>
            <w:tcMar/>
          </w:tcPr>
          <w:p>
            <w:r>
              <w:t>0.207*</w:t>
            </w:r>
          </w:p>
        </w:tc>
        <w:tc>
          <w:tcPr>
            <w:tcW w:w="1550" w:type="dxa"/>
            <w:tcMar/>
          </w:tcPr>
          <w:p>
            <w:r>
              <w:t>0.218</w:t>
            </w:r>
          </w:p>
        </w:tc>
        <w:tc>
          <w:tcPr>
            <w:tcW w:w="1550" w:type="dxa"/>
            <w:tcMar/>
          </w:tcPr>
          <w:p>
            <w:r>
              <w:t>0.197*</w:t>
            </w:r>
          </w:p>
        </w:tc>
      </w:tr>
      <w:tr xmlns:wp14="http://schemas.microsoft.com/office/word/2010/wordml" w:rsidTr="3DC018EE" w14:paraId="189167AD" wp14:textId="77777777">
        <w:trPr>
          <w:trHeight w:val="300"/>
        </w:trPr>
        <w:tc>
          <w:tcPr>
            <w:tcW w:w="2400" w:type="dxa"/>
            <w:tcMar/>
          </w:tcPr>
          <w:p w14:paraId="03E3B9F9" wp14:textId="77777777">
            <w:pPr/>
            <w:r w:rsidR="3DC018EE">
              <w:rPr/>
              <w:t xml:space="preserve">  Poverty rate</w:t>
            </w:r>
          </w:p>
        </w:tc>
        <w:tc>
          <w:tcPr>
            <w:tcW w:w="1400" w:type="dxa"/>
            <w:tcMar/>
          </w:tcPr>
          <w:p>
            <w:r>
              <w:t>2.003</w:t>
            </w:r>
          </w:p>
        </w:tc>
        <w:tc>
          <w:tcPr>
            <w:tcW w:w="1400" w:type="dxa"/>
            <w:tcMar/>
          </w:tcPr>
          <w:p>
            <w:r>
              <w:t>0.497***</w:t>
            </w:r>
          </w:p>
        </w:tc>
        <w:tc>
          <w:tcPr>
            <w:tcW w:w="1500" w:type="dxa"/>
            <w:tcMar/>
          </w:tcPr>
          <w:p>
            <w:r>
              <w:t>0.641**</w:t>
            </w:r>
          </w:p>
        </w:tc>
        <w:tc>
          <w:tcPr>
            <w:tcW w:w="1550" w:type="dxa"/>
            <w:tcMar/>
          </w:tcPr>
          <w:p>
            <w:r>
              <w:t>0.674**</w:t>
            </w:r>
          </w:p>
        </w:tc>
        <w:tc>
          <w:tcPr>
            <w:tcW w:w="1550" w:type="dxa"/>
            <w:tcMar/>
          </w:tcPr>
          <w:p>
            <w:r>
              <w:t>0.692**</w:t>
            </w:r>
          </w:p>
        </w:tc>
      </w:tr>
    </w:tbl>
    <w:p w:rsidR="00B86A12" w:rsidRDefault="00000000" w14:paraId="251D45A8" w14:textId="473AB08B">
      <w:pPr>
        <w:pStyle w:val="Heading1"/>
      </w:pPr>
      <w:r>
        <w:t>References</w:t>
      </w:r>
    </w:p>
    <w:sdt>
      <w:sdtPr>
        <w:rPr>
          <w:rFonts w:cs="Times New Roman"/>
          <w:color w:val="000000"/>
        </w:rPr>
        <w:tag w:val="MENDELEY_BIBLIOGRAPHY"/>
        <w:id w:val="-1455015959"/>
        <w:placeholder>
          <w:docPart w:val="DefaultPlaceholder_1081868574"/>
        </w:placeholder>
      </w:sdtPr>
      <w:sdtContent>
        <w:p w:rsidRPr="00CB57CA" w:rsidR="00CB57CA" w:rsidRDefault="00CB57CA" w14:paraId="257A30B9" w14:textId="77777777">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r>
          <w:r>
            <w:rPr>
              <w:rFonts w:eastAsia="Times New Roman" w:cs="Times New Roman"/>
              <w:color w:val="000000"/>
            </w:rPr>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rsidRPr="00CB57CA" w:rsidR="00CB57CA" w:rsidRDefault="00CB57CA" w14:paraId="5BABE17A" w14:textId="77777777">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r>
          <w:r>
            <w:rPr>
              <w:rFonts w:eastAsia="Times New Roman" w:cs="Times New Roman"/>
              <w:color w:val="000000"/>
            </w:rPr>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rsidRPr="00CB57CA" w:rsidR="00CB57CA" w:rsidRDefault="00CB57CA" w14:paraId="6BF5EEF8" w14:textId="77777777">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r>
          <w:r>
            <w:rPr>
              <w:rFonts w:eastAsia="Times New Roman" w:cs="Times New Roman"/>
              <w:color w:val="000000"/>
            </w:rPr>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rsidRPr="00CB57CA" w:rsidR="00CB57CA" w:rsidRDefault="00CB57CA" w14:paraId="54DD7E47" w14:textId="77777777">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r>
          <w:r>
            <w:rPr>
              <w:rFonts w:eastAsia="Times New Roman" w:cs="Times New Roman"/>
              <w:color w:val="000000"/>
            </w:rPr>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rsidRPr="00CB57CA" w:rsidR="00CB57CA" w:rsidRDefault="00CB57CA" w14:paraId="50425012" w14:textId="77777777">
          <w:pPr>
            <w:autoSpaceDE w:val="0"/>
            <w:autoSpaceDN w:val="0"/>
            <w:ind w:hanging="640"/>
            <w:divId w:val="1541552734"/>
            <w:rPr>
              <w:rFonts w:eastAsia="Times New Roman" w:cs="Times New Roman"/>
              <w:color w:val="000000"/>
            </w:rPr>
          </w:pPr>
          <w:r>
            <w:rPr>
              <w:rFonts w:eastAsia="Times New Roman" w:cs="Times New Roman"/>
              <w:color w:val="000000"/>
            </w:rPr>
            <w:t>[5]</w:t>
          </w:r>
          <w:r>
            <w:rPr>
              <w:rFonts w:eastAsia="Times New Roman" w:cs="Times New Roman"/>
              <w:color w:val="000000"/>
            </w:rPr>
            <w:tab/>
          </w:r>
          <w:r>
            <w:rPr>
              <w:rFonts w:eastAsia="Times New Roman" w:cs="Times New Roman"/>
              <w:color w:val="000000"/>
            </w:rPr>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rsidRPr="00CB57CA" w:rsidR="00CB57CA" w:rsidRDefault="00CB57CA" w14:paraId="1B069A0F" w14:textId="77777777">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r>
          <w:r>
            <w:rPr>
              <w:rFonts w:eastAsia="Times New Roman" w:cs="Times New Roman"/>
              <w:color w:val="000000"/>
            </w:rPr>
            <w:t>C. Sigrist, A. Lechowicz, J. Champ, N. Bashir, and M. Hajiesmaili, “Lost in Siting: The Hidden Carbon Cost of Inequitable Residential Solar Installations,” Jan. 2025, [Online]. Available: http://arxiv.org/abs/2501.13868</w:t>
          </w:r>
        </w:p>
        <w:p w:rsidRPr="00CB57CA" w:rsidR="00CB57CA" w:rsidRDefault="00CB57CA" w14:paraId="6750EAEB" w14:textId="77777777">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r>
          <w:r>
            <w:rPr>
              <w:rFonts w:eastAsia="Times New Roman" w:cs="Times New Roman"/>
              <w:color w:val="000000"/>
            </w:rPr>
            <w:t>A. Drehobl, L. Ross, R. Ayala, A. Zaman, and J. Amann, “An Assessment of National and Metropolitan Energy Burden across the United States SEPTEMBER 2020 How High Are Household Energy Burdens?,” 2020.</w:t>
          </w:r>
        </w:p>
        <w:p w:rsidRPr="00CB57CA" w:rsidR="00CB57CA" w:rsidRDefault="00CB57CA" w14:paraId="26511F6D" w14:textId="77777777">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r>
          <w:r>
            <w:rPr>
              <w:rFonts w:eastAsia="Times New Roman" w:cs="Times New Roman"/>
              <w:color w:val="000000"/>
            </w:rPr>
            <w:t>“Demystifying Equity in California’s Energy Grid Transition BLOG ENERGY EQUITY.”</w:t>
          </w:r>
        </w:p>
        <w:p w:rsidRPr="00CB57CA" w:rsidR="00CB57CA" w:rsidRDefault="00CB57CA" w14:paraId="112F5B36" w14:textId="77777777">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60CAEC73" w14:textId="77777777">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r>
          <w:r>
            <w:rPr>
              <w:rFonts w:eastAsia="Times New Roman" w:cs="Times New Roman"/>
              <w:color w:val="000000"/>
            </w:rPr>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rsidRPr="00CB57CA" w:rsidR="00CB57CA" w:rsidRDefault="00CB57CA" w14:paraId="63DDDCB4" w14:textId="77777777">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r>
          <w:r>
            <w:rPr>
              <w:rFonts w:eastAsia="Times New Roman" w:cs="Times New Roman"/>
              <w:color w:val="000000"/>
            </w:rPr>
            <w:t>A. Brockway and D. Callaway, “California’s omission of community solar from distributed energy policies is shortsighted,” 2022.</w:t>
          </w:r>
        </w:p>
        <w:p w:rsidRPr="00CB57CA" w:rsidR="00CB57CA" w:rsidRDefault="00CB57CA" w14:paraId="5168D8EE" w14:textId="77777777">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r>
          <w:r>
            <w:rPr>
              <w:rFonts w:eastAsia="Times New Roman" w:cs="Times New Roman"/>
              <w:color w:val="000000"/>
            </w:rPr>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rsidRPr="00CB57CA" w:rsidR="00CB57CA" w:rsidRDefault="00CB57CA" w14:paraId="3E56FFBF" w14:textId="77777777">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r>
          <w:r>
            <w:rPr>
              <w:rFonts w:eastAsia="Times New Roman" w:cs="Times New Roman"/>
              <w:color w:val="000000"/>
            </w:rPr>
            <w:t>“Distributed Energy Resources Technical Considerations for the Bulk Power System,” 2018.</w:t>
          </w:r>
        </w:p>
        <w:p w:rsidRPr="00CB57CA" w:rsidR="00CB57CA" w:rsidRDefault="00CB57CA" w14:paraId="2A9E21B2" w14:textId="77777777">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r>
          <w:r>
            <w:rPr>
              <w:rFonts w:eastAsia="Times New Roman" w:cs="Times New Roman"/>
              <w:color w:val="000000"/>
            </w:rPr>
            <w:t>R. Mcallister, M. Coddington, M. Kolb, S. Murtishaw, L. Schwartz, and S. Sergici, “WESTERN INTERSTATE ENERGY BOARD Distributed Energy Resources: Technological and Policy Considerations of Hosting Capacity and Locational Value Acknowledgements Disclaimer,” 2016.</w:t>
          </w:r>
        </w:p>
        <w:p w:rsidRPr="00CB57CA" w:rsidR="00CB57CA" w:rsidRDefault="00CB57CA" w14:paraId="0F7F854E" w14:textId="77777777">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r>
          <w:r>
            <w:rPr>
              <w:rFonts w:eastAsia="Times New Roman" w:cs="Times New Roman"/>
              <w:color w:val="000000"/>
            </w:rPr>
            <w:t>B. Aydin, R. Holt, and M. Almassalkhi, “Fairness-aware Dynamic Hosting Capacity and the Impacts of Strategic Solar PV Curtailment,” Apr. 2025, [Online]. Available: http://arxiv.org/abs/2504.18905</w:t>
          </w:r>
        </w:p>
        <w:p w:rsidRPr="00CB57CA" w:rsidR="00CB57CA" w:rsidRDefault="00CB57CA" w14:paraId="2A29BA6F" w14:textId="77777777">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r>
          <w:r>
            <w:rPr>
              <w:rFonts w:eastAsia="Times New Roman" w:cs="Times New Roman"/>
              <w:color w:val="000000"/>
            </w:rPr>
            <w:t>“Distributed Energy Resource Interconnection Roadmap.”</w:t>
          </w:r>
        </w:p>
        <w:p w:rsidRPr="00CB57CA" w:rsidR="00CB57CA" w:rsidRDefault="00CB57CA" w14:paraId="1DE1F78A" w14:textId="77777777">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r>
          <w:r>
            <w:rPr>
              <w:rFonts w:eastAsia="Times New Roman" w:cs="Times New Roman"/>
              <w:color w:val="000000"/>
            </w:rPr>
            <w:t>B. Tarekegne, R. O’Neil, and J. Twitchell, “Energy Storage as an Equity Asset,” 2021. doi: 10.1007/s40518-021-00184-6.</w:t>
          </w:r>
        </w:p>
        <w:p w:rsidRPr="00CB57CA" w:rsidR="00CB57CA" w:rsidRDefault="00CB57CA" w14:paraId="00E219FE" w14:textId="77777777">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r>
          <w:r>
            <w:rPr>
              <w:rFonts w:eastAsia="Times New Roman" w:cs="Times New Roman"/>
              <w:color w:val="000000"/>
            </w:rPr>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rsidRPr="00CB57CA" w:rsidR="00CB57CA" w:rsidRDefault="00CB57CA" w14:paraId="7D0BC2DE" w14:textId="77777777">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r>
          <w:r>
            <w:rPr>
              <w:rFonts w:eastAsia="Times New Roman" w:cs="Times New Roman"/>
              <w:color w:val="000000"/>
            </w:rPr>
            <w:t>S. Borenstein and J. Bushnell, “The U.S. Electricity Industry after 20 Years of Restructuring,” 2015, doi: 10.1146/annureveconomics-080614-115630.</w:t>
          </w:r>
        </w:p>
        <w:p w:rsidRPr="00CB57CA" w:rsidR="00CB57CA" w:rsidRDefault="00CB57CA" w14:paraId="473FB530" w14:textId="77777777">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r>
          <w:r>
            <w:rPr>
              <w:rFonts w:eastAsia="Times New Roman" w:cs="Times New Roman"/>
              <w:color w:val="000000"/>
            </w:rPr>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rsidRPr="00CB57CA" w:rsidR="00CB57CA" w:rsidRDefault="00CB57CA" w14:paraId="7216BF16" w14:textId="77777777">
          <w:pPr>
            <w:autoSpaceDE w:val="0"/>
            <w:autoSpaceDN w:val="0"/>
            <w:ind w:hanging="640"/>
            <w:divId w:val="2116092769"/>
            <w:rPr>
              <w:rFonts w:eastAsia="Times New Roman" w:cs="Times New Roman"/>
              <w:color w:val="000000"/>
            </w:rPr>
          </w:pPr>
          <w:r>
            <w:rPr>
              <w:rFonts w:eastAsia="Times New Roman" w:cs="Times New Roman"/>
              <w:color w:val="000000"/>
            </w:rPr>
            <w:t>[21]</w:t>
          </w:r>
          <w:r>
            <w:rPr>
              <w:rFonts w:eastAsia="Times New Roman" w:cs="Times New Roman"/>
              <w:color w:val="000000"/>
            </w:rPr>
            <w:tab/>
          </w:r>
          <w:r>
            <w:rPr>
              <w:rFonts w:eastAsia="Times New Roman" w:cs="Times New Roman"/>
              <w:color w:val="000000"/>
            </w:rPr>
            <w:t>S. Churchill and J. B. Armstrong, “BEFORE THE PUBLIC UTILITIES COMMISSION OF THE STATE OF CALIFORNIA OPENING BRIEF OF THE SOLAR ENERGY INDUSTRIES ASSOCIATION AND VOTE SOLAR VOTE SOLAR,” 2021.</w:t>
          </w:r>
        </w:p>
        <w:p w:rsidRPr="00CB57CA" w:rsidR="00CB57CA" w:rsidRDefault="00CB57CA" w14:paraId="6DADA839" w14:textId="77777777">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r>
          <w:r>
            <w:rPr>
              <w:rFonts w:eastAsia="Times New Roman" w:cs="Times New Roman"/>
              <w:color w:val="000000"/>
            </w:rPr>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rsidRPr="00CB57CA" w:rsidR="00CB57CA" w:rsidRDefault="00CB57CA" w14:paraId="3A1B8EDD" w14:textId="77777777">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r>
          <w:r>
            <w:rPr>
              <w:rFonts w:eastAsia="Times New Roman" w:cs="Times New Roman"/>
              <w:color w:val="000000"/>
            </w:rPr>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rsidRPr="00CB57CA" w:rsidR="00CB57CA" w:rsidRDefault="00CB57CA" w14:paraId="4E448D60" w14:textId="77777777">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r>
          <w:r>
            <w:rPr>
              <w:rFonts w:eastAsia="Times New Roman" w:cs="Times New Roman"/>
              <w:color w:val="000000"/>
            </w:rPr>
            <w:t>L. Ge, T. Du, C. Li, Y. Li, J. Yan, and M. U. Rafiq, “Virtual Collection for Distributed Photovoltaic Data: Challenges, Methodologies, and Applications,” 2022. doi: 10.3390/en15238783.</w:t>
          </w:r>
        </w:p>
        <w:p w:rsidR="00C82ADA" w:rsidP="00BE0E1E" w:rsidRDefault="00CB57CA" w14:paraId="1C933ACC" w14:textId="36F07497">
          <w:r>
            <w:rPr>
              <w:rFonts w:eastAsia="Times New Roman" w:cs="Times New Roman"/>
              <w:color w:val="000000"/>
            </w:rPr>
            <w:t> </w:t>
          </w:r>
        </w:p>
      </w:sdtContent>
      <w:sdtEndPr>
        <w:rPr>
          <w:rFonts w:cs="Times New Roman"/>
          <w:color w:val="000000" w:themeColor="text1" w:themeTint="FF" w:themeShade="FF"/>
        </w:rPr>
      </w:sdtEndPr>
    </w:sdt>
    <w:p w:rsidR="00B86A12" w:rsidP="004A1694" w:rsidRDefault="00B86A12" w14:paraId="556719EA" w14:textId="596855F6">
      <w:pPr>
        <w:pStyle w:val="ListNumber"/>
        <w:numPr>
          <w:ilvl w:val="0"/>
          <w:numId w:val="0"/>
        </w:numPr>
      </w:pPr>
    </w:p>
    <w:sectPr w:rsidR="00B86A12" w:rsidSect="00034616">
      <w:pgSz w:w="12240" w:h="15840" w:orient="portrait"/>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14"/>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00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14FD4"/>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Comment Reference"/>
    <w:basedOn w:val="DefaultParagraphFont"/>
    <w:uiPriority w:val="99"/>
    <w:semiHidden/>
    <w:unhideWhenUsed/>
    <w:rsid w:val="0001700E"/>
    <w:rPr>
      <w:sz w:val="16"/>
      <w:szCs w:val="16"/>
    </w:rPr>
  </w:style>
  <w:style w:type="paragraph" w:styleId="CommentText">
    <w:name w:val="Comment Text"/>
    <w:basedOn w:val="Normal"/>
    <w:link w:val="CommentTextChar"/>
    <w:uiPriority w:val="99"/>
    <w:semiHidden/>
    <w:unhideWhenUsed/>
    <w:rsid w:val="0001700E"/>
    <w:pPr>
      <w:spacing w:line="240" w:lineRule="auto"/>
    </w:pPr>
    <w:rPr>
      <w:sz w:val="20"/>
      <w:szCs w:val="20"/>
    </w:rPr>
  </w:style>
  <w:style w:type="character" w:styleId="CommentTextChar" w:customStyle="1">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Comment Subject"/>
    <w:basedOn w:val="CommentText"/>
    <w:next w:val="CommentText"/>
    <w:link w:val="CommentSubjectChar"/>
    <w:uiPriority w:val="99"/>
    <w:semiHidden/>
    <w:unhideWhenUsed/>
    <w:rsid w:val="0001700E"/>
    <w:rPr>
      <w:b/>
      <w:bCs/>
    </w:rPr>
  </w:style>
  <w:style w:type="character" w:styleId="CommentSubjectChar" w:customStyle="1">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styleId="font-claude-response-body" w:customStyle="1">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8" Type="http://schemas.openxmlformats.org/officeDocument/2006/relationships/image" Target="media/image3.png"/><Relationship Id="rId3" Type="http://schemas.openxmlformats.org/officeDocument/2006/relationships/styles" Target="style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10" Type="http://schemas.openxmlformats.org/officeDocument/2006/relationships/image" Target="media/image3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xmlns:wp14="http://schemas.microsoft.com/office/word/2010/wordml" w:rsidR="00DF2B25" w:rsidRDefault="00A14FD4" w14:paraId="4C3E277F" wp14:textId="77777777">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Danielle Knutson</lastModifiedBy>
  <revision>95</revision>
  <dcterms:created xsi:type="dcterms:W3CDTF">2026-06-27T02:50:00.0000000Z</dcterms:created>
  <dcterms:modified xsi:type="dcterms:W3CDTF">2026-08-13T02:12:30.1101986Z</dcterms:modified>
  <category/>
</coreProperties>
</file>