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A35C9ED" w:rsidR="00792889" w:rsidRDefault="00792889" w:rsidP="00792889">
      <w:pPr>
        <w:pStyle w:val="Title"/>
        <w:rPr>
          <w:b/>
          <w:bCs/>
        </w:rPr>
      </w:pPr>
      <w:r>
        <w:t xml:space="preserve">Inequity in distributed energy resource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773AC9FE" w14:textId="76233D5E" w:rsidR="00F47CA5" w:rsidRDefault="00792889" w:rsidP="00792889">
      <w:r>
        <w:t xml:space="preserve">Corresponding author: </w:t>
      </w:r>
      <w:hyperlink r:id="rId6" w:history="1">
        <w:r>
          <w:rPr>
            <w:rStyle w:val="Hyperlink"/>
          </w:rPr>
          <w:t>jvineet9@mit.edu</w:t>
        </w:r>
      </w:hyperlink>
      <w:r>
        <w:t xml:space="preserve"> </w:t>
      </w:r>
    </w:p>
    <w:p w14:paraId="7030A19D" w14:textId="67F0DC61" w:rsidR="00F47CA5" w:rsidRDefault="00F47CA5" w:rsidP="00792889">
      <w:pPr>
        <w:rPr>
          <w:del w:id="20462" w:author="Claude" w:date="2026-10-21T00:00:00Z"/>
        </w:rPr>
      </w:pPr>
      <w:del w:id="20460" w:author="Claude" w:date="2026-10-21T00:00:00Z">
        <w:r>
          <w:rPr>
            <w:highlight w:val="yellow"/>
          </w:rPr>
          <w:delText xml:space="preserve">Check if we need additional conclusions section restating all main takeaways/insights clearly</w:delText>
        </w:r>
      </w:del>
      <w:del w:id="20461" w:author="Claude" w:date="2026-10-21T00:00:00Z">
        <w:r>
          <w:delText xml:space="preserve"> – rework abstract too</w:delText>
        </w:r>
      </w:del>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33569FFB" w:rsidR="00792889" w:rsidRDefault="00792889" w:rsidP="00792889">
      <w:commentRangeStart w:id="20"/>
      <w:r>
        <w:t xml:space="preserve">Distributed energy resources are central to decarbonization, resilience, and electrification, but their benefits </w:t>
      </w:r>
      <w:del w:id="20001" w:author="Claude" w:date="2026-10-21T00:00:00Z">
        <w:r>
          <w:delText xml:space="preserve">are not guaranteed to be </w:delText>
        </w:r>
      </w:del>
      <w:ins w:id="20002" w:author="Claude" w:date="2026-10-21T00:00:00Z">
        <w:r>
          <w:t xml:space="preserve">may be unevenly </w:t>
        </w:r>
      </w:ins>
      <w:r>
        <w:t xml:space="preserve">shared</w:t>
      </w:r>
      <w:del w:id="20003" w:author="Claude" w:date="2026-10-21T00:00:00Z">
        <w:r>
          <w:delText xml:space="preserve"> evenly</w:delText>
        </w:r>
      </w:del>
      <w:r>
        <w:t xml:space="preserve">. Evidence of racial disparity in </w:t>
      </w:r>
      <w:ins w:id="20004" w:author="Claude" w:date="2026-10-21T00:00:00Z">
        <w:r>
          <w:t xml:space="preserve">adoption comes almost entirely from </w:t>
        </w:r>
      </w:ins>
      <w:r>
        <w:t xml:space="preserve">rooftop solar </w:t>
      </w:r>
      <w:del w:id="20005" w:author="Claude" w:date="2026-10-21T00:00:00Z">
        <w:r>
          <w:delText xml:space="preserve">is usually</w:delText>
        </w:r>
      </w:del>
      <w:ins w:id="20006" w:author="Claude" w:date="2026-10-21T00:00:00Z">
        <w:r>
          <w:t xml:space="preserve">and is often</w:t>
        </w:r>
      </w:ins>
      <w:r>
        <w:t xml:space="preserve"> assumed to generalize</w:t>
      </w:r>
      <w:del w:id="20007" w:author="Claude" w:date="2026-10-21T00:00:00Z">
        <w:r>
          <w:delText xml:space="preserve"> across technologies</w:delText>
        </w:r>
      </w:del>
      <w:r>
        <w:t xml:space="preserve">. We test </w:t>
      </w:r>
      <w:del w:id="20008" w:author="Claude" w:date="2026-10-21T00:00:00Z">
        <w:r>
          <w:delText xml:space="preserve">that assumption</w:delText>
        </w:r>
      </w:del>
      <w:ins w:id="20009" w:author="Claude" w:date="2026-10-21T00:00:00Z">
        <w:r>
          <w:t xml:space="preserve">this</w:t>
        </w:r>
      </w:ins>
      <w:r>
        <w:t xml:space="preserve"> across 1,390 California ZIP Code Tabulation Areas, </w:t>
      </w:r>
      <w:del w:id="20010" w:author="Claude" w:date="2026-10-21T00:00:00Z">
        <w:r>
          <w:delText xml:space="preserve">harmonizing</w:delText>
        </w:r>
      </w:del>
      <w:ins w:id="20011" w:author="Claude" w:date="2026-10-21T00:00:00Z">
        <w:r>
          <w:t xml:space="preserve">comparing</w:t>
        </w:r>
      </w:ins>
      <w:r>
        <w:t xml:space="preserve"> rooftop photovoltaics, battery storage, and electric-vehicle charging under </w:t>
      </w:r>
      <w:del w:id="20012" w:author="Claude" w:date="2026-10-21T00:00:00Z">
        <w:r>
          <w:delText xml:space="preserve">one set of</w:delText>
        </w:r>
      </w:del>
      <w:ins w:id="20013" w:author="Claude" w:date="2026-10-21T00:00:00Z">
        <w:r>
          <w:t xml:space="preserve">common</w:t>
        </w:r>
      </w:ins>
      <w:r>
        <w:t xml:space="preserve"> outcomes and controls. The technologies do not share a disparity pattern. Areas with larger Black and Asian population shares hold less solar and less storage </w:t>
      </w:r>
      <w:del w:id="20014" w:author="Claude" w:date="2026-10-21T00:00:00Z">
        <w:r>
          <w:delText xml:space="preserve">after conditioning on</w:delText>
        </w:r>
      </w:del>
      <w:ins w:id="20015" w:author="Claude" w:date="2026-10-21T00:00:00Z">
        <w:r>
          <w:t xml:space="preserve">net of</w:t>
        </w:r>
      </w:ins>
      <w:r>
        <w:t xml:space="preserve"> income and poverty</w:t>
      </w:r>
      <w:del w:id="20016" w:author="Claude" w:date="2026-10-21T00:00:00Z">
        <w:r>
          <w:delText xml:space="preserve">, and area-level</w:delText>
        </w:r>
      </w:del>
      <w:ins w:id="20017" w:author="Claude" w:date="2026-10-21T00:00:00Z">
        <w:r>
          <w:t xml:space="preserve">; local</w:t>
        </w:r>
      </w:ins>
      <w:r>
        <w:t xml:space="preserve"> housing type and tenure </w:t>
      </w:r>
      <w:del w:id="20018" w:author="Claude" w:date="2026-10-21T00:00:00Z">
        <w:r>
          <w:delText xml:space="preserve">absorb 32 to 53 percent</w:delText>
        </w:r>
      </w:del>
      <w:ins w:id="20019" w:author="Claude" w:date="2026-10-21T00:00:00Z">
        <w:r>
          <w:t xml:space="preserve">explain a third to a half</w:t>
        </w:r>
      </w:ins>
      <w:r>
        <w:t xml:space="preserve"> of those gaps. </w:t>
      </w:r>
      <w:del w:id="20020" w:author="Claude" w:date="2026-10-21T00:00:00Z">
        <w:r>
          <w:delText xml:space="preserve">Under a fully stacked specification, storage disparities</w:delText>
        </w:r>
      </w:del>
      <w:ins w:id="20021" w:author="Claude" w:date="2026-10-21T00:00:00Z">
        <w:r>
          <w:t xml:space="preserve">Storage gaps</w:t>
        </w:r>
      </w:ins>
      <w:r>
        <w:t xml:space="preserve"> persist </w:t>
      </w:r>
      <w:del w:id="20022" w:author="Claude" w:date="2026-10-21T00:00:00Z">
        <w:r>
          <w:delText xml:space="preserve">on</w:delText>
        </w:r>
      </w:del>
      <w:ins w:id="20023" w:author="Claude" w:date="2026-10-21T00:00:00Z">
        <w:r>
          <w:t xml:space="preserve">most:</w:t>
        </w:r>
      </w:ins>
      <w:r>
        <w:t xml:space="preserve"> all three race terms</w:t>
      </w:r>
      <w:del w:id="20024" w:author="Claude" w:date="2026-10-21T00:00:00Z">
        <w:r>
          <w:delText xml:space="preserve">, solar</w:delText>
        </w:r>
      </w:del>
      <w:ins w:id="20025" w:author="Claude" w:date="2026-10-21T00:00:00Z">
        <w:r>
          <w:t xml:space="preserve"> survive the strictest specification, versus</w:t>
        </w:r>
      </w:ins>
      <w:r>
        <w:t xml:space="preserve"> only</w:t>
      </w:r>
      <w:del w:id="20026" w:author="Claude" w:date="2026-10-21T00:00:00Z">
        <w:r>
          <w:delText xml:space="preserve"> for</w:delText>
        </w:r>
      </w:del>
      <w:r>
        <w:t xml:space="preserve"> Asian share</w:t>
      </w:r>
      <w:del w:id="20027" w:author="Claude" w:date="2026-10-21T00:00:00Z">
        <w:r>
          <w:delText xml:space="preserve">, and </w:delText>
        </w:r>
      </w:del>
      <w:ins w:id="20028" w:author="Claude" w:date="2026-10-21T00:00:00Z">
        <w:r>
          <w:t xml:space="preserve"> for solar and none for </w:t>
        </w:r>
      </w:ins>
      <w:r>
        <w:t xml:space="preserve">charging</w:t>
      </w:r>
      <w:del w:id="20029" w:author="Claude" w:date="2026-10-21T00:00:00Z">
        <w:r>
          <w:delText xml:space="preserve"> not at all. </w:delText>
        </w:r>
      </w:del>
      <w:del w:id="20030" w:author="Claude" w:date="2026-10-21T00:00:00Z">
        <w:r>
          <w:rPr/>
          <w:delText xml:space="preserve">Charger</w:delText>
        </w:r>
      </w:del>
      <w:ins w:id="20031" w:author="Claude" w:date="2026-10-21T00:00:00Z">
        <w:r>
          <w:t xml:space="preserve">. Public charger</w:t>
        </w:r>
      </w:ins>
      <w:r>
        <w:rPr/>
        <w:t xml:space="preserve"> counts </w:t>
      </w:r>
      <w:del w:id="20032" w:author="Claude" w:date="2026-10-21T00:00:00Z">
        <w:r>
          <w:rPr/>
          <w:delText xml:space="preserve">instead rise with poverty, concentrated in faster public units. Counts</w:delText>
        </w:r>
      </w:del>
      <w:ins w:id="20033" w:author="Claude" w:date="2026-10-21T00:00:00Z">
        <w:r>
          <w:rPr/>
          <w:t xml:space="preserve">are, if anything, higher in poorer areas, but</w:t>
        </w:r>
      </w:ins>
      <w:r>
        <w:rPr/>
        <w:t xml:space="preserve"> measure infrastructure, not </w:t>
      </w:r>
      <w:ins w:id="20034" w:author="Claude" w:date="2026-10-21T00:00:00Z">
        <w:r>
          <w:rPr/>
          <w:t xml:space="preserve">household access. Equity planning must be technology-specific and track </w:t>
        </w:r>
      </w:ins>
      <w:r>
        <w:rPr/>
        <w:t xml:space="preserve">usable access, </w:t>
      </w:r>
      <w:del w:id="20035" w:author="Claude" w:date="2026-10-21T00:00:00Z">
        <w:r>
          <w:rPr/>
          <w:delText xml:space="preserve">so technology-blind equity targets misread all three</w:delText>
        </w:r>
      </w:del>
      <w:ins w:id="20036" w:author="Claude" w:date="2026-10-21T00:00:00Z">
        <w:r>
          <w:rPr/>
          <w:t xml:space="preserve">not deployment counts</w:t>
        </w:r>
      </w:ins>
      <w:r>
        <w:rPr/>
        <w:t xml:space="preserve">.</w:t>
      </w:r>
      <w:commentRangeEnd w:id="20"/>
      <w:r>
        <w:rPr>
          <w:rStyle w:val="CommentReference"/>
        </w:rPr>
        <w:commentReference w:id="20"/>
      </w:r>
    </w:p>
    <w:p w14:paraId="0B182C1F" w14:textId="77777777" w:rsidR="00792889" w:rsidRDefault="00792889" w:rsidP="00792889">
      <w:r>
        <w:t xml:space="preserve">As electricity systems decarbonize, distributed energy resources (DERs) are becoming central to emissions reduction, local resilience and electrification. Policy debate </w:t>
      </w:r>
      <w:ins w:id="20037" w:author="Claude" w:date="2026-10-21T00:00:00Z">
        <w:r>
          <w:t xml:space="preserve">often </w:t>
        </w:r>
      </w:ins>
      <w:r>
        <w:t xml:space="preserve">treats them as a single category, but </w:t>
      </w:r>
      <w:del w:id="20038" w:author="Claude" w:date="2026-10-21T00:00:00Z">
        <w:r>
          <w:delText xml:space="preserve">the benefits </w:delText>
        </w:r>
      </w:del>
      <w:r>
        <w:t xml:space="preserve">they deliver </w:t>
      </w:r>
      <w:del w:id="20039" w:author="Claude" w:date="2026-10-21T00:00:00Z">
        <w:r>
          <w:delText xml:space="preserve">are heterogeneous</w:delText>
        </w:r>
      </w:del>
      <w:ins w:id="20040" w:author="Claude" w:date="2026-10-21T00:00:00Z">
        <w:r>
          <w:t xml:space="preserve">different benefits</w:t>
        </w:r>
      </w:ins>
      <w:r>
        <w:t xml:space="preserve">. Rooftop photovoltaics (PV) reduce bills for the household that hosts them. Battery storage delivers backup power and outage protection, which matter most where wildfire shutoffs and grid stress are common. Charging infrastructure determines who can </w:t>
      </w:r>
      <w:del w:id="20041" w:author="Claude" w:date="2026-10-21T00:00:00Z">
        <w:r>
          <w:delText xml:space="preserve">participate in transportation</w:delText>
        </w:r>
      </w:del>
      <w:ins w:id="20042" w:author="Claude" w:date="2026-10-21T00:00:00Z">
        <w:r>
          <w:t xml:space="preserve">take part in transport</w:t>
        </w:r>
      </w:ins>
      <w:r>
        <w:t xml:space="preserve"> electrification, </w:t>
      </w:r>
      <w:del w:id="20043" w:author="Claude" w:date="2026-10-21T00:00:00Z">
        <w:r>
          <w:delText xml:space="preserve">and</w:delText>
        </w:r>
      </w:del>
      <w:ins w:id="20044" w:author="Claude" w:date="2026-10-21T00:00:00Z">
        <w:r>
          <w:t xml:space="preserve">but</w:t>
        </w:r>
      </w:ins>
      <w:r>
        <w:t xml:space="preserve"> only if it sits where people</w:t>
      </w:r>
      <w:del w:id="20045" w:author="Claude" w:date="2026-10-21T00:00:00Z">
        <w:r>
          <w:delText xml:space="preserve"> actually</w:delText>
        </w:r>
      </w:del>
      <w:r>
        <w:t xml:space="preserve">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del w:id="20046" w:author="Claude" w:date="2026-10-21T00:00:00Z">
        <w:r>
          <w:rPr/>
          <w:delText xml:space="preserve">The evidence</w:delText>
        </w:r>
      </w:del>
      <w:ins w:id="20047" w:author="Claude" w:date="2026-10-21T00:00:00Z">
        <w:r>
          <w:rPr/>
          <w:t xml:space="preserve">Evidence</w:t>
        </w:r>
      </w:ins>
      <w:r>
        <w:rPr/>
        <w:t xml:space="preserve"> that </w:t>
      </w:r>
      <w:del w:id="20048" w:author="Claude" w:date="2026-10-21T00:00:00Z">
        <w:r>
          <w:rPr/>
          <w:delText xml:space="preserve">it</w:delText>
        </w:r>
      </w:del>
      <w:ins w:id="20049" w:author="Claude" w:date="2026-10-21T00:00:00Z">
        <w:r>
          <w:rPr/>
          <w:t xml:space="preserve">the transition</w:t>
        </w:r>
      </w:ins>
      <w:r>
        <w:rPr/>
        <w:t xml:space="preserve"> does so </w:t>
      </w:r>
      <w:del w:id="20050" w:author="Claude" w:date="2026-10-21T00:00:00Z">
        <w:r>
          <w:rPr/>
          <w:delText xml:space="preserve">is</w:delText>
        </w:r>
      </w:del>
      <w:ins w:id="20051" w:author="Claude" w:date="2026-10-21T00:00:00Z">
        <w:r>
          <w:rPr/>
          <w:t xml:space="preserve">comes</w:t>
        </w:r>
      </w:ins>
      <w:r>
        <w:rPr/>
        <w:t xml:space="preserve"> almost entirely </w:t>
      </w:r>
      <w:del w:id="20052" w:author="Claude" w:date="2026-10-21T00:00:00Z">
        <w:r>
          <w:rPr/>
          <w:delText xml:space="preserve">about</w:delText>
        </w:r>
      </w:del>
      <w:ins w:id="20053" w:author="Claude" w:date="2026-10-21T00:00:00Z">
        <w:r>
          <w:rPr/>
          <w:t xml:space="preserve">from rooftop</w:t>
        </w:r>
      </w:ins>
      <w:r>
        <w:rPr/>
        <w:t xml:space="preserve"> solar</w:t>
      </w:r>
      <w:r>
        <w:t xml:space="preserve">.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w:t>
      </w:r>
      <w:del w:id="20054" w:author="Claude" w:date="2026-10-21T00:00:00Z">
        <w:r>
          <w:delText xml:space="preserve">is</w:delText>
        </w:r>
      </w:del>
      <w:ins w:id="20055" w:author="Claude" w:date="2026-10-21T00:00:00Z">
        <w:r>
          <w:t xml:space="preserve">are</w:t>
        </w:r>
      </w:ins>
      <w:r>
        <w:t xml:space="preserve"> fragmented across technologies and agencies [16][17].</w:t>
      </w:r>
    </w:p>
    <w:p w14:paraId="26F281A3" w14:textId="77777777" w:rsidR="00792889" w:rsidRDefault="00792889" w:rsidP="00792889">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w:t>
      </w:r>
      <w:del w:id="20056" w:author="Claude" w:date="2026-10-21T00:00:00Z">
        <w:r>
          <w:delText xml:space="preserve">The central finding is</w:delText>
        </w:r>
      </w:del>
      <w:ins w:id="20057" w:author="Claude" w:date="2026-10-21T00:00:00Z">
        <w:r>
          <w:t xml:space="preserve">We find</w:t>
        </w:r>
      </w:ins>
      <w:r>
        <w:t xml:space="preserve"> that the form of inequity changes by technology</w:t>
      </w:r>
      <w:del w:id="20058" w:author="Claude" w:date="2026-10-21T00:00:00Z">
        <w:r>
          <w:delText xml:space="preserve">, and that</w:delText>
        </w:r>
      </w:del>
      <w:ins w:id="20059" w:author="Claude" w:date="2026-10-21T00:00:00Z">
        <w:r>
          <w:t xml:space="preserve">: storage shows the most persistent racial and ethnic gaps, independent of solar adoption; solar gaps are partly explained by the local housing stock; and</w:t>
        </w:r>
      </w:ins>
      <w:r>
        <w:t xml:space="preserve"> for charging, the standard metric — the count of installed</w:t>
      </w:r>
      <w:ins w:id="20060" w:author="Claude" w:date="2026-10-21T00:00:00Z">
        <w:r>
          <w:t xml:space="preserve"> public</w:t>
        </w:r>
      </w:ins>
      <w:r>
        <w:t xml:space="preserve"> units — does not measure what equity policy assumes it measures.</w:t>
      </w:r>
    </w:p>
    <w:p w14:paraId="4063FEE4" w14:textId="77777777" w:rsidR="00792889" w:rsidRDefault="00792889" w:rsidP="00792889">
      <w:pPr>
        <w:pStyle w:val="Heading1"/>
        <w:pPrChange w:id="20467" w:author="Claude" w:date="2026-10-21T00:00:00Z">
          <w:pPr>
            <w:pStyle w:val="Heading1"/>
            <w:numPr>
              <w:ilvl w:val="0"/>
              <w:numId w:val="11"/>
            </w:numPr>
          </w:pPr>
        </w:pPrChange>
      </w:pPr>
      <w:bookmarkStart w:id="3" w:name="_Ref_sec_results"/>
      <w:r>
        <w:t>Results</w:t>
      </w:r>
      <w:bookmarkEnd w:id="3"/>
    </w:p>
    <w:p w14:paraId="57363EE7" w14:textId="77777777" w:rsidR="00792889" w:rsidRDefault="00792889" w:rsidP="00792889">
      <w:pPr>
        <w:pStyle w:val="Heading2"/>
      </w:pPr>
      <w:del w:id="20061" w:author="Claude" w:date="2026-10-21T00:00:00Z">
        <w:r>
          <w:delText xml:space="preserve">Disparities differ by</w:delText>
        </w:r>
      </w:del>
      <w:ins w:id="20062" w:author="Claude" w:date="2026-10-21T00:00:00Z">
        <w:r>
          <w:t xml:space="preserve">Each</w:t>
        </w:r>
      </w:ins>
      <w:r>
        <w:t xml:space="preserve"> technology</w:t>
      </w:r>
      <w:ins w:id="20063" w:author="Claude" w:date="2026-10-21T00:00:00Z">
        <w:r>
          <w:t xml:space="preserve"> shows a different disparity pattern</w:t>
        </w:r>
      </w:ins>
    </w:p>
    <w:p w14:paraId="57180819" w14:textId="77777777" w:rsidR="00792889" w:rsidRDefault="00792889" w:rsidP="00792889">
      <w:r>
        <w:t xml:space="preserve">Racial and socioeconomic disparities are not uniform across technologies</w:t>
      </w:r>
      <w:ins w:id="20064" w:author="Claude" w:date="2026-10-21T00:00:00Z">
        <w:r>
          <w:t xml:space="preserve">. Deployment of all three is spatially uneven before any adjustment (Fig. 1)</w:t>
        </w:r>
      </w:ins>
      <w:r>
        <w:t xml:space="preserve">. In the baseline specification (Table 1), rooftop photovoltaics and battery storage </w:t>
      </w:r>
      <w:ins w:id="20065" w:author="Claude" w:date="2026-10-21T00:00:00Z">
        <w:r>
          <w:t xml:space="preserve">are </w:t>
        </w:r>
      </w:ins>
      <w:r>
        <w:t xml:space="preserve">both </w:t>
      </w:r>
      <w:del w:id="20066" w:author="Claude" w:date="2026-10-21T00:00:00Z">
        <w:r>
          <w:delText xml:space="preserve">carry clear negative associations</w:delText>
        </w:r>
      </w:del>
      <w:ins w:id="20067" w:author="Claude" w:date="2026-10-21T00:00:00Z">
        <w:r>
          <w:t xml:space="preserve">lower in ZCTAs</w:t>
        </w:r>
      </w:ins>
      <w:r>
        <w:t xml:space="preserve"> with </w:t>
      </w:r>
      <w:del w:id="20068" w:author="Claude" w:date="2026-10-21T00:00:00Z">
        <w:r>
          <w:delText xml:space="preserve">ZCTA</w:delText>
        </w:r>
      </w:del>
      <w:ins w:id="20069" w:author="Claude" w:date="2026-10-21T00:00:00Z">
        <w:r>
          <w:t xml:space="preserve">larger</w:t>
        </w:r>
      </w:ins>
      <w:r>
        <w:t xml:space="preserve"> shares of Black and Asian residents after conditioning on income and poverty</w:t>
      </w:r>
      <w:ins w:id="20070" w:author="Claude" w:date="2026-10-21T00:00:00Z">
        <w:r>
          <w:t xml:space="preserve">; storage is also lower where Hispanic share is higher, whereas solar is higher</w:t>
        </w:r>
      </w:ins>
      <w:r>
        <w:t xml:space="preserve">. EV charging departs from </w:t>
      </w:r>
      <w:del w:id="20071" w:author="Claude" w:date="2026-10-21T00:00:00Z">
        <w:r>
          <w:delText xml:space="preserve">that pattern</w:delText>
        </w:r>
      </w:del>
      <w:ins w:id="20072" w:author="Claude" w:date="2026-10-21T00:00:00Z">
        <w:r>
          <w:t xml:space="preserve">both</w:t>
        </w:r>
      </w:ins>
      <w:r>
        <w:t xml:space="preserve">: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707847"/>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707847"/>
                    </a:xfrm>
                    <a:prstGeom prst="rect">
                      <a:avLst/>
                    </a:prstGeom>
                  </pic:spPr>
                </pic:pic>
              </a:graphicData>
            </a:graphic>
          </wp:inline>
        </w:drawing>
      </w:r>
    </w:p>
    <w:p w14:paraId="7DB6191A" w14:textId="77777777" w:rsidR="00792889" w:rsidRDefault="00792889" w:rsidP="00792889">
      <w:pPr>
        <w:pStyle w:val="Caption"/>
      </w:pPr>
      <w:r>
        <w:t xml:space="preserve">Fig. 1 | Distributed energy deployment across California ZIP Code Tabulation Areas. </w:t>
      </w:r>
      <w:del w:id="20073" w:author="Claude" w:date="2026-10-21T00:00:00Z">
        <w:r>
          <w:delText xml:space="preserve">Rooftop</w:delText>
        </w:r>
      </w:del>
      <w:ins w:id="20074" w:author="Claude" w:date="2026-10-21T00:00:00Z">
        <w:r>
          <w:t xml:space="preserve">Observed deployment intensity (left of each pair) and baseline standardized residuals (right) for rooftop</w:t>
        </w:r>
      </w:ins>
      <w:r>
        <w:t xml:space="preserve"> photovoltaics, battery storage and aggregate EV charging</w:t>
      </w:r>
      <w:del w:id="20075" w:author="Claude" w:date="2026-10-21T00:00:00Z">
        <w:r>
          <w:delText xml:space="preserve">, before any regression adjustment</w:delText>
        </w:r>
      </w:del>
      <w:del w:id="30078" w:author="Claude" w:date="2026-10-23T00:00:00Z">
        <w:r>
          <w:delText xml:space="preserve">. Blank areas </w:delText>
        </w:r>
      </w:del>
      <w:ins w:id="30079" w:author="Claude" w:date="2026-10-23T00:00:00Z">
        <w:r>
          <w:t xml:space="preserve">. Hatched grey areas </w:t>
        </w:r>
      </w:ins>
      <w:del w:id="20076" w:author="Claude" w:date="2026-10-21T00:00:00Z">
        <w:r>
          <w:delText xml:space="preserve">indicate excluded or missing observations</w:delText>
        </w:r>
      </w:del>
      <w:ins w:id="20077" w:author="Claude" w:date="2026-10-21T00:00:00Z">
        <w:del w:id="30080" w:author="Claude" w:date="2026-10-23T00:00:00Z">
          <w:r>
            <w:delText xml:space="preserve">are outside the analysis sample</w:delText>
          </w:r>
        </w:del>
      </w:ins>
      <w:ins w:id="30081" w:author="Claude" w:date="2026-10-23T00:00:00Z">
        <w:r>
          <w:t xml:space="preserve">are outside the analysis sample (population under 1,000 or incomplete ACS data)</w:t>
        </w:r>
      </w:ins>
      <w:r>
        <w:t xml:space="preserve">.</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del w:id="30000" w:author="Claude" w:date="2026-10-23T00:00:00Z">
              <w:r>
                <w:delText xml:space="preserve">0.310*** (0.049)</w:delText>
              </w:r>
            </w:del>
            <w:ins w:id="30001" w:author="Claude" w:date="2026-10-23T00:00:00Z">
              <w:r>
                <w:t xml:space="preserve">0.309*** (0.049)</w:t>
              </w:r>
            </w:ins>
          </w:p>
        </w:tc>
        <w:tc>
          <w:tcPr>
            <w:tcW w:w="0" w:type="auto"/>
          </w:tcPr>
          <w:p w14:paraId="7885A6A9" w14:textId="77777777" w:rsidR="00792889" w:rsidRDefault="00792889" w:rsidP="005A421D">
            <w:del w:id="30002" w:author="Claude" w:date="2026-10-23T00:00:00Z">
              <w:r>
                <w:delText xml:space="preserve">0.066 (0.039)</w:delText>
              </w:r>
            </w:del>
            <w:ins w:id="30003" w:author="Claude" w:date="2026-10-23T00:00:00Z">
              <w:r>
                <w:t xml:space="preserve">0.070 (0.039)</w:t>
              </w:r>
            </w:ins>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del w:id="30004" w:author="Claude" w:date="2026-10-23T00:00:00Z">
              <w:r>
                <w:delText xml:space="preserve">−0.218*** (0.047)</w:delText>
              </w:r>
            </w:del>
            <w:ins w:id="30005" w:author="Claude" w:date="2026-10-23T00:00:00Z">
              <w:r>
                <w:t xml:space="preserve">−0.219*** (0.047)</w:t>
              </w:r>
            </w:ins>
          </w:p>
        </w:tc>
        <w:tc>
          <w:tcPr>
            <w:tcW w:w="0" w:type="auto"/>
          </w:tcPr>
          <w:p w14:paraId="41ED5280" w14:textId="77777777" w:rsidR="00792889" w:rsidRDefault="00792889" w:rsidP="005A421D">
            <w:r>
              <w:t>−0.106*** (0.021)</w:t>
            </w:r>
          </w:p>
        </w:tc>
        <w:tc>
          <w:tcPr>
            <w:tcW w:w="0" w:type="auto"/>
          </w:tcPr>
          <w:p w14:paraId="4882DC4E" w14:textId="77777777" w:rsidR="00792889" w:rsidRDefault="00792889" w:rsidP="005A421D">
            <w:del w:id="30006" w:author="Claude" w:date="2026-10-23T00:00:00Z">
              <w:r>
                <w:delText xml:space="preserve">−0.000 (0.022)</w:delText>
              </w:r>
            </w:del>
            <w:ins w:id="30007" w:author="Claude" w:date="2026-10-23T00:00:00Z">
              <w:r>
                <w:t xml:space="preserve">0.001 (0.022)</w:t>
              </w:r>
            </w:ins>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del w:id="30008" w:author="Claude" w:date="2026-10-23T00:00:00Z">
              <w:r>
                <w:delText xml:space="preserve">0.219*** (0.059)</w:delText>
              </w:r>
            </w:del>
            <w:ins w:id="30009" w:author="Claude" w:date="2026-10-23T00:00:00Z">
              <w:r>
                <w:t xml:space="preserve">0.220*** (0.059)</w:t>
              </w:r>
            </w:ins>
          </w:p>
        </w:tc>
        <w:tc>
          <w:tcPr>
            <w:tcW w:w="0" w:type="auto"/>
          </w:tcPr>
          <w:p w14:paraId="05B2ECCE" w14:textId="77777777" w:rsidR="00792889" w:rsidRDefault="00792889" w:rsidP="005A421D">
            <w:del w:id="30010" w:author="Claude" w:date="2026-10-23T00:00:00Z">
              <w:r>
                <w:delText xml:space="preserve">−0.146*** (0.030)</w:delText>
              </w:r>
            </w:del>
            <w:ins w:id="30011" w:author="Claude" w:date="2026-10-23T00:00:00Z">
              <w:r>
                <w:t xml:space="preserve">−0.148*** (0.030)</w:t>
              </w:r>
            </w:ins>
          </w:p>
        </w:tc>
        <w:tc>
          <w:tcPr>
            <w:tcW w:w="0" w:type="auto"/>
          </w:tcPr>
          <w:p w14:paraId="3C33561B" w14:textId="77777777" w:rsidR="00792889" w:rsidRDefault="00792889" w:rsidP="005A421D">
            <w:del w:id="30012" w:author="Claude" w:date="2026-10-23T00:00:00Z">
              <w:r>
                <w:delText xml:space="preserve">−0.096*** (0.025)</w:delText>
              </w:r>
            </w:del>
            <w:ins w:id="30013" w:author="Claude" w:date="2026-10-23T00:00:00Z">
              <w:r>
                <w:t xml:space="preserve">−0.091*** (0.025)</w:t>
              </w:r>
            </w:ins>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del w:id="30014" w:author="Claude" w:date="2026-10-23T00:00:00Z">
              <w:r>
                <w:delText xml:space="preserve">−0.297*** (0.043)</w:delText>
              </w:r>
            </w:del>
            <w:ins w:id="30015" w:author="Claude" w:date="2026-10-23T00:00:00Z">
              <w:r>
                <w:t xml:space="preserve">−0.298*** (0.043)</w:t>
              </w:r>
            </w:ins>
          </w:p>
        </w:tc>
        <w:tc>
          <w:tcPr>
            <w:tcW w:w="0" w:type="auto"/>
          </w:tcPr>
          <w:p w14:paraId="0E10EC64" w14:textId="77777777" w:rsidR="00792889" w:rsidRDefault="00792889" w:rsidP="005A421D">
            <w:r>
              <w:t>−0.252*** (0.023)</w:t>
            </w:r>
          </w:p>
        </w:tc>
        <w:tc>
          <w:tcPr>
            <w:tcW w:w="0" w:type="auto"/>
          </w:tcPr>
          <w:p w14:paraId="3A496356" w14:textId="77777777" w:rsidR="00792889" w:rsidRDefault="00792889" w:rsidP="005A421D">
            <w:del w:id="30016" w:author="Claude" w:date="2026-10-23T00:00:00Z">
              <w:r>
                <w:delText xml:space="preserve">0.058** (0.021)</w:delText>
              </w:r>
            </w:del>
            <w:ins w:id="30017" w:author="Claude" w:date="2026-10-23T00:00:00Z">
              <w:r>
                <w:t xml:space="preserve">0.059** (0.021)</w:t>
              </w:r>
            </w:ins>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del w:id="30018" w:author="Claude" w:date="2026-10-23T00:00:00Z">
              <w:r>
                <w:delText xml:space="preserve">−0.043 (0.081)</w:delText>
              </w:r>
            </w:del>
            <w:ins w:id="30019" w:author="Claude" w:date="2026-10-23T00:00:00Z">
              <w:r>
                <w:t xml:space="preserve">−0.042 (0.081)</w:t>
              </w:r>
            </w:ins>
          </w:p>
        </w:tc>
        <w:tc>
          <w:tcPr>
            <w:tcW w:w="0" w:type="auto"/>
          </w:tcPr>
          <w:p w14:paraId="0466232F" w14:textId="77777777" w:rsidR="00792889" w:rsidRDefault="00792889" w:rsidP="005A421D">
            <w:r>
              <w:t>−0.017 (0.042)</w:t>
            </w:r>
          </w:p>
        </w:tc>
        <w:tc>
          <w:tcPr>
            <w:tcW w:w="0" w:type="auto"/>
          </w:tcPr>
          <w:p w14:paraId="5D608249" w14:textId="77777777" w:rsidR="00792889" w:rsidRDefault="00792889" w:rsidP="005A421D">
            <w:del w:id="30020" w:author="Claude" w:date="2026-10-23T00:00:00Z">
              <w:r>
                <w:delText xml:space="preserve">0.149*** (0.037)</w:delText>
              </w:r>
            </w:del>
            <w:ins w:id="30021" w:author="Claude" w:date="2026-10-23T00:00:00Z">
              <w:r>
                <w:t xml:space="preserve">0.150*** (0.037)</w:t>
              </w:r>
            </w:ins>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del w:id="30022" w:author="Claude" w:date="2026-10-23T00:00:00Z">
              <w:r>
                <w:delText xml:space="preserve">GHI 0.106* (0.044)</w:delText>
              </w:r>
            </w:del>
            <w:ins w:id="30023" w:author="Claude" w:date="2026-10-23T00:00:00Z">
              <w:r>
                <w:t xml:space="preserve">GHI 0.102* (0.044)</w:t>
              </w:r>
            </w:ins>
          </w:p>
        </w:tc>
        <w:tc>
          <w:tcPr>
            <w:tcW w:w="0" w:type="auto"/>
          </w:tcPr>
          <w:p w14:paraId="424F068A" w14:textId="77777777" w:rsidR="00792889" w:rsidRDefault="00792889" w:rsidP="005A421D">
            <w:del w:id="30024" w:author="Claude" w:date="2026-10-23T00:00:00Z">
              <w:r>
                <w:delText xml:space="preserve">CDD 0.033 (0.033); HDD −0.003 (0.035)</w:delText>
              </w:r>
            </w:del>
            <w:ins w:id="30025" w:author="Claude" w:date="2026-10-23T00:00:00Z">
              <w:r>
                <w:t xml:space="preserve">CDD 0.033 (0.032); HDD −0.007 (0.034)</w:t>
              </w:r>
            </w:ins>
          </w:p>
        </w:tc>
        <w:tc>
          <w:tcPr>
            <w:tcW w:w="0" w:type="auto"/>
          </w:tcPr>
          <w:p w14:paraId="6CBAC2A2" w14:textId="77777777" w:rsidR="00792889" w:rsidRDefault="00792889" w:rsidP="005A421D">
            <w:del w:id="30026" w:author="Claude" w:date="2026-10-23T00:00:00Z">
              <w:r>
                <w:delText xml:space="preserve">CDD −0.120*** (0.022); HDD −0.025 (0.027)</w:delText>
              </w:r>
            </w:del>
            <w:ins w:id="30027" w:author="Claude" w:date="2026-10-23T00:00:00Z">
              <w:r>
                <w:t xml:space="preserve">CDD −0.120*** (0.022); HDD −0.014 (0.029)</w:t>
              </w:r>
            </w:ins>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0.188</w:t>
            </w:r>
          </w:p>
        </w:tc>
        <w:tc>
          <w:tcPr>
            <w:tcW w:w="0" w:type="auto"/>
          </w:tcPr>
          <w:p w14:paraId="340DF0CD" w14:textId="77777777" w:rsidR="00792889" w:rsidRDefault="00792889" w:rsidP="005A421D">
            <w:del w:id="30028" w:author="Claude" w:date="2026-10-23T00:00:00Z">
              <w:r>
                <w:delText xml:space="preserve">0.079</w:delText>
              </w:r>
            </w:del>
            <w:ins w:id="30029" w:author="Claude" w:date="2026-10-23T00:00:00Z">
              <w:r>
                <w:t xml:space="preserve">0.080</w:t>
              </w:r>
            </w:ins>
          </w:p>
        </w:tc>
      </w:tr>
    </w:tbl>
    <w:p w14:paraId="2B58619F" w14:textId="77777777" w:rsidR="00792889" w:rsidRDefault="00792889" w:rsidP="00792889">
      <w:r>
        <w:br/>
      </w:r>
      <w:del w:id="20078" w:author="Claude" w:date="2026-10-21T00:00:00Z">
        <w:r>
          <w:delText xml:space="preserve">Figure</w:delText>
        </w:r>
      </w:del>
      <w:ins w:id="20079" w:author="Claude" w:date="2026-10-21T00:00:00Z">
        <w:r>
          <w:t xml:space="preserve">Fig.</w:t>
        </w:r>
      </w:ins>
      <w:r>
        <w:t xml:space="preserve"> 2 traces the five focal coefficients across the model series, in which each specification adds or substitutes one control block against a fixed core. Reading the three panels together is the paper's central comparison. The storage coefficients are the </w:t>
      </w:r>
      <w:del w:id="20080" w:author="Claude" w:date="2026-10-21T00:00:00Z">
        <w:r>
          <w:delText xml:space="preserve">largest and the flattest</w:delText>
        </w:r>
      </w:del>
      <w:ins w:id="20081" w:author="Claude" w:date="2026-10-21T00:00:00Z">
        <w:r>
          <w:t xml:space="preserve">most stable</w:t>
        </w:r>
      </w:ins>
      <w:r>
        <w:t xml:space="preserve">: race and ethnicity shares stay negative and separated from zero across every specification. The solar coefficients </w:t>
      </w:r>
      <w:del w:id="20082" w:author="Claude" w:date="2026-10-21T00:00:00Z">
        <w:r>
          <w:delText xml:space="preserve">are smaller and </w:delText>
        </w:r>
      </w:del>
      <w:r>
        <w:t xml:space="preserve">move more, particularly where housing </w:t>
      </w:r>
      <w:del w:id="20083" w:author="Claude" w:date="2026-10-21T00:00:00Z">
        <w:r>
          <w:delText xml:space="preserve">enters</w:delText>
        </w:r>
      </w:del>
      <w:ins w:id="20084" w:author="Claude" w:date="2026-10-21T00:00:00Z">
        <w:r>
          <w:t xml:space="preserve">and county controls enter</w:t>
        </w:r>
      </w:ins>
      <w:r>
        <w:t xml:space="preserve">. The charging coefficients behave differently again</w:t>
      </w:r>
      <w:del w:id="20085" w:author="Claude" w:date="2026-10-21T00:00:00Z">
        <w:r>
          <w:delText xml:space="preserve">, with</w:delText>
        </w:r>
      </w:del>
      <w:ins w:id="20086" w:author="Claude" w:date="2026-10-21T00:00:00Z">
        <w:r>
          <w:t xml:space="preserve">:</w:t>
        </w:r>
      </w:ins>
      <w:r>
        <w:t xml:space="preserve"> poverty rate </w:t>
      </w:r>
      <w:ins w:id="20087" w:author="Claude" w:date="2026-10-21T00:00:00Z">
        <w:r>
          <w:t xml:space="preserve">is </w:t>
        </w:r>
      </w:ins>
      <w:r>
        <w:t xml:space="preserve">the only </w:t>
      </w:r>
      <w:del w:id="20088" w:author="Claude" w:date="2026-10-21T00:00:00Z">
        <w:r>
          <w:delText xml:space="preserve">consistently signed predictor</w:delText>
        </w:r>
      </w:del>
      <w:ins w:id="20089" w:author="Claude" w:date="2026-10-21T00:00:00Z">
        <w:r>
          <w:t xml:space="preserve">predictor that keeps its sign,</w:t>
        </w:r>
      </w:ins>
      <w:r>
        <w:t xml:space="preserve"> and the race terms </w:t>
      </w:r>
      <w:del w:id="20090" w:author="Claude" w:date="2026-10-21T00:00:00Z">
        <w:r>
          <w:delText xml:space="preserve">crossing</w:delText>
        </w:r>
      </w:del>
      <w:ins w:id="20091" w:author="Claude" w:date="2026-10-21T00:00:00Z">
        <w:r>
          <w:t xml:space="preserve">cross or collapse to</w:t>
        </w:r>
      </w:ins>
      <w:r>
        <w:t xml:space="preserve"> zero. Whatever is producing inequity is not one mechanism operating at three intensities.</w:t>
      </w:r>
    </w:p>
    <w:p w14:paraId="78A5EDAB" w14:textId="77777777" w:rsidR="00792889" w:rsidRDefault="00792889" w:rsidP="00792889">
      <w:r>
        <w:t xml:space="preserve">Baseline explanatory power is </w:t>
      </w:r>
      <w:del w:id="20092" w:author="Claude" w:date="2026-10-21T00:00:00Z">
        <w:r>
          <w:delText xml:space="preserve">low by construction</w:delText>
        </w:r>
      </w:del>
      <w:ins w:id="20093" w:author="Claude" w:date="2026-10-21T00:00:00Z">
        <w:r>
          <w:t xml:space="preserve">modest</w:t>
        </w:r>
      </w:ins>
      <w:r>
        <w:t xml:space="preserve">,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w:t>
      </w:r>
      <w:del w:id="20094" w:author="Claude" w:date="2026-10-21T00:00:00Z">
        <w:r>
          <w:delText xml:space="preserve"> and</w:delText>
        </w:r>
      </w:del>
      <w:ins w:id="20095" w:author="Claude" w:date="2026-10-21T00:00:00Z">
        <w:r>
          <w:t xml:space="preserve">,</w:t>
        </w:r>
      </w:ins>
      <w:r>
        <w:t xml:space="preserve"> 0.42 for storage </w:t>
      </w:r>
      <w:ins w:id="20096" w:author="Claude" w:date="2026-10-21T00:00:00Z">
        <w:r>
          <w:t xml:space="preserve">and 0.27 for charging </w:t>
        </w:r>
      </w:ins>
      <w:r>
        <w:t xml:space="preserve">(Supplementary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529965"/>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529965"/>
                    </a:xfrm>
                    <a:prstGeom prst="rect">
                      <a:avLst/>
                    </a:prstGeom>
                  </pic:spPr>
                </pic:pic>
              </a:graphicData>
            </a:graphic>
          </wp:inline>
        </w:drawing>
      </w:r>
    </w:p>
    <w:p w14:paraId="427A6761" w14:textId="77777777" w:rsidR="00792889" w:rsidRDefault="00792889" w:rsidP="00792889">
      <w:pPr>
        <w:pStyle w:val="Caption"/>
      </w:pPr>
      <w:commentRangeStart w:id="4"/>
      <w:commentRangeStart w:id="13"/>
      <w:r>
        <w:t xml:space="preserve">Fig. 2 |</w:t>
      </w:r>
      <w:ins w:id="20097" w:author="Claude" w:date="2026-10-21T00:00:00Z">
        <w:r>
          <w:t xml:space="preserve"> Only the storage disparities hold across every specification.</w:t>
        </w:r>
      </w:ins>
      <w:r>
        <w:t xml:space="preserve"> Focal coefficients across the model series</w:t>
      </w:r>
      <w:del w:id="20098" w:author="Claude" w:date="2026-10-21T00:00:00Z">
        <w:r>
          <w:delText xml:space="preserve">, by technology</w:delText>
        </w:r>
      </w:del>
      <w:commentRangeEnd w:id="13"/>
      <w:commentRangeEnd w:id="4"/>
      <w:r>
        <w:rPr>
          <w:rStyle w:val="CommentReference"/>
          <w:sz w:val="18"/>
          <w:szCs w:val="18"/>
        </w:rPr>
        <w:commentReference w:id="4"/>
      </w:r>
      <w:r>
        <w:rPr>
          <w:rStyle w:val="CommentReference"/>
        </w:rPr>
        <w:commentReference w:id="13"/>
      </w:r>
      <w:del w:id="20099" w:author="Claude" w:date="2026-10-21T00:00:00Z">
        <w:r>
          <w:delText xml:space="preserve">. Standardized</w:delText>
        </w:r>
      </w:del>
      <w:ins w:id="20100" w:author="Claude" w:date="2026-10-21T00:00:00Z">
        <w:r>
          <w:t xml:space="preserve"> for rooftop solar (a), battery storage (b) and aggregate EV charging (c); standardized</w:t>
        </w:r>
      </w:ins>
      <w:r>
        <w:t xml:space="preserve">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w:t>
      </w:r>
      <w:ins w:id="20101" w:author="Claude" w:date="2026-10-21T00:00:00Z">
        <w:r>
          <w:t xml:space="preserve">race and ethnicity </w:t>
        </w:r>
      </w:ins>
      <w:r>
        <w:t xml:space="preserve">coefficients (b) </w:t>
      </w:r>
      <w:del w:id="20102" w:author="Claude" w:date="2026-10-21T00:00:00Z">
        <w:r>
          <w:delText xml:space="preserve">are the largest</w:delText>
        </w:r>
      </w:del>
      <w:ins w:id="20103" w:author="Claude" w:date="2026-10-21T00:00:00Z">
        <w:r>
          <w:t xml:space="preserve">stay clear of zero throughout; the solar Hispanic-share coefficient</w:t>
        </w:r>
      </w:ins>
      <w:r>
        <w:t xml:space="preserve"> and the </w:t>
      </w:r>
      <w:del w:id="20104" w:author="Claude" w:date="2026-10-21T00:00:00Z">
        <w:r>
          <w:delText xml:space="preserve">flattest; </w:delText>
        </w:r>
      </w:del>
      <w:commentRangeStart w:id="5"/>
      <w:commentRangeStart w:id="14"/>
      <w:del w:id="20105" w:author="Claude" w:date="2026-10-21T00:00:00Z">
        <w:r>
          <w:delText xml:space="preserve">the </w:delText>
        </w:r>
      </w:del>
      <w:r>
        <w:t xml:space="preserve">charging</w:t>
      </w:r>
      <w:del w:id="20106" w:author="Claude" w:date="2026-10-21T00:00:00Z">
        <w:r>
          <w:delText xml:space="preserve"> coefficients (c) are the only set in which</w:delText>
        </w:r>
      </w:del>
      <w:r>
        <w:t xml:space="preserve"> race terms cross </w:t>
      </w:r>
      <w:del w:id="20107" w:author="Claude" w:date="2026-10-21T00:00:00Z">
        <w:r>
          <w:delText xml:space="preserve">zero</w:delText>
        </w:r>
      </w:del>
      <w:ins w:id="20108" w:author="Claude" w:date="2026-10-21T00:00:00Z">
        <w:r>
          <w:t xml:space="preserve">it</w:t>
        </w:r>
      </w:ins>
      <w:r>
        <w:t xml:space="preserve">.</w:t>
      </w:r>
      <w:commentRangeEnd w:id="14"/>
      <w:commentRangeEnd w:id="5"/>
      <w:r>
        <w:rPr>
          <w:rStyle w:val="CommentReference"/>
          <w:sz w:val="18"/>
          <w:szCs w:val="18"/>
        </w:rPr>
        <w:commentReference w:id="5"/>
      </w:r>
      <w:r>
        <w:rPr>
          <w:rStyle w:val="CommentReference"/>
        </w:rPr>
        <w:commentReference w:id="14"/>
      </w:r>
    </w:p>
    <w:p w14:paraId="6CDCD8CA" w14:textId="77777777" w:rsidR="00792889" w:rsidRDefault="00792889" w:rsidP="00792889">
      <w:pPr>
        <w:pStyle w:val="Heading2"/>
      </w:pPr>
      <w:commentRangeStart w:id="6"/>
      <w:commentRangeStart w:id="15"/>
      <w:del w:id="20109" w:author="Claude" w:date="2026-10-21T00:00:00Z">
        <w:r>
          <w:delText xml:space="preserve">Battery storage: the deepest and</w:delText>
        </w:r>
      </w:del>
      <w:ins w:id="20110" w:author="Claude" w:date="2026-10-21T00:00:00Z">
        <w:r>
          <w:t xml:space="preserve">Storage disparities are the</w:t>
        </w:r>
      </w:ins>
      <w:r>
        <w:t xml:space="preserve"> most persistent</w:t>
      </w:r>
      <w:del w:id="20111" w:author="Claude" w:date="2026-10-21T00:00:00Z">
        <w:r>
          <w:delText xml:space="preserve"> disparities</w:delText>
        </w:r>
      </w:del>
      <w:commentRangeEnd w:id="15"/>
      <w:commentRangeEnd w:id="6"/>
      <w:r>
        <w:rPr>
          <w:rStyle w:val="CommentReference"/>
          <w:sz w:val="26"/>
          <w:szCs w:val="26"/>
        </w:rPr>
        <w:commentReference w:id="6"/>
      </w:r>
      <w:r>
        <w:rPr>
          <w:rStyle w:val="CommentReference"/>
        </w:rPr>
        <w:commentReference w:id="15"/>
      </w:r>
    </w:p>
    <w:p w14:paraId="6F75B471" w14:textId="77777777" w:rsidR="00792889" w:rsidRDefault="00792889" w:rsidP="00792889">
      <w:r>
        <w:t xml:space="preserve">Storage carries the </w:t>
      </w:r>
      <w:del w:id="20112" w:author="Claude" w:date="2026-10-21T00:00:00Z">
        <w:r>
          <w:delText xml:space="preserve">strongest</w:delText>
        </w:r>
      </w:del>
      <w:ins w:id="20113" w:author="Claude" w:date="2026-10-21T00:00:00Z">
        <w:r>
          <w:t xml:space="preserve">most persistent</w:t>
        </w:r>
      </w:ins>
      <w:r>
        <w:t xml:space="preserve"> disparity pattern in the study. In the baseline, income is strongly positive while Black, Hispanic and Asian shares are all negative and precisely estimated</w:t>
      </w:r>
      <w:del w:id="20114" w:author="Claude" w:date="2026-10-21T00:00:00Z">
        <w:r>
          <w:delText xml:space="preserve">, with</w:delText>
        </w:r>
      </w:del>
      <w:ins w:id="20115" w:author="Claude" w:date="2026-10-21T00:00:00Z">
        <w:r>
          <w:t xml:space="preserve">. What sets storage apart is not the size of these</w:t>
        </w:r>
      </w:ins>
      <w:r>
        <w:t xml:space="preserve"> coefficients </w:t>
      </w:r>
      <w:del w:id="20116" w:author="Claude" w:date="2026-10-21T00:00:00Z">
        <w:r>
          <w:delText xml:space="preserve">larger in magnitude than the corresponding solar estimates. Unlike the other two outcomes,</w:delText>
        </w:r>
      </w:del>
      <w:ins w:id="20117" w:author="Claude" w:date="2026-10-21T00:00:00Z">
        <w:r>
          <w:t xml:space="preserve">but their stability:</w:t>
        </w:r>
      </w:ins>
      <w:r>
        <w:t xml:space="preserve"> the pattern does not depend on any single control block</w:t>
      </w:r>
      <w:del w:id="20118" w:author="Claude" w:date="2026-10-21T00:00:00Z">
        <w:r>
          <w:delText xml:space="preserve">: it</w:delText>
        </w:r>
      </w:del>
      <w:ins w:id="20119" w:author="Claude" w:date="2026-10-21T00:00:00Z">
        <w:r>
          <w:t xml:space="preserve">. It</w:t>
        </w:r>
      </w:ins>
      <w:r>
        <w:t xml:space="preserve"> survives educational attainment, housing value, housing structure and tenure, utility</w:t>
      </w:r>
      <w:ins w:id="20120" w:author="Claude" w:date="2026-10-21T00:00:00Z">
        <w:r>
          <w:t xml:space="preserve"> and county</w:t>
        </w:r>
      </w:ins>
      <w:r>
        <w:t xml:space="preserve"> fixed effects, county clustering, infrastructure context and the electricity-demand proxy, and </w:t>
      </w:r>
      <w:del w:id="20121" w:author="Claude" w:date="2026-10-21T00:00:00Z">
        <w:r>
          <w:delText xml:space="preserve">the confidence bands in Figure 2b stay</w:delText>
        </w:r>
      </w:del>
      <w:ins w:id="20122" w:author="Claude" w:date="2026-10-21T00:00:00Z">
        <w:r>
          <w:t xml:space="preserve">every race and ethnicity coefficient in Fig. 2b stays</w:t>
        </w:r>
      </w:ins>
      <w:r>
        <w:t xml:space="preserve"> clear of zero </w:t>
      </w:r>
      <w:del w:id="20123" w:author="Claude" w:date="2026-10-21T00:00:00Z">
        <w:r>
          <w:delText xml:space="preserve">throughout (</w:delText>
        </w:r>
      </w:del>
      <w:ins w:id="20124" w:author="Claude" w:date="2026-10-21T00:00:00Z">
        <w:r>
          <w:t xml:space="preserve">(confidence bands in </w:t>
        </w:r>
      </w:ins>
      <w:r>
        <w:t xml:space="preserve">Supplementary Fig. S2).</w:t>
      </w:r>
      <w:ins w:id="20125" w:author="Claude" w:date="2026-10-21T00:00:00Z">
        <w:r>
          <w:t xml:space="preserve"> Housing composition attenuates the Black- and Asian-share coefficients but leaves all three negative and significant (Fig. 3).</w:t>
        </w:r>
      </w:ins>
    </w:p>
    <w:p w14:paraId="11984505" w14:textId="77777777" w:rsidR="00792889" w:rsidRDefault="00792889" w:rsidP="00792889">
      <w:del w:id="20126" w:author="Claude" w:date="2026-10-21T00:00:00Z">
        <w:r>
          <w:delText xml:space="preserve">It</w:delText>
        </w:r>
      </w:del>
      <w:ins w:id="20127" w:author="Claude" w:date="2026-10-21T00:00:00Z">
        <w:r>
          <w:t xml:space="preserve">The pattern</w:t>
        </w:r>
      </w:ins>
      <w:r>
        <w:t xml:space="preserve"> also survives every robustness </w:t>
      </w:r>
      <w:del w:id="20128" w:author="Claude" w:date="2026-10-21T00:00:00Z">
        <w:r>
          <w:delText xml:space="preserve">check</w:delText>
        </w:r>
      </w:del>
      <w:ins w:id="20129" w:author="Claude" w:date="2026-10-21T00:00:00Z">
        <w:r>
          <w:t xml:space="preserve">family</w:t>
        </w:r>
      </w:ins>
      <w:r>
        <w:t xml:space="preserve"> we ran. </w:t>
      </w:r>
      <w:del w:id="30002" w:author="Claude" w:date="2026-10-23T00:00:00Z">
        <w:r>
          <w:delText xml:space="preserve">Under Conley spatially robust standard errors the Asian- and Hispanic-share coefficients hold at every distance cutoff.</w:delText>
        </w:r>
      </w:del>
      <w:ins w:id="30003" w:author="Claude" w:date="2026-10-23T00:00:00Z">
        <w:r>
          <w:t xml:space="preserve">Under Conley spatially robust standard errors all three race coefficients hold at the 1 percent level at every distance cutoff.</w:t>
        </w:r>
      </w:ins>
      <w:r>
        <w:t xml:space="preserve"> Across all 48 valid combinations of the six confounder blocks, the Asian-share coefficient is significant and same-signed in 48 of 48, Hispanic share in 44 and Black share in 36 — </w:t>
      </w:r>
      <w:del w:id="30004" w:author="Claude" w:date="2026-10-23T00:00:00Z">
        <w:r>
          <w:delText xml:space="preserve">the highest counts for any outcome</w:delText>
        </w:r>
      </w:del>
      <w:ins w:id="30005" w:author="Claude" w:date="2026-10-23T00:00:00Z">
        <w:r>
          <w:t xml:space="preserve">the highest counts for any deployment outcome</w:t>
        </w:r>
      </w:ins>
      <w:r>
        <w:t xml:space="preserve">. </w:t>
      </w:r>
      <w:bookmarkStart w:id="7" w:name="OLE_LINK3"/>
      <w:bookmarkStart w:id="8" w:name="OLE_LINK4"/>
      <w:commentRangeStart w:id="9"/>
      <w:commentRangeStart w:id="16"/>
      <w:r>
        <w:t xml:space="preserve">Oster bounds </w:t>
      </w:r>
      <w:bookmarkEnd w:id="7"/>
      <w:r>
        <w:t xml:space="preserve">put storage Hispanic share at </w:t>
      </w:r>
      <w:del w:id="30066" w:author="Claude" w:date="2026-10-23T00:00:00Z">
        <w:r>
          <w:delText xml:space="preserve">δ = 1.99 and Asian share at 1.29</w:delText>
        </w:r>
      </w:del>
      <w:ins w:id="30067" w:author="Claude" w:date="2026-10-23T00:00:00Z">
        <w:r>
          <w:t xml:space="preserve">δ = 1.97 and Asian share at 1.28</w:t>
        </w:r>
      </w:ins>
      <w:r>
        <w:t xml:space="preserve">, both above the conventional threshold of one, </w:t>
      </w:r>
      <w:del w:id="20130" w:author="Claude" w:date="2026-10-21T00:00:00Z">
        <w:r>
          <w:delText xml:space="preserve">meaning</w:delText>
        </w:r>
      </w:del>
      <w:ins w:id="20131" w:author="Claude" w:date="2026-10-21T00:00:00Z">
        <w:r>
          <w:t xml:space="preserve">so unobserved</w:t>
        </w:r>
      </w:ins>
      <w:r>
        <w:t xml:space="preserve"> selection</w:t>
      </w:r>
      <w:del w:id="20132" w:author="Claude" w:date="2026-10-21T00:00:00Z">
        <w:r>
          <w:delText xml:space="preserve"> on unobservables</w:delText>
        </w:r>
      </w:del>
      <w:r>
        <w:t xml:space="preserve"> would have to </w:t>
      </w:r>
      <w:del w:id="20133" w:author="Claude" w:date="2026-10-21T00:00:00Z">
        <w:r>
          <w:delText xml:space="preserve">be stronger than selection on the</w:delText>
        </w:r>
      </w:del>
      <w:ins w:id="20134" w:author="Claude" w:date="2026-10-21T00:00:00Z">
        <w:r>
          <w:t xml:space="preserve">exceed</w:t>
        </w:r>
      </w:ins>
      <w:r>
        <w:t xml:space="preserve"> observed </w:t>
      </w:r>
      <w:del w:id="20135" w:author="Claude" w:date="2026-10-21T00:00:00Z">
        <w:r>
          <w:delText xml:space="preserve">confounders</w:delText>
        </w:r>
      </w:del>
      <w:ins w:id="20136" w:author="Claude" w:date="2026-10-21T00:00:00Z">
        <w:r>
          <w:t xml:space="preserve">selection</w:t>
        </w:r>
      </w:ins>
      <w:r>
        <w:t xml:space="preserve"> to explain them away</w:t>
      </w:r>
      <w:ins w:id="20137" w:author="Claude" w:date="2026-10-21T00:00:00Z">
        <w:r>
          <w:t xml:space="preserve">; the Black-share bound, 0.71, is weaker</w:t>
        </w:r>
      </w:ins>
      <w:r>
        <w:t xml:space="preserve"> (Table 2</w:t>
      </w:r>
      <w:ins w:id="20138" w:author="Claude" w:date="2026-10-21T00:00:00Z">
        <w:r>
          <w:t xml:space="preserve">; Supplementary Note S4</w:t>
        </w:r>
      </w:ins>
      <w:r>
        <w:t xml:space="preserve">). </w:t>
      </w:r>
      <w:bookmarkEnd w:id="8"/>
      <w:commentRangeEnd w:id="16"/>
      <w:commentRangeEnd w:id="9"/>
      <w:r>
        <w:rPr>
          <w:rStyle w:val="CommentReference"/>
          <w:sz w:val="22"/>
          <w:szCs w:val="22"/>
        </w:rPr>
        <w:commentReference w:id="9"/>
      </w:r>
      <w:r>
        <w:rPr>
          <w:rStyle w:val="CommentReference"/>
        </w:rPr>
        <w:commentReference w:id="16"/>
      </w:r>
      <w:r>
        <w:t xml:space="preserve">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del w:id="20139" w:author="Claude" w:date="2026-10-21T00:00:00Z">
        <w:r>
          <w:delText xml:space="preserve">The substantive point is that storage</w:delText>
        </w:r>
      </w:del>
      <w:ins w:id="20140" w:author="Claude" w:date="2026-10-21T00:00:00Z">
        <w:r>
          <w:t xml:space="preserve">Storage</w:t>
        </w:r>
      </w:ins>
      <w:r>
        <w:t xml:space="preserve"> inequity is </w:t>
      </w:r>
      <w:del w:id="20141" w:author="Claude" w:date="2026-10-21T00:00:00Z">
        <w:r>
          <w:delText xml:space="preserve">deeper than</w:delText>
        </w:r>
      </w:del>
      <w:ins w:id="20142" w:author="Claude" w:date="2026-10-21T00:00:00Z">
        <w:r>
          <w:t xml:space="preserve">therefore the most robust result in the study, and it is not a by-product of unequal</w:t>
        </w:r>
      </w:ins>
      <w:r>
        <w:t xml:space="preserve"> solar </w:t>
      </w:r>
      <w:del w:id="20143" w:author="Claude" w:date="2026-10-21T00:00:00Z">
        <w:r>
          <w:delText xml:space="preserve">inequity and more robust than either of the other two results, and</w:delText>
        </w:r>
      </w:del>
      <w:ins w:id="20144" w:author="Claude" w:date="2026-10-21T00:00:00Z">
        <w:r>
          <w:t xml:space="preserve">adoption. Because</w:t>
        </w:r>
      </w:ins>
      <w:r>
        <w:t xml:space="preserve"> storage is the technology </w:t>
      </w:r>
      <w:del w:id="20145" w:author="Claude" w:date="2026-10-21T00:00:00Z">
        <w:r>
          <w:delText xml:space="preserve">whose benefit —</w:delText>
        </w:r>
      </w:del>
      <w:ins w:id="20146" w:author="Claude" w:date="2026-10-21T00:00:00Z">
        <w:r>
          <w:t xml:space="preserve">that provides</w:t>
        </w:r>
      </w:ins>
      <w:r>
        <w:t xml:space="preserve"> backup power during outages and wildfire shutoffs</w:t>
      </w:r>
      <w:del w:id="20147" w:author="Claude" w:date="2026-10-21T00:00:00Z">
        <w:r>
          <w:delText xml:space="preserve"> — is most concentrated in exactly the communities showing the lowest deployment</w:delText>
        </w:r>
      </w:del>
      <w:ins w:id="20148" w:author="Claude" w:date="2026-10-21T00:00:00Z">
        <w:r>
          <w:t xml:space="preserve">, this is a gap in resilience, and solar programs alone will not close it</w:t>
        </w:r>
      </w:ins>
      <w:r>
        <w:t xml:space="preserve">.</w:t>
      </w:r>
    </w:p>
    <w:p w14:paraId="5567873C" w14:textId="77777777" w:rsidR="00792889" w:rsidRDefault="00792889" w:rsidP="00792889">
      <w:pPr>
        <w:pStyle w:val="Heading2"/>
      </w:pPr>
      <w:del w:id="20149" w:author="Claude" w:date="2026-10-21T00:00:00Z">
        <w:r>
          <w:delText xml:space="preserve">Rooftop</w:delText>
        </w:r>
      </w:del>
      <w:ins w:id="20150" w:author="Claude" w:date="2026-10-21T00:00:00Z">
        <w:r>
          <w:t xml:space="preserve">Housing stock explains part of the</w:t>
        </w:r>
      </w:ins>
      <w:r>
        <w:t xml:space="preserve"> solar</w:t>
      </w:r>
      <w:del w:id="20151" w:author="Claude" w:date="2026-10-21T00:00:00Z">
        <w:r>
          <w:delText xml:space="preserve">: disparities that housing composition partly explains</w:delText>
        </w:r>
      </w:del>
      <w:ins w:id="20152" w:author="Claude" w:date="2026-10-21T00:00:00Z">
        <w:r>
          <w:t xml:space="preserve"> gap</w:t>
        </w:r>
      </w:ins>
    </w:p>
    <w:p w14:paraId="7FBBE5DB" w14:textId="77777777" w:rsidR="00792889" w:rsidRDefault="00792889" w:rsidP="00792889">
      <w:r>
        <w:t xml:space="preserve">For rooftop solar, ZCTAs with higher median household income show higher adoption intensity, while those with larger Black and Asian population shares show substantially lower intensity</w:t>
      </w:r>
      <w:ins w:id="20153" w:author="Claude" w:date="2026-10-21T00:00:00Z">
        <w:r>
          <w:t xml:space="preserve"> — in the baseline, about 20 and 26 percent less installed capacity per resident for a one-standard-deviation higher Black and Asian share, respectively</w:t>
        </w:r>
      </w:ins>
      <w:r>
        <w:t xml:space="preserve">. Solar resource potential behaves as expected: mean global horizontal irradiance is positive and </w:t>
      </w:r>
      <w:del w:id="20154" w:author="Claude" w:date="2026-10-21T00:00:00Z">
        <w:r>
          <w:delText xml:space="preserve">highly </w:delText>
        </w:r>
      </w:del>
      <w:r>
        <w:t xml:space="preserve">significant, so the racial gradient </w:t>
      </w:r>
      <w:del w:id="20155" w:author="Claude" w:date="2026-10-21T00:00:00Z">
        <w:r>
          <w:delText xml:space="preserve">is not an artifact of lower-income areas having worse</w:delText>
        </w:r>
      </w:del>
      <w:ins w:id="20156" w:author="Claude" w:date="2026-10-21T00:00:00Z">
        <w:r>
          <w:t xml:space="preserve">does not reflect poorer</w:t>
        </w:r>
      </w:ins>
      <w:r>
        <w:t xml:space="preserve"> solar resource. Hispanic share runs the other way</w:t>
      </w:r>
      <w:del w:id="20157" w:author="Claude" w:date="2026-10-21T00:00:00Z">
        <w:r>
          <w:delText xml:space="preserve"> for solar alone,</w:delText>
        </w:r>
      </w:del>
      <w:ins w:id="20158" w:author="Claude" w:date="2026-10-21T00:00:00Z">
        <w:r>
          <w:t xml:space="preserve">:</w:t>
        </w:r>
      </w:ins>
      <w:r>
        <w:t xml:space="preserve"> positive and significant</w:t>
      </w:r>
      <w:ins w:id="20159" w:author="Claude" w:date="2026-10-21T00:00:00Z">
        <w:r>
          <w:t xml:space="preserve"> in the baseline, unstable in sign across the wider set of specifications</w:t>
        </w:r>
      </w:ins>
      <w:r>
        <w:t xml:space="preserve">, and </w:t>
      </w:r>
      <w:del w:id="20160" w:author="Claude" w:date="2026-10-21T00:00:00Z">
        <w:r>
          <w:delText xml:space="preserve">does not follow the Black and Asian pattern in any specification; we</w:delText>
        </w:r>
      </w:del>
      <w:ins w:id="20161" w:author="Claude" w:date="2026-10-21T00:00:00Z">
        <w:r>
          <w:t xml:space="preserve">never part of a consistent negative gradient (Table 2). We</w:t>
        </w:r>
      </w:ins>
      <w:r>
        <w:t xml:space="preserv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w:t>
      </w:r>
      <w:del w:id="20162" w:author="Claude" w:date="2026-10-21T00:00:00Z">
        <w:r>
          <w:delText xml:space="preserve">the exhaustive </w:delText>
        </w:r>
      </w:del>
      <w:commentRangeStart w:id="10"/>
      <w:commentRangeStart w:id="17"/>
      <w:del w:id="20163" w:author="Claude" w:date="2026-10-21T00:00:00Z">
        <w:r>
          <w:delText xml:space="preserve">ACS B25024 structure composition</w:delText>
        </w:r>
      </w:del>
      <w:ins w:id="20164" w:author="Claude" w:date="2026-10-21T00:00:00Z">
        <w:r>
          <w:t xml:space="preserve">each area's mix of housing types</w:t>
        </w:r>
      </w:ins>
      <w:r>
        <w:t xml:space="preserve">, with single-family units as the reference, and </w:t>
      </w:r>
      <w:del w:id="20165" w:author="Claude" w:date="2026-10-21T00:00:00Z">
        <w:r>
          <w:delText xml:space="preserve">B25003 owner occupancy</w:delText>
        </w:r>
      </w:del>
      <w:ins w:id="20166" w:author="Claude" w:date="2026-10-21T00:00:00Z">
        <w:r>
          <w:t xml:space="preserve">its owner-occupancy rate</w:t>
        </w:r>
      </w:ins>
      <w:commentRangeEnd w:id="17"/>
      <w:commentRangeEnd w:id="10"/>
      <w:r>
        <w:rPr>
          <w:rStyle w:val="CommentReference"/>
          <w:sz w:val="22"/>
          <w:szCs w:val="22"/>
        </w:rPr>
        <w:commentReference w:id="10"/>
      </w:r>
      <w:r>
        <w:rPr>
          <w:rStyle w:val="CommentReference"/>
        </w:rPr>
        <w:commentReference w:id="17"/>
      </w:r>
      <w:r>
        <w:t xml:space="preserve">, with renters as the reference, moves </w:t>
      </w:r>
      <w:del w:id="20167" w:author="Claude" w:date="2026-10-21T00:00:00Z">
        <w:r>
          <w:delText xml:space="preserve">every race coefficient</w:delText>
        </w:r>
      </w:del>
      <w:ins w:id="20168" w:author="Claude" w:date="2026-10-21T00:00:00Z">
        <w:r>
          <w:t xml:space="preserve">the Black- and Asian-share coefficients</w:t>
        </w:r>
      </w:ins>
      <w:r>
        <w:t xml:space="preserve"> for solar and storage toward zero without eliminating </w:t>
      </w:r>
      <w:del w:id="20169" w:author="Claude" w:date="2026-10-21T00:00:00Z">
        <w:r>
          <w:delText xml:space="preserve">it (Figure</w:delText>
        </w:r>
      </w:del>
      <w:ins w:id="20170" w:author="Claude" w:date="2026-10-21T00:00:00Z">
        <w:r>
          <w:t xml:space="preserve">any of them (Fig.</w:t>
        </w:r>
      </w:ins>
      <w:r>
        <w:t xml:space="preserve"> 3). Area-level housing composition absorbs </w:t>
      </w:r>
      <w:del w:id="20171" w:author="Claude" w:date="2026-10-21T00:00:00Z">
        <w:r>
          <w:delText xml:space="preserve">between 32 and 53 percent</w:delText>
        </w:r>
      </w:del>
      <w:ins w:id="20172" w:author="Claude" w:date="2026-10-21T00:00:00Z">
        <w:r>
          <w:t xml:space="preserve">roughly a third to a half</w:t>
        </w:r>
      </w:ins>
      <w:r>
        <w:t xml:space="preserve"> of these </w:t>
      </w:r>
      <w:del w:id="20173" w:author="Claude" w:date="2026-10-21T00:00:00Z">
        <w:r>
          <w:delText xml:space="preserve">coefficients across the </w:delText>
        </w:r>
      </w:del>
      <w:r>
        <w:t xml:space="preserve">four </w:t>
      </w:r>
      <w:del w:id="20174" w:author="Claude" w:date="2026-10-21T00:00:00Z">
        <w:r>
          <w:delText xml:space="preserve">technology-by-race combinations</w:delText>
        </w:r>
      </w:del>
      <w:ins w:id="20175" w:author="Claude" w:date="2026-10-21T00:00:00Z">
        <w:r>
          <w:t xml:space="preserve">coefficients</w:t>
        </w:r>
      </w:ins>
      <w:r>
        <w:t xml:space="preserve">, most for the solar Black share and least for the storage Asian share (Supplementary Table S2). </w:t>
      </w:r>
      <w:del w:id="20176" w:author="Claude" w:date="2026-10-21T00:00:00Z">
        <w:r>
          <w:delText xml:space="preserve">Movement toward zero is attenuation associated with area-level</w:delText>
        </w:r>
      </w:del>
      <w:ins w:id="20177" w:author="Claude" w:date="2026-10-21T00:00:00Z">
        <w:r>
          <w:t xml:space="preserve">These models observe the area's</w:t>
        </w:r>
      </w:ins>
      <w:r>
        <w:t xml:space="preserve"> housing </w:t>
      </w:r>
      <w:del w:id="20178" w:author="Claude" w:date="2026-10-21T00:00:00Z">
        <w:r>
          <w:delText xml:space="preserve">composition; these models do not identify</w:delText>
        </w:r>
      </w:del>
      <w:ins w:id="20179" w:author="Claude" w:date="2026-10-21T00:00:00Z">
        <w:r>
          <w:t xml:space="preserve">stock, not</w:t>
        </w:r>
      </w:ins>
      <w:r>
        <w:t xml:space="preserve"> household-level tenure or roof access.</w:t>
      </w:r>
    </w:p>
    <w:p w14:paraId="231C9F3B" w14:textId="77777777" w:rsidR="00792889" w:rsidRDefault="00792889" w:rsidP="00792889">
      <w:r>
        <w:t xml:space="preserve">The two solar race coefficients are not equally </w:t>
      </w:r>
      <w:del w:id="20180" w:author="Claude" w:date="2026-10-21T00:00:00Z">
        <w:r>
          <w:delText xml:space="preserve">solid, </w:delText>
        </w:r>
      </w:del>
      <w:commentRangeStart w:id="11"/>
      <w:commentRangeStart w:id="18"/>
      <w:del w:id="20181" w:author="Claude" w:date="2026-10-21T00:00:00Z">
        <w:r>
          <w:delText xml:space="preserve">and the paper should not treat them as though they were</w:delText>
        </w:r>
      </w:del>
      <w:ins w:id="20182" w:author="Claude" w:date="2026-10-21T00:00:00Z">
        <w:r>
          <w:t xml:space="preserve">robust</w:t>
        </w:r>
      </w:ins>
      <w:commentRangeEnd w:id="18"/>
      <w:commentRangeEnd w:id="11"/>
      <w:r>
        <w:rPr>
          <w:rStyle w:val="CommentReference"/>
          <w:sz w:val="22"/>
          <w:szCs w:val="22"/>
        </w:rPr>
        <w:commentReference w:id="11"/>
      </w:r>
      <w:r>
        <w:rPr>
          <w:rStyle w:val="CommentReference"/>
        </w:rPr>
        <w:commentReference w:id="18"/>
      </w:r>
      <w:r>
        <w:t xml:space="preserve">. The Asian-share coefficient is</w:t>
      </w:r>
      <w:del w:id="20183" w:author="Claude" w:date="2026-10-21T00:00:00Z">
        <w:r>
          <w:delText xml:space="preserve"> robust:</w:delText>
        </w:r>
      </w:del>
      <w:r>
        <w:t xml:space="preserve"> significant at the 0.1 percent level at every Conley distance cutoff, same-signed and significant in 34 of 48 specification-curve combinations, and </w:t>
      </w:r>
      <w:del w:id="20184" w:author="Claude" w:date="2026-10-21T00:00:00Z">
        <w:r>
          <w:delText xml:space="preserve">clearing</w:delText>
        </w:r>
      </w:del>
      <w:ins w:id="20185" w:author="Claude" w:date="2026-10-21T00:00:00Z">
        <w:r>
          <w:t xml:space="preserve">clears</w:t>
        </w:r>
      </w:ins>
      <w:r>
        <w:t xml:space="preserve"> the Oster threshold at </w:t>
      </w:r>
      <w:del w:id="30068" w:author="Claude" w:date="2026-10-23T00:00:00Z">
        <w:r>
          <w:delText xml:space="preserve">δ = 1.57</w:delText>
        </w:r>
      </w:del>
      <w:ins w:id="30069" w:author="Claude" w:date="2026-10-23T00:00:00Z">
        <w:r>
          <w:t xml:space="preserve">δ = 1.56</w:t>
        </w:r>
      </w:ins>
      <w:r>
        <w:t xml:space="preserve">. The Black-share coefficient is weaker on all three measures — </w:t>
      </w:r>
      <w:ins w:id="20186" w:author="Claude" w:date="2026-10-21T00:00:00Z">
        <w:del w:id="30070" w:author="Claude" w:date="2026-10-23T00:00:00Z">
          <w:r>
            <w:delText xml:space="preserve">significant only at the 5 percent level once residuals may covary with distance</w:delText>
          </w:r>
        </w:del>
      </w:ins>
      <w:ins w:id="30071" w:author="Claude" w:date="2026-10-23T00:00:00Z">
        <w:r>
          <w:t xml:space="preserve">not significant once residuals may covary over distances of 50 km or more</w:t>
        </w:r>
      </w:ins>
      <w:ins w:id="30072" w:author="Claude" w:date="2026-10-21T00:00:00Z">
        <w:r>
          <w:t xml:space="preserve">, significant in </w:t>
        </w:r>
      </w:ins>
      <w:r>
        <w:t xml:space="preserve">28 of 48</w:t>
      </w:r>
      <w:del w:id="20187" w:author="Claude" w:date="2026-10-21T00:00:00Z">
        <w:r>
          <w:delText xml:space="preserve">,</w:delText>
        </w:r>
      </w:del>
      <w:ins w:id="20188" w:author="Claude" w:date="2026-10-21T00:00:00Z">
        <w:r>
          <w:t xml:space="preserve"> combinations, and</w:t>
        </w:r>
      </w:ins>
      <w:r>
        <w:t xml:space="preserve"> δ = 0.32</w:t>
      </w:r>
      <w:del w:id="20189" w:author="Claude" w:date="2026-10-21T00:00:00Z">
        <w:r>
          <w:delText xml:space="preserve">, and less precisely estimated than the heteroskedasticity-robust errors imply once residuals are allowed to covary with distance</w:delText>
        </w:r>
      </w:del>
      <w:r>
        <w:t xml:space="preserve">. We report both, and rest the solar conclusion on the Asian-share result.</w:t>
      </w:r>
    </w:p>
    <w:p w14:paraId="1C155960" w14:textId="77777777" w:rsidR="00792889" w:rsidRDefault="00792889" w:rsidP="00792889">
      <w:r>
        <w:t xml:space="preserve">High-Asian-share ZCTAs are also </w:t>
      </w:r>
      <w:ins w:id="20190" w:author="Claude" w:date="2026-10-21T00:00:00Z">
        <w:r>
          <w:t xml:space="preserve">among </w:t>
        </w:r>
      </w:ins>
      <w:r>
        <w:t xml:space="preserve">the highest-income </w:t>
      </w:r>
      <w:del w:id="20191" w:author="Claude" w:date="2026-10-21T00:00:00Z">
        <w:r>
          <w:delText xml:space="preserve">profiles</w:delText>
        </w:r>
      </w:del>
      <w:ins w:id="20192" w:author="Claude" w:date="2026-10-21T00:00:00Z">
        <w:r>
          <w:t xml:space="preserve">areas</w:t>
        </w:r>
      </w:ins>
      <w:r>
        <w:t xml:space="preserve"> in the sample</w:t>
      </w:r>
      <w:del w:id="20193" w:author="Claude" w:date="2026-10-21T00:00:00Z">
        <w:r>
          <w:delText xml:space="preserve">, which is hard to square with an income-based reading of</w:delText>
        </w:r>
      </w:del>
      <w:ins w:id="20194" w:author="Claude" w:date="2026-10-21T00:00:00Z">
        <w:r>
          <w:t xml:space="preserve"> (Supplementary Note S8), so</w:t>
        </w:r>
      </w:ins>
      <w:r>
        <w:t xml:space="preserve"> their low solar and storage deployment</w:t>
      </w:r>
      <w:ins w:id="20195" w:author="Claude" w:date="2026-10-21T00:00:00Z">
        <w:r>
          <w:t xml:space="preserve"> cannot be read as an income effect</w:t>
        </w:r>
      </w:ins>
      <w:r>
        <w:t xml:space="preserve">. They concentrate in dense metropolitan submarkets where multifamily housing and lower </w:t>
      </w:r>
      <w:del w:id="20196" w:author="Claude" w:date="2026-10-21T00:00:00Z">
        <w:r>
          <w:delText xml:space="preserve">owner-occupancy</w:delText>
        </w:r>
      </w:del>
      <w:ins w:id="20197" w:author="Claude" w:date="2026-10-21T00:00:00Z">
        <w:r>
          <w:t xml:space="preserve">owner occupancy</w:t>
        </w:r>
      </w:ins>
      <w:r>
        <w:t xml:space="preserve"> limit roof control</w:t>
      </w:r>
      <w:del w:id="20198" w:author="Claude" w:date="2026-10-21T00:00:00Z">
        <w:r>
          <w:delText xml:space="preserve">, and the</w:delText>
        </w:r>
      </w:del>
      <w:ins w:id="20199" w:author="Claude" w:date="2026-10-21T00:00:00Z">
        <w:r>
          <w:t xml:space="preserve">. The</w:t>
        </w:r>
      </w:ins>
      <w:r>
        <w:t xml:space="preserve"> same density </w:t>
      </w:r>
      <w:del w:id="20200" w:author="Claude" w:date="2026-10-21T00:00:00Z">
        <w:r>
          <w:delText xml:space="preserve">supports</w:delText>
        </w:r>
      </w:del>
      <w:ins w:id="20201" w:author="Claude" w:date="2026-10-21T00:00:00Z">
        <w:r>
          <w:t xml:space="preserve">favors</w:t>
        </w:r>
      </w:ins>
      <w:r>
        <w:t xml:space="preserve"> commercial charging siting</w:t>
      </w:r>
      <w:del w:id="20202" w:author="Claude" w:date="2026-10-21T00:00:00Z">
        <w:r>
          <w:delText xml:space="preserve"> — which is why the sign flips</w:delText>
        </w:r>
      </w:del>
      <w:ins w:id="20203" w:author="Claude" w:date="2026-10-21T00:00:00Z">
        <w:r>
          <w:t xml:space="preserve">, consistent with the positive Asian-share coefficient</w:t>
        </w:r>
      </w:ins>
      <w:r>
        <w:t xml:space="preserve"> for charging in the baseline and </w:t>
      </w:r>
      <w:del w:id="20204" w:author="Claude" w:date="2026-10-21T00:00:00Z">
        <w:r>
          <w:delText xml:space="preserve">collapses toward</w:delText>
        </w:r>
      </w:del>
      <w:ins w:id="20205" w:author="Claude" w:date="2026-10-21T00:00:00Z">
        <w:r>
          <w:t xml:space="preserve">its collapse to</w:t>
        </w:r>
      </w:ins>
      <w:r>
        <w:t xml:space="preserve"> zero once housing enters</w:t>
      </w:r>
      <w:del w:id="20206" w:author="Claude" w:date="2026-10-21T00:00:00Z">
        <w:r>
          <w:delText xml:space="preserve">.</w:delText>
        </w:r>
      </w:del>
      <w:ins w:id="20207" w:author="Claude" w:date="2026-10-21T00:00:00Z">
        <w:r>
          <w:t xml:space="preserve"> (Fig. 3). For solar, then, a substantial part of the racial gap is a housing-stock gap, and the robust remainder is carried by Asian share.</w:t>
        </w:r>
      </w:ins>
    </w:p>
    <w:p w14:paraId="7A128187" w14:textId="77777777" w:rsidR="00792889" w:rsidRDefault="00792889" w:rsidP="00792889">
      <w:pPr>
        <w:keepNext/>
      </w:pPr>
      <w:r>
        <w:rPr>
          <w:noProof/>
        </w:rPr>
        <w:lastRenderedPageBreak/>
        <w:drawing>
          <wp:inline distT="0" distB="0" distL="0" distR="0" wp14:anchorId="2833B16D" wp14:editId="622A70D2">
            <wp:extent cx="5852160" cy="2645863"/>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645863"/>
                    </a:xfrm>
                    <a:prstGeom prst="rect">
                      <a:avLst/>
                    </a:prstGeom>
                  </pic:spPr>
                </pic:pic>
              </a:graphicData>
            </a:graphic>
          </wp:inline>
        </w:drawing>
      </w:r>
    </w:p>
    <w:p w14:paraId="33000716" w14:textId="77777777" w:rsidR="00792889" w:rsidRDefault="00792889" w:rsidP="00792889">
      <w:pPr>
        <w:pStyle w:val="Caption"/>
      </w:pPr>
      <w:commentRangeStart w:id="21"/>
      <w:r>
        <w:t xml:space="preserve">Fig. 3 |</w:t>
      </w:r>
      <w:ins w:id="20208" w:author="Claude" w:date="2026-10-21T00:00:00Z">
        <w:r>
          <w:t xml:space="preserve"> Housing stock absorbs part of the solar and storage racial gaps.</w:t>
        </w:r>
      </w:ins>
      <w:r>
        <w:t xml:space="preserve"> Race-coefficient attenuation after adding housing structure and tenure. </w:t>
      </w:r>
      <w:del w:id="30082" w:author="Claude" w:date="2026-10-23T00:00:00Z">
        <w:r>
          <w:delText xml:space="preserve">Hollow points are the baseline specification; filled points add </w:delText>
        </w:r>
      </w:del>
      <w:ins w:id="30083" w:author="Claude" w:date="2026-10-23T00:00:00Z">
        <w:r>
          <w:t xml:space="preserve">Circles are the baseline specification; diamonds add </w:t>
        </w:r>
      </w:ins>
      <w:del w:id="20209" w:author="Claude" w:date="2026-10-21T00:00:00Z">
        <w:r>
          <w:delText xml:space="preserve">exhaustive ACS B25024 structure</w:delText>
        </w:r>
      </w:del>
      <w:ins w:id="20210" w:author="Claude" w:date="2026-10-21T00:00:00Z">
        <w:r>
          <w:t xml:space="preserve">the area's housing-structure</w:t>
        </w:r>
      </w:ins>
      <w:r>
        <w:t xml:space="preserve"> shares (single-family reference) and </w:t>
      </w:r>
      <w:del w:id="20211" w:author="Claude" w:date="2026-10-21T00:00:00Z">
        <w:r>
          <w:delText xml:space="preserve">B25003 owner occupancy</w:delText>
        </w:r>
      </w:del>
      <w:ins w:id="20212" w:author="Claude" w:date="2026-10-21T00:00:00Z">
        <w:r>
          <w:t xml:space="preserve">owner-occupancy rate</w:t>
        </w:r>
      </w:ins>
      <w:r>
        <w:t xml:space="preserve"> (renter reference). Housing composition absorbs </w:t>
      </w:r>
      <w:del w:id="20213" w:author="Claude" w:date="2026-10-21T00:00:00Z">
        <w:r>
          <w:delText xml:space="preserve">32 to 53 percent of these</w:delText>
        </w:r>
      </w:del>
      <w:ins w:id="20214" w:author="Claude" w:date="2026-10-21T00:00:00Z">
        <w:r>
          <w:t xml:space="preserve">roughly a third to a half of the solar and storage Black- and Asian-share</w:t>
        </w:r>
      </w:ins>
      <w:r>
        <w:t xml:space="preserve"> coefficients without eliminating any</w:t>
      </w:r>
      <w:del w:id="20215" w:author="Claude" w:date="2026-10-21T00:00:00Z">
        <w:r>
          <w:delText xml:space="preserve">.</w:delText>
        </w:r>
      </w:del>
      <w:ins w:id="20216" w:author="Claude" w:date="2026-10-21T00:00:00Z">
        <w:r>
          <w:t xml:space="preserve">; the charging Asian-share coefficient falls to zero. </w:t>
        </w:r>
        <w:del w:id="30084" w:author="Claude" w:date="2026-10-23T00:00:00Z">
          <w:r>
            <w:delText xml:space="preserve">Bars are 95 percent confidence intervals.</w:delText>
          </w:r>
        </w:del>
      </w:ins>
      <w:ins w:id="30085" w:author="Claude" w:date="2026-10-23T00:00:00Z">
        <w:r>
          <w:t xml:space="preserve">Filled markers denote p &lt; 0.05; bars are 95 percent confidence intervals.</w:t>
        </w:r>
      </w:ins>
      <w:commentRangeEnd w:id="21"/>
      <w:r>
        <w:rPr>
          <w:rStyle w:val="CommentReference"/>
        </w:rPr>
        <w:commentReference w:id="21"/>
      </w:r>
    </w:p>
    <w:p w14:paraId="231CB82D" w14:textId="77777777" w:rsidR="00792889" w:rsidRDefault="00792889" w:rsidP="00792889">
      <w:pPr>
        <w:pStyle w:val="Heading2"/>
      </w:pPr>
      <w:del w:id="20217" w:author="Claude" w:date="2026-10-21T00:00:00Z">
        <w:r>
          <w:delText xml:space="preserve">Charging measures</w:delText>
        </w:r>
      </w:del>
      <w:ins w:id="20218" w:author="Claude" w:date="2026-10-21T00:00:00Z">
        <w:r>
          <w:t xml:space="preserve">Charger counts measure</w:t>
        </w:r>
      </w:ins>
      <w:r>
        <w:t xml:space="preserve"> infrastructure, not </w:t>
      </w:r>
      <w:del w:id="20219" w:author="Claude" w:date="2026-10-21T00:00:00Z">
        <w:r>
          <w:delText xml:space="preserve">usable</w:delText>
        </w:r>
      </w:del>
      <w:ins w:id="20220" w:author="Claude" w:date="2026-10-21T00:00:00Z">
        <w:r>
          <w:t xml:space="preserve">household</w:t>
        </w:r>
      </w:ins>
      <w:r>
        <w:t xml:space="preserve"> access</w:t>
      </w:r>
    </w:p>
    <w:p w14:paraId="1FD26061" w14:textId="77777777" w:rsidR="00792889" w:rsidRDefault="00792889" w:rsidP="00792889">
      <w:r>
        <w:t xml:space="preserve">The charging results are</w:t>
      </w:r>
      <w:del w:id="20221" w:author="Claude" w:date="2026-10-21T00:00:00Z">
        <w:r>
          <w:delText xml:space="preserve"> the most distinctive in the study and</w:delText>
        </w:r>
      </w:del>
      <w:r>
        <w:t xml:space="preserve"> the least like a conventional access gradient. The aggregate baseline has a positive but not</w:t>
      </w:r>
      <w:del w:id="20222" w:author="Claude" w:date="2026-10-21T00:00:00Z">
        <w:r>
          <w:delText xml:space="preserve"> conventionally</w:delText>
        </w:r>
      </w:del>
      <w:r>
        <w:t xml:space="preserve"> significant income coefficient, a near-zero Black-share coefficient, a negative Hispanic-share coefficient and a positive Asian-share coefficient, while poverty rate is strongly positive. The positive Asian-share coefficient is not stable: under Conley standard errors it </w:t>
      </w:r>
      <w:del w:id="30073" w:author="Claude" w:date="2026-10-23T00:00:00Z">
        <w:r>
          <w:delText xml:space="preserve">remains significant at 50 km and 200 km but not at 100 km</w:delText>
        </w:r>
      </w:del>
      <w:ins w:id="30074" w:author="Claude" w:date="2026-10-23T00:00:00Z">
        <w:r>
          <w:t xml:space="preserve">remains significant only at the 5 percent level</w:t>
        </w:r>
      </w:ins>
      <w:r>
        <w:t xml:space="preserve">, and it </w:t>
      </w:r>
      <w:del w:id="20223" w:author="Claude" w:date="2026-10-21T00:00:00Z">
        <w:r>
          <w:delText xml:space="preserve">reverses sign</w:delText>
        </w:r>
      </w:del>
      <w:ins w:id="20224" w:author="Claude" w:date="2026-10-21T00:00:00Z">
        <w:r>
          <w:t xml:space="preserve">falls to zero</w:t>
        </w:r>
      </w:ins>
      <w:r>
        <w:t xml:space="preserve"> once housing structure and tenure enter, so we build no interpretation on it. The Black-share coefficient is significant in </w:t>
      </w:r>
      <w:del w:id="20225" w:author="Claude" w:date="2026-10-21T00:00:00Z">
        <w:r>
          <w:delText xml:space="preserve">0 of</w:delText>
        </w:r>
      </w:del>
      <w:ins w:id="20226" w:author="Claude" w:date="2026-10-21T00:00:00Z">
        <w:r>
          <w:t xml:space="preserve">none of the</w:t>
        </w:r>
      </w:ins>
      <w:r>
        <w:t xml:space="preserve"> 48 specification-curve combinations</w:t>
      </w:r>
      <w:del w:id="20227" w:author="Claude" w:date="2026-10-21T00:00:00Z">
        <w:r>
          <w:delText xml:space="preserve"> despite appearing significant in individual specifications — the clearest case in the study of a coefficient that should not be reported from one model alone</w:delText>
        </w:r>
      </w:del>
      <w:ins w:id="20228" w:author="Claude" w:date="2026-10-21T00:00:00Z">
        <w:r>
          <w:t xml:space="preserve">. The poverty association is also absorbed once housing structure and tenure enter (Table 2), so higher charger counts in poorer areas track their denser, more rented housing stock rather than poverty as such</w:t>
        </w:r>
      </w:ins>
      <w:r>
        <w:t xml:space="preserve">.</w:t>
      </w:r>
    </w:p>
    <w:p w14:paraId="64C82E65" w14:textId="77777777" w:rsidR="00792889" w:rsidRDefault="00792889" w:rsidP="00792889">
      <w:r>
        <w:t xml:space="preserve">The charger-type decomposition clarifies what the aggregate is measuring. The positive association with poverty is driven by Level 2 units; for DC fast chargers the coefficient is positive but imprecisely estimated (</w:t>
      </w:r>
      <w:del w:id="20229" w:author="Claude" w:date="2026-10-21T00:00:00Z">
        <w:r>
          <w:delText xml:space="preserve">Figure 4,</w:delText>
        </w:r>
      </w:del>
      <w:ins w:id="20230" w:author="Claude" w:date="2026-10-21T00:00:00Z">
        <w:r>
          <w:t xml:space="preserve">Fig. 4;</w:t>
        </w:r>
      </w:ins>
      <w:r>
        <w:t xml:space="preserve">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w:t>
      </w:r>
      <w:del w:id="20231" w:author="Claude" w:date="2026-10-21T00:00:00Z">
        <w:r>
          <w:delText xml:space="preserve"> rather than the slowest ports</w:delText>
        </w:r>
      </w:del>
      <w:r>
        <w:t xml:space="preserve">, the pattern is consistent with siting driven by commercial </w:t>
      </w:r>
      <w:del w:id="20232" w:author="Claude" w:date="2026-10-21T00:00:00Z">
        <w:r>
          <w:delText xml:space="preserve">and industrial activity</w:delText>
        </w:r>
      </w:del>
      <w:ins w:id="20233" w:author="Claude" w:date="2026-10-21T00:00:00Z">
        <w:r>
          <w:t xml:space="preserve">activity and density</w:t>
        </w:r>
      </w:ins>
      <w:r>
        <w:t xml:space="preserve"> rather than by household-serving provision. </w:t>
      </w:r>
      <w:del w:id="20234" w:author="Claude" w:date="2026-10-21T00:00:00Z">
        <w:r>
          <w:delText xml:space="preserve">We treat that</w:delText>
        </w:r>
      </w:del>
      <w:ins w:id="20235" w:author="Claude" w:date="2026-10-21T00:00:00Z">
        <w:r>
          <w:t xml:space="preserve">This</w:t>
        </w:r>
      </w:ins>
      <w:r>
        <w:t xml:space="preserve"> siting interpretation </w:t>
      </w:r>
      <w:del w:id="20236" w:author="Claude" w:date="2026-10-21T00:00:00Z">
        <w:r>
          <w:delText xml:space="preserve">as</w:delText>
        </w:r>
      </w:del>
      <w:ins w:id="20237" w:author="Claude" w:date="2026-10-21T00:00:00Z">
        <w:r>
          <w:t xml:space="preserve">is</w:t>
        </w:r>
      </w:ins>
      <w:r>
        <w:t xml:space="preserve"> a hypothesis: the </w:t>
      </w:r>
      <w:del w:id="20238" w:author="Claude" w:date="2026-10-21T00:00:00Z">
        <w:r>
          <w:delText xml:space="preserve">dataset carries</w:delText>
        </w:r>
      </w:del>
      <w:ins w:id="20239" w:author="Claude" w:date="2026-10-21T00:00:00Z">
        <w:r>
          <w:t xml:space="preserve">data carry</w:t>
        </w:r>
      </w:ins>
      <w:r>
        <w:t xml:space="preserve"> no charger-host or facility-type field</w:t>
      </w:r>
      <w:del w:id="20240" w:author="Claude" w:date="2026-10-21T00:00:00Z">
        <w:r>
          <w:delText xml:space="preserve">, so it is not directly tested here</w:delText>
        </w:r>
      </w:del>
      <w:r>
        <w:t xml:space="preserve">. What the data do establish is narrower </w:t>
      </w:r>
      <w:del w:id="20241" w:author="Claude" w:date="2026-10-21T00:00:00Z">
        <w:r>
          <w:delText xml:space="preserve">and still</w:delText>
        </w:r>
      </w:del>
      <w:ins w:id="20242" w:author="Claude" w:date="2026-10-21T00:00:00Z">
        <w:r>
          <w:t xml:space="preserve">but</w:t>
        </w:r>
      </w:ins>
      <w:r>
        <w:t xml:space="preserve"> consequential</w:t>
      </w:r>
      <w:del w:id="20243" w:author="Claude" w:date="2026-10-21T00:00:00Z">
        <w:r>
          <w:delText xml:space="preserve"> —</w:delText>
        </w:r>
      </w:del>
      <w:ins w:id="20244" w:author="Claude" w:date="2026-10-21T00:00:00Z">
        <w:r>
          <w:t xml:space="preserve">:</w:t>
        </w:r>
      </w:ins>
      <w:r>
        <w:t xml:space="preserve"> a higher</w:t>
      </w:r>
      <w:ins w:id="20245" w:author="Claude" w:date="2026-10-21T00:00:00Z">
        <w:r>
          <w:t xml:space="preserve"> public</w:t>
        </w:r>
      </w:ins>
      <w:r>
        <w:t xml:space="preserve"> charger count in a </w:t>
      </w:r>
      <w:del w:id="20246" w:author="Claude" w:date="2026-10-21T00:00:00Z">
        <w:r>
          <w:delText xml:space="preserve">higher-poverty</w:delText>
        </w:r>
      </w:del>
      <w:ins w:id="20247" w:author="Claude" w:date="2026-10-21T00:00:00Z">
        <w:r>
          <w:t xml:space="preserve">poorer</w:t>
        </w:r>
      </w:ins>
      <w:r>
        <w:t xml:space="preserve"> ZCTA is not evidence of better household charging access, because the counts </w:t>
      </w:r>
      <w:del w:id="20248" w:author="Claude" w:date="2026-10-21T00:00:00Z">
        <w:r>
          <w:delText xml:space="preserve">do not include the</w:delText>
        </w:r>
      </w:del>
      <w:ins w:id="20249" w:author="Claude" w:date="2026-10-21T00:00:00Z">
        <w:r>
          <w:t xml:space="preserve">exclude home</w:t>
        </w:r>
      </w:ins>
      <w:r>
        <w:t xml:space="preserve"> charging </w:t>
      </w:r>
      <w:del w:id="20250" w:author="Claude" w:date="2026-10-21T00:00:00Z">
        <w:r>
          <w:delText xml:space="preserve">that households actually use</w:delText>
        </w:r>
      </w:del>
      <w:ins w:id="20251" w:author="Claude" w:date="2026-10-21T00:00:00Z">
        <w:r>
          <w:t xml:space="preserve">altogether</w:t>
        </w:r>
      </w:ins>
      <w:r>
        <w:t xml:space="preserv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423724"/>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423724"/>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r>
        <w:t xml:space="preserve">Fig. 4 | </w:t>
      </w:r>
      <w:del w:id="20252" w:author="Claude" w:date="2026-10-21T00:00:00Z">
        <w:r>
          <w:delText xml:space="preserve">Charger-type decomposition</w:delText>
        </w:r>
      </w:del>
      <w:ins w:id="20253" w:author="Claude" w:date="2026-10-21T00:00:00Z">
        <w:r>
          <w:t xml:space="preserve">The charging–poverty association is carried by Level 2 units</w:t>
        </w:r>
      </w:ins>
      <w:r>
        <w:t xml:space="preserve">. Baseline coefficients for aggregate charging and for Level 1, Level 2 and DC fast units separately</w:t>
      </w:r>
      <w:del w:id="20254" w:author="Claude" w:date="2026-10-21T00:00:00Z">
        <w:r>
          <w:delText xml:space="preserve">. The positive association with poverty is carried by Level 2 units;</w:delText>
        </w:r>
      </w:del>
      <w:ins w:id="20255" w:author="Claude" w:date="2026-10-21T00:00:00Z">
        <w:r>
          <w:t xml:space="preserve">; filled markers denote p &lt; 0.05.</w:t>
        </w:r>
      </w:ins>
      <w:r>
        <w:t xml:space="preserve"> Level 1 is zero in 97.8 percent of ZCTAs and is shown for completeness only.</w:t>
      </w:r>
    </w:p>
    <w:p w14:paraId="21EACC0E" w14:textId="77777777" w:rsidR="00792889" w:rsidRDefault="00792889" w:rsidP="00792889">
      <w:pPr>
        <w:pStyle w:val="Heading2"/>
      </w:pPr>
      <w:commentRangeStart w:id="12"/>
      <w:commentRangeStart w:id="19"/>
      <w:del w:id="20256" w:author="Claude" w:date="2026-10-21T00:00:00Z">
        <w:r>
          <w:delText xml:space="preserve">Disparities under a fully stacked</w:delText>
        </w:r>
      </w:del>
      <w:ins w:id="20257" w:author="Claude" w:date="2026-10-21T00:00:00Z">
        <w:r>
          <w:t xml:space="preserve">The strictest</w:t>
        </w:r>
      </w:ins>
      <w:r>
        <w:t xml:space="preserve"> specification</w:t>
      </w:r>
      <w:ins w:id="20258" w:author="Claude" w:date="2026-10-21T00:00:00Z">
        <w:r>
          <w:t xml:space="preserve"> preserves the same ordering</w:t>
        </w:r>
      </w:ins>
      <w:commentRangeEnd w:id="19"/>
      <w:commentRangeEnd w:id="12"/>
      <w:r>
        <w:rPr>
          <w:rStyle w:val="CommentReference"/>
          <w:sz w:val="26"/>
          <w:szCs w:val="26"/>
        </w:rPr>
        <w:commentReference w:id="12"/>
      </w:r>
      <w:r>
        <w:rPr>
          <w:rStyle w:val="CommentReference"/>
        </w:rPr>
        <w:commentReference w:id="19"/>
      </w:r>
    </w:p>
    <w:p w14:paraId="47A3063C" w14:textId="77777777" w:rsidR="00792889" w:rsidRDefault="00792889" w:rsidP="00792889">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w:t>
      </w:r>
      <w:del w:id="20259" w:author="Claude" w:date="2026-10-21T00:00:00Z">
        <w:r>
          <w:delText xml:space="preserve">Table S5 and</w:delText>
        </w:r>
      </w:del>
      <w:ins w:id="20260" w:author="Claude" w:date="2026-10-21T00:00:00Z">
        <w:r>
          <w:t xml:space="preserve">Note S2,</w:t>
        </w:r>
      </w:ins>
      <w:r>
        <w:t xml:space="preserve"> Supplementary Fig. S4</w:t>
      </w:r>
      <w:ins w:id="20261" w:author="Claude" w:date="2026-10-21T00:00:00Z">
        <w:r>
          <w:t xml:space="preserve"> and Supplementary Table S5</w:t>
        </w:r>
      </w:ins>
      <w:r>
        <w:t xml:space="preserve">).</w:t>
      </w:r>
    </w:p>
    <w:p w14:paraId="5432FAC5" w14:textId="77777777" w:rsidR="00792889" w:rsidRDefault="00792889" w:rsidP="00792889">
      <w:r>
        <w:t xml:space="preserve">Coefficients </w:t>
      </w:r>
      <w:del w:id="20262" w:author="Claude" w:date="2026-10-21T00:00:00Z">
        <w:r>
          <w:delText xml:space="preserve">attenuate</w:delText>
        </w:r>
      </w:del>
      <w:ins w:id="20263" w:author="Claude" w:date="2026-10-21T00:00:00Z">
        <w:r>
          <w:t xml:space="preserve">shrink</w:t>
        </w:r>
      </w:ins>
      <w:r>
        <w:t xml:space="preserve"> by roughly </w:t>
      </w:r>
      <w:del w:id="20264" w:author="Claude" w:date="2026-10-21T00:00:00Z">
        <w:r>
          <w:delText xml:space="preserve">two-thirds to three-quarters</w:delText>
        </w:r>
      </w:del>
      <w:ins w:id="20265" w:author="Claude" w:date="2026-10-21T00:00:00Z">
        <w:r>
          <w:t xml:space="preserve">40 to 90 percent between the first and last rungs</w:t>
        </w:r>
      </w:ins>
      <w:r>
        <w:t xml:space="preserve">,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w:t>
      </w:r>
      <w:ins w:id="20266" w:author="Claude" w:date="2026-10-21T00:00:00Z">
        <w:r>
          <w:t xml:space="preserve">, and neither does the poverty association, which falls from 0.127 to 0.009</w:t>
        </w:r>
      </w:ins>
      <w:r>
        <w:t xml:space="preserve">. The fully stacked estimates are the conservative reading of the same pattern the model series shows, and they </w:t>
      </w:r>
      <w:del w:id="20267" w:author="Claude" w:date="2026-10-21T00:00:00Z">
        <w:r>
          <w:delText xml:space="preserve">place storage, solar and charging</w:delText>
        </w:r>
      </w:del>
      <w:ins w:id="20268" w:author="Claude" w:date="2026-10-21T00:00:00Z">
        <w:r>
          <w:t xml:space="preserve">rank the technologies</w:t>
        </w:r>
      </w:ins>
      <w:r>
        <w:t xml:space="preserve"> in the same order</w:t>
      </w:r>
      <w:ins w:id="20269" w:author="Claude" w:date="2026-10-21T00:00:00Z">
        <w:r>
          <w:t xml:space="preserve">: storage, then solar, then charging</w:t>
        </w:r>
      </w:ins>
      <w:r>
        <w:t xml:space="preserve"> (Table 2).</w:t>
      </w:r>
    </w:p>
    <w:p w14:paraId="42CB42A4" w14:textId="77777777" w:rsidR="00792889" w:rsidRDefault="00792889" w:rsidP="00792889">
      <w:pPr>
        <w:pStyle w:val="Caption"/>
      </w:pPr>
      <w:commentRangeStart w:id="22"/>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commentRangeEnd w:id="22"/>
      <w:r>
        <w:rPr>
          <w:rStyle w:val="CommentReference"/>
        </w:rPr>
        <w:commentReference w:id="22"/>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del w:id="30030" w:author="Claude" w:date="2026-10-23T00:00:00Z">
              <w:r>
                <w:delText xml:space="preserve">−0.154***</w:delText>
              </w:r>
            </w:del>
            <w:ins w:id="30031" w:author="Claude" w:date="2026-10-23T00:00:00Z">
              <w:r>
                <w:t xml:space="preserve">−0.155***</w:t>
              </w:r>
            </w:ins>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del w:id="30032" w:author="Claude" w:date="2026-10-23T00:00:00Z">
              <w:r>
                <w:delText xml:space="preserve">significant, 5%</w:delText>
              </w:r>
            </w:del>
            <w:ins w:id="30033" w:author="Claude" w:date="2026-10-23T00:00:00Z">
              <w:r>
                <w:t xml:space="preserve">not significant</w:t>
              </w:r>
            </w:ins>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del w:id="30034" w:author="Claude" w:date="2026-10-23T00:00:00Z">
              <w:r>
                <w:delText xml:space="preserve">1.57</w:delText>
              </w:r>
            </w:del>
            <w:ins w:id="30035" w:author="Claude" w:date="2026-10-23T00:00:00Z">
              <w:r>
                <w:t xml:space="preserve">1.56</w:t>
              </w:r>
            </w:ins>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del w:id="30036" w:author="Claude" w:date="2026-10-23T00:00:00Z">
              <w:r>
                <w:delText xml:space="preserve">0.173**</w:delText>
              </w:r>
            </w:del>
            <w:ins w:id="30037" w:author="Claude" w:date="2026-10-23T00:00:00Z">
              <w:r>
                <w:t xml:space="preserve">0.174**</w:t>
              </w:r>
            </w:ins>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del w:id="30038" w:author="Claude" w:date="2026-10-23T00:00:00Z">
              <w:r>
                <w:delText xml:space="preserve">significant, 5%</w:delText>
              </w:r>
            </w:del>
            <w:ins w:id="30039" w:author="Claude" w:date="2026-10-23T00:00:00Z">
              <w:r>
                <w:t xml:space="preserve">significant, 0.1%, every cutoff</w:t>
              </w:r>
            </w:ins>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del w:id="30040" w:author="Claude" w:date="2026-10-23T00:00:00Z">
              <w:r>
                <w:delText xml:space="preserve">−0.103***</w:delText>
              </w:r>
            </w:del>
            <w:ins w:id="30041" w:author="Claude" w:date="2026-10-23T00:00:00Z">
              <w:r>
                <w:t xml:space="preserve">−0.104***</w:t>
              </w:r>
            </w:ins>
          </w:p>
        </w:tc>
        <w:tc>
          <w:tcPr>
            <w:tcW w:w="1166" w:type="dxa"/>
          </w:tcPr>
          <w:p w14:paraId="2D8BB54B" w14:textId="77777777" w:rsidR="00792889" w:rsidRDefault="00792889" w:rsidP="005A421D">
            <w:r>
              <w:t>−0.034**</w:t>
            </w:r>
          </w:p>
        </w:tc>
        <w:tc>
          <w:tcPr>
            <w:tcW w:w="2723" w:type="dxa"/>
          </w:tcPr>
          <w:p w14:paraId="63B6C0A1" w14:textId="77777777" w:rsidR="00792889" w:rsidRDefault="00792889" w:rsidP="005A421D">
            <w:del w:id="30042" w:author="Claude" w:date="2026-10-23T00:00:00Z">
              <w:r>
                <w:delText xml:space="preserve">significant, 5%</w:delText>
              </w:r>
            </w:del>
            <w:ins w:id="30043" w:author="Claude" w:date="2026-10-23T00:00:00Z">
              <w:r>
                <w:t xml:space="preserve">significant, 1%</w:t>
              </w:r>
            </w:ins>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0.71</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del w:id="30044" w:author="Claude" w:date="2026-10-23T00:00:00Z">
              <w:r>
                <w:delText xml:space="preserve">−0.196***</w:delText>
              </w:r>
            </w:del>
            <w:ins w:id="30045" w:author="Claude" w:date="2026-10-23T00:00:00Z">
              <w:r>
                <w:t xml:space="preserve">−0.197***</w:t>
              </w:r>
            </w:ins>
          </w:p>
        </w:tc>
        <w:tc>
          <w:tcPr>
            <w:tcW w:w="1166" w:type="dxa"/>
          </w:tcPr>
          <w:p w14:paraId="42C0947B" w14:textId="77777777" w:rsidR="00792889" w:rsidRDefault="00792889" w:rsidP="005A421D">
            <w:r>
              <w:t>−0.113*</w:t>
            </w:r>
          </w:p>
        </w:tc>
        <w:tc>
          <w:tcPr>
            <w:tcW w:w="2723" w:type="dxa"/>
          </w:tcPr>
          <w:p w14:paraId="710D1AE8" w14:textId="77777777" w:rsidR="00792889" w:rsidRDefault="00792889" w:rsidP="005A421D">
            <w:r>
              <w:t>significant, 1%</w:t>
            </w:r>
          </w:p>
        </w:tc>
        <w:tc>
          <w:tcPr>
            <w:tcW w:w="1260" w:type="dxa"/>
          </w:tcPr>
          <w:p w14:paraId="1ECE2986" w14:textId="77777777" w:rsidR="00792889" w:rsidRDefault="00792889" w:rsidP="005A421D">
            <w:r>
              <w:t>44</w:t>
            </w:r>
          </w:p>
        </w:tc>
        <w:tc>
          <w:tcPr>
            <w:tcW w:w="990" w:type="dxa"/>
          </w:tcPr>
          <w:p w14:paraId="661BBB17" w14:textId="77777777" w:rsidR="00792889" w:rsidRDefault="00792889" w:rsidP="005A421D">
            <w:del w:id="30046" w:author="Claude" w:date="2026-10-23T00:00:00Z">
              <w:r>
                <w:delText xml:space="preserve">1.99</w:delText>
              </w:r>
            </w:del>
            <w:ins w:id="30047" w:author="Claude" w:date="2026-10-23T00:00:00Z">
              <w:r>
                <w:t xml:space="preserve">1.97</w:t>
              </w:r>
            </w:ins>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del w:id="30048" w:author="Claude" w:date="2026-10-23T00:00:00Z">
              <w:r>
                <w:delText xml:space="preserve">−0.248***</w:delText>
              </w:r>
            </w:del>
            <w:ins w:id="30049" w:author="Claude" w:date="2026-10-23T00:00:00Z">
              <w:r>
                <w:t xml:space="preserve">−0.249***</w:t>
              </w:r>
            </w:ins>
          </w:p>
        </w:tc>
        <w:tc>
          <w:tcPr>
            <w:tcW w:w="1166" w:type="dxa"/>
          </w:tcPr>
          <w:p w14:paraId="2BA13FB6" w14:textId="77777777" w:rsidR="00792889" w:rsidRDefault="00792889" w:rsidP="005A421D">
            <w:r>
              <w:t>−0.116***</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del w:id="30050" w:author="Claude" w:date="2026-10-23T00:00:00Z">
              <w:r>
                <w:delText xml:space="preserve">1.29</w:delText>
              </w:r>
            </w:del>
            <w:ins w:id="30051" w:author="Claude" w:date="2026-10-23T00:00:00Z">
              <w:r>
                <w:t xml:space="preserve">1.28</w:t>
              </w:r>
            </w:ins>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del w:id="30052" w:author="Claude" w:date="2026-10-23T00:00:00Z">
              <w:r>
                <w:delText xml:space="preserve">0.220***</w:delText>
              </w:r>
            </w:del>
            <w:ins w:id="30053" w:author="Claude" w:date="2026-10-23T00:00:00Z">
              <w:r>
                <w:t xml:space="preserve">0.219***</w:t>
              </w:r>
            </w:ins>
          </w:p>
        </w:tc>
        <w:tc>
          <w:tcPr>
            <w:tcW w:w="1166" w:type="dxa"/>
          </w:tcPr>
          <w:p w14:paraId="17D3DD45" w14:textId="77777777" w:rsidR="00792889" w:rsidRDefault="00792889" w:rsidP="005A421D">
            <w:r>
              <w:t>0.087</w:t>
            </w:r>
          </w:p>
        </w:tc>
        <w:tc>
          <w:tcPr>
            <w:tcW w:w="2723" w:type="dxa"/>
          </w:tcPr>
          <w:p w14:paraId="35DC4FB9" w14:textId="77777777" w:rsidR="00792889" w:rsidRDefault="00792889" w:rsidP="005A421D">
            <w:r>
              <w:t>significant, 0.1%</w:t>
            </w:r>
          </w:p>
        </w:tc>
        <w:tc>
          <w:tcPr>
            <w:tcW w:w="1260" w:type="dxa"/>
          </w:tcPr>
          <w:p w14:paraId="5FEB33C3" w14:textId="77777777" w:rsidR="00792889" w:rsidRDefault="00792889" w:rsidP="005A421D">
            <w:r>
              <w:t>44</w:t>
            </w:r>
          </w:p>
        </w:tc>
        <w:tc>
          <w:tcPr>
            <w:tcW w:w="990" w:type="dxa"/>
          </w:tcPr>
          <w:p w14:paraId="5D2DAB96" w14:textId="77777777" w:rsidR="00792889" w:rsidRDefault="00792889" w:rsidP="005A421D">
            <w:del w:id="30054" w:author="Claude" w:date="2026-10-23T00:00:00Z">
              <w:r>
                <w:delText xml:space="preserve">0.96</w:delText>
              </w:r>
            </w:del>
            <w:ins w:id="30055" w:author="Claude" w:date="2026-10-23T00:00:00Z">
              <w:r>
                <w:t xml:space="preserve">0.97</w:t>
              </w:r>
            </w:ins>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del w:id="30056" w:author="Claude" w:date="2026-10-23T00:00:00Z">
              <w:r>
                <w:delText xml:space="preserve">−0.097***</w:delText>
              </w:r>
            </w:del>
            <w:ins w:id="30057" w:author="Claude" w:date="2026-10-23T00:00:00Z">
              <w:r>
                <w:t xml:space="preserve">−0.094***</w:t>
              </w:r>
            </w:ins>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del w:id="30058" w:author="Claude" w:date="2026-10-23T00:00:00Z">
              <w:r>
                <w:delText xml:space="preserve">22</w:delText>
              </w:r>
            </w:del>
            <w:ins w:id="30059" w:author="Claude" w:date="2026-10-23T00:00:00Z">
              <w:r>
                <w:t xml:space="preserve">21</w:t>
              </w:r>
            </w:ins>
          </w:p>
        </w:tc>
        <w:tc>
          <w:tcPr>
            <w:tcW w:w="990" w:type="dxa"/>
          </w:tcPr>
          <w:p w14:paraId="76086EA9" w14:textId="77777777" w:rsidR="00792889" w:rsidRDefault="00792889" w:rsidP="005A421D">
            <w:del w:id="30060" w:author="Claude" w:date="2026-10-23T00:00:00Z">
              <w:r>
                <w:delText xml:space="preserve">1.50</w:delText>
              </w:r>
            </w:del>
            <w:ins w:id="30061" w:author="Claude" w:date="2026-10-23T00:00:00Z">
              <w:r>
                <w:t xml:space="preserve">1.58</w:t>
              </w:r>
            </w:ins>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del w:id="30062" w:author="Claude" w:date="2026-10-23T00:00:00Z">
              <w:r>
                <w:delText xml:space="preserve">significant at 50 and 200 km only</w:delText>
              </w:r>
            </w:del>
            <w:ins w:id="30063" w:author="Claude" w:date="2026-10-23T00:00:00Z">
              <w:r>
                <w:t xml:space="preserve">significant, 5%</w:t>
              </w:r>
            </w:ins>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del w:id="30064" w:author="Claude" w:date="2026-10-23T00:00:00Z">
              <w:r>
                <w:delText xml:space="preserve">0.97</w:delText>
              </w:r>
            </w:del>
            <w:ins w:id="30065" w:author="Claude" w:date="2026-10-23T00:00:00Z">
              <w:r>
                <w:t xml:space="preserve">0.94</w:t>
              </w:r>
            </w:ins>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del w:id="20463" w:author="Claude" w:date="2026-10-21T00:00:00Z">
              <w:r>
                <w:delText xml:space="preserve">—</w:delText>
              </w:r>
            </w:del>
            <w:ins w:id="20464" w:author="Claude" w:date="2026-10-21T00:00:00Z">
              <w:r>
                <w:t xml:space="preserve">0.127**</w:t>
              </w:r>
            </w:ins>
          </w:p>
        </w:tc>
        <w:tc>
          <w:tcPr>
            <w:tcW w:w="1166" w:type="dxa"/>
          </w:tcPr>
          <w:p w14:paraId="523AAE19" w14:textId="77777777" w:rsidR="00792889" w:rsidRDefault="00792889" w:rsidP="005A421D">
            <w:del w:id="20465" w:author="Claude" w:date="2026-10-21T00:00:00Z">
              <w:r>
                <w:delText xml:space="preserve">—</w:delText>
              </w:r>
            </w:del>
            <w:ins w:id="20466" w:author="Claude" w:date="2026-10-21T00:00:00Z">
              <w:r>
                <w:t xml:space="preserve">0.009</w:t>
              </w:r>
            </w:ins>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del w:id="20270" w:author="Claude" w:date="2026-10-21T00:00:00Z">
        <w:r>
          <w:delText xml:space="preserve">Affordability context</w:delText>
        </w:r>
      </w:del>
      <w:ins w:id="20271" w:author="Claude" w:date="2026-10-21T00:00:00Z">
        <w:r>
          <w:t xml:space="preserve">Energy burden is itself demographically patterned</w:t>
        </w:r>
      </w:ins>
    </w:p>
    <w:p w14:paraId="03C0F497" w14:textId="77777777" w:rsidR="00792889" w:rsidRDefault="00792889" w:rsidP="00792889">
      <w:r>
        <w:t xml:space="preserve">The energy-burden outcomes provide affordability context rather than orthogonal controls: burden is strongly negatively correlated with income (−0.75) and </w:t>
      </w:r>
      <w:del w:id="30000" w:author="Claude" w:date="2026-10-23T00:00:00Z">
        <w:r>
          <w:delText xml:space="preserve">positively with poverty (0.55)</w:delText>
        </w:r>
      </w:del>
      <w:ins w:id="30001" w:author="Claude" w:date="2026-10-23T00:00:00Z">
        <w:r>
          <w:t xml:space="preserve">positively with poverty (0.54)</w:t>
        </w:r>
      </w:ins>
      <w:r>
        <w:t xml:space="preserve">. Income is strongly negative for both burden measures and Hispanic share positive, </w:t>
      </w:r>
      <w:del w:id="20272" w:author="Claude" w:date="2026-10-21T00:00:00Z">
        <w:r>
          <w:delText xml:space="preserve">consistent with</w:delText>
        </w:r>
      </w:del>
      <w:ins w:id="20273" w:author="Claude" w:date="2026-10-21T00:00:00Z">
        <w:r>
          <w:t xml:space="preserve">so</w:t>
        </w:r>
      </w:ins>
      <w:r>
        <w:t xml:space="preserve"> affordability stress </w:t>
      </w:r>
      <w:del w:id="20274" w:author="Claude" w:date="2026-10-21T00:00:00Z">
        <w:r>
          <w:delText xml:space="preserve">being</w:delText>
        </w:r>
      </w:del>
      <w:ins w:id="20275" w:author="Claude" w:date="2026-10-21T00:00:00Z">
        <w:r>
          <w:t xml:space="preserve">is</w:t>
        </w:r>
      </w:ins>
      <w:r>
        <w:t xml:space="preserve"> itself demographically structured</w:t>
      </w:r>
      <w:ins w:id="20276" w:author="Claude" w:date="2026-10-21T00:00:00Z">
        <w:r>
          <w:t xml:space="preserve">, and high-Hispanic-share areas combine greater cost stress with lower storage deployment</w:t>
        </w:r>
      </w:ins>
      <w:r>
        <w:t xml:space="preserve">.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pPrChange w:id="20468" w:author="Claude" w:date="2026-10-21T00:00:00Z">
          <w:pPr>
            <w:pStyle w:val="Heading1"/>
            <w:numPr>
              <w:ilvl w:val="0"/>
              <w:numId w:val="11"/>
            </w:numPr>
          </w:pPr>
        </w:pPrChange>
      </w:pPr>
      <w:bookmarkStart w:id="13" w:name="_Ref_sec_discussion"/>
      <w:r>
        <w:t>Discussion</w:t>
      </w:r>
      <w:bookmarkEnd w:id="13"/>
    </w:p>
    <w:p w14:paraId="2716518C" w14:textId="77777777" w:rsidR="00792889" w:rsidRDefault="00792889" w:rsidP="00792889">
      <w:pPr>
        <w:pStyle w:val="Heading2"/>
      </w:pPr>
      <w:r>
        <w:t xml:space="preserve">What </w:t>
      </w:r>
      <w:del w:id="20277" w:author="Claude" w:date="2026-10-21T00:00:00Z">
        <w:r>
          <w:delText xml:space="preserve">persists and what changes across technologies</w:delText>
        </w:r>
      </w:del>
      <w:ins w:id="20278" w:author="Claude" w:date="2026-10-21T00:00:00Z">
        <w:r>
          <w:t xml:space="preserve">the multi-technology comparison shows</w:t>
        </w:r>
      </w:ins>
    </w:p>
    <w:p w14:paraId="1E431FE8" w14:textId="77777777" w:rsidR="00792889" w:rsidRDefault="00792889" w:rsidP="00792889">
      <w:r>
        <w:t xml:space="preserve">The clean energy transition does not reproduce inequality in the same way across technologies</w:t>
      </w:r>
      <w:del w:id="20279" w:author="Claude" w:date="2026-10-21T00:00:00Z">
        <w:r>
          <w:delText xml:space="preserve">. Storage is the clearest case: the deepest disparities in the study, stable across every specification in the model series, and</w:delText>
        </w:r>
      </w:del>
      <w:ins w:id="20280" w:author="Claude" w:date="2026-10-21T00:00:00Z">
        <w:r>
          <w:t xml:space="preserve">, and comparing them directly yields four findings. First, storage shows the most persistent disparities: it is</w:t>
        </w:r>
      </w:ins>
      <w:r>
        <w:t xml:space="preserve"> the only outcome whose race </w:t>
      </w:r>
      <w:ins w:id="20281" w:author="Claude" w:date="2026-10-21T00:00:00Z">
        <w:r>
          <w:t xml:space="preserve">and ethnicity </w:t>
        </w:r>
      </w:ins>
      <w:r>
        <w:t xml:space="preserve">coefficients</w:t>
      </w:r>
      <w:ins w:id="20282" w:author="Claude" w:date="2026-10-21T00:00:00Z">
        <w:r>
          <w:t xml:space="preserve"> all</w:t>
        </w:r>
      </w:ins>
      <w:r>
        <w:t xml:space="preserve"> survive </w:t>
      </w:r>
      <w:del w:id="20283" w:author="Claude" w:date="2026-10-21T00:00:00Z">
        <w:r>
          <w:delText xml:space="preserve">a fully stacked specification, a specification curve and a spatial error model alike. Rooftop</w:delText>
        </w:r>
      </w:del>
      <w:ins w:id="20284" w:author="Claude" w:date="2026-10-21T00:00:00Z">
        <w:r>
          <w:t xml:space="preserve">every robustness family, and its gap is not explained by unequal solar adoption. Second, rooftop</w:t>
        </w:r>
      </w:ins>
      <w:r>
        <w:t xml:space="preserve"> solar shows racial </w:t>
      </w:r>
      <w:del w:id="20285" w:author="Claude" w:date="2026-10-21T00:00:00Z">
        <w:r>
          <w:delText xml:space="preserve">and socioeconomic patterning</w:delText>
        </w:r>
      </w:del>
      <w:ins w:id="20286" w:author="Claude" w:date="2026-10-21T00:00:00Z">
        <w:r>
          <w:t xml:space="preserve">gaps</w:t>
        </w:r>
      </w:ins>
      <w:r>
        <w:t xml:space="preserve"> that housing composition </w:t>
      </w:r>
      <w:del w:id="20287" w:author="Claude" w:date="2026-10-21T00:00:00Z">
        <w:r>
          <w:delText xml:space="preserve">substantially, though not entirely,</w:delText>
        </w:r>
      </w:del>
      <w:ins w:id="20288" w:author="Claude" w:date="2026-10-21T00:00:00Z">
        <w:r>
          <w:t xml:space="preserve">partly</w:t>
        </w:r>
      </w:ins>
      <w:r>
        <w:t xml:space="preserve"> explains, </w:t>
      </w:r>
      <w:del w:id="20289" w:author="Claude" w:date="2026-10-21T00:00:00Z">
        <w:r>
          <w:delText xml:space="preserve">and whose surviving component is</w:delText>
        </w:r>
      </w:del>
      <w:ins w:id="20290" w:author="Claude" w:date="2026-10-21T00:00:00Z">
        <w:r>
          <w:t xml:space="preserve">with a robust remainder</w:t>
        </w:r>
      </w:ins>
      <w:r>
        <w:t xml:space="preserve"> carried by Asian share rather than </w:t>
      </w:r>
      <w:del w:id="20291" w:author="Claude" w:date="2026-10-21T00:00:00Z">
        <w:r>
          <w:delText xml:space="preserve">by </w:delText>
        </w:r>
      </w:del>
      <w:r>
        <w:t xml:space="preserve">Black share. </w:t>
      </w:r>
      <w:del w:id="20292" w:author="Claude" w:date="2026-10-21T00:00:00Z">
        <w:r>
          <w:delText xml:space="preserve">Aggregate</w:delText>
        </w:r>
      </w:del>
      <w:ins w:id="20293" w:author="Claude" w:date="2026-10-21T00:00:00Z">
        <w:r>
          <w:t xml:space="preserve">Third,</w:t>
        </w:r>
      </w:ins>
      <w:r>
        <w:t xml:space="preserve"> charging does not fit an underserved-versus-served story at all</w:t>
      </w:r>
      <w:del w:id="20294" w:author="Claude" w:date="2026-10-21T00:00:00Z">
        <w:r>
          <w:delText xml:space="preserve">; the measure mixes infrastructure types that serve different users under different siting logics. A</w:delText>
        </w:r>
      </w:del>
      <w:ins w:id="20295" w:author="Claude" w:date="2026-10-21T00:00:00Z">
        <w:r>
          <w:t xml:space="preserve">: public charger counts are, if anything, higher in poorer areas, but they exclude home charging and track the housing stock rather than household access. Fourth, because the patterns differ, progress in one technology is not evidence of progress in another: a</w:t>
        </w:r>
      </w:ins>
      <w:r>
        <w:t xml:space="preserve"> community that appears</w:t>
      </w:r>
      <w:del w:id="20296" w:author="Claude" w:date="2026-10-21T00:00:00Z">
        <w:r>
          <w:delText xml:space="preserve"> relatively</w:delText>
        </w:r>
      </w:del>
      <w:r>
        <w:t xml:space="preserve">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w:t>
      </w:r>
      <w:del w:id="20297" w:author="Claude" w:date="2026-10-21T00:00:00Z">
        <w:r>
          <w:delText xml:space="preserve">larger and </w:delText>
        </w:r>
      </w:del>
      <w:r>
        <w:t xml:space="preserve">more stable disparities are consistent with higher upfront capital requirements</w:t>
      </w:r>
      <w:del w:id="20298" w:author="Claude" w:date="2026-10-21T00:00:00Z">
        <w:r>
          <w:delText xml:space="preserve">, dependence on bundled solar-plus-storage pathways</w:delText>
        </w:r>
      </w:del>
      <w:r>
        <w:t xml:space="preserve"> and programmatic complexity that advantages already well-positioned households</w:t>
      </w:r>
      <w:ins w:id="20299" w:author="Claude" w:date="2026-10-21T00:00:00Z">
        <w:r>
          <w:t xml:space="preserve">; that the gap survives conditioning on local solar suggests these barriers operate beyond bundled solar-plus-storage pathways</w:t>
        </w:r>
      </w:ins>
      <w:r>
        <w:t xml:space="preserve">.</w:t>
      </w:r>
    </w:p>
    <w:p w14:paraId="33E910A6" w14:textId="77777777" w:rsidR="00792889" w:rsidRDefault="00792889" w:rsidP="00792889">
      <w:r>
        <w:t xml:space="preserve">One result runs against the expected direction</w:t>
      </w:r>
      <w:del w:id="20300" w:author="Claude" w:date="2026-10-21T00:00:00Z">
        <w:r>
          <w:delText xml:space="preserve"> and deserves its own explanation</w:delText>
        </w:r>
      </w:del>
      <w:r>
        <w:t xml:space="preserve">. Adding the full confounder set does not shrink the PV income coefficient</w:t>
      </w:r>
      <w:del w:id="20301" w:author="Claude" w:date="2026-10-21T00:00:00Z">
        <w:r>
          <w:delText xml:space="preserve">; it increases it. Education, housing value, structure, tenure and geography together leave the income gradient in rooftop solar larger than</w:delText>
        </w:r>
      </w:del>
      <w:ins w:id="20302" w:author="Claude" w:date="2026-10-21T00:00:00Z">
        <w:r>
          <w:t xml:space="preserve">: it is essentially unchanged between</w:t>
        </w:r>
      </w:ins>
      <w:r>
        <w:t xml:space="preserve"> the core </w:t>
      </w:r>
      <w:del w:id="20303" w:author="Claude" w:date="2026-10-21T00:00:00Z">
        <w:r>
          <w:delText xml:space="preserve">specification implies, which is the opposite of what omitted-variable reasoning predicts and why</w:delText>
        </w:r>
      </w:del>
      <w:ins w:id="20304" w:author="Claude" w:date="2026-10-21T00:00:00Z">
        <w:r>
          <w:t xml:space="preserve">and fully stacked specifications (</w:t>
        </w:r>
        <w:del w:id="30075" w:author="Claude" w:date="2026-10-23T00:00:00Z">
          <w:r>
            <w:delText xml:space="preserve">0.173 and 0.188</w:delText>
          </w:r>
        </w:del>
      </w:ins>
      <w:ins w:id="30076" w:author="Claude" w:date="2026-10-23T00:00:00Z">
        <w:r>
          <w:t xml:space="preserve">0.174 and 0.188</w:t>
        </w:r>
      </w:ins>
      <w:ins w:id="30077" w:author="Claude" w:date="2026-10-21T00:00:00Z">
        <w:r>
          <w:t xml:space="preserve">), though less precisely estimated. Because the coefficient does not attenuate,</w:t>
        </w:r>
      </w:ins>
      <w:r>
        <w:t xml:space="preserve"> the Oster bound is not interpretable for that term. </w:t>
      </w:r>
      <w:del w:id="20305" w:author="Claude" w:date="2026-10-21T00:00:00Z">
        <w:r>
          <w:delText xml:space="preserve">The most</w:delText>
        </w:r>
      </w:del>
      <w:ins w:id="20306" w:author="Claude" w:date="2026-10-21T00:00:00Z">
        <w:r>
          <w:t xml:space="preserve">One</w:t>
        </w:r>
      </w:ins>
      <w:r>
        <w:t xml:space="preserve"> plausible reading is that these controls are absorbing variation that suppresses the income gradient — dense, high-value, high-income submarkets with low </w:t>
      </w:r>
      <w:del w:id="20307" w:author="Claude" w:date="2026-10-21T00:00:00Z">
        <w:r>
          <w:delText xml:space="preserve">owner-occupancy</w:delText>
        </w:r>
      </w:del>
      <w:ins w:id="20308" w:author="Claude" w:date="2026-10-21T00:00:00Z">
        <w:r>
          <w:t xml:space="preserve">owner occupancy</w:t>
        </w:r>
      </w:ins>
      <w:r>
        <w:t xml:space="preserve"> — and that once housing is held fixed, the remaining income effect reflects financing and adoption capacity more directly. If so, the barrier is </w:t>
      </w:r>
      <w:del w:id="20309" w:author="Claude" w:date="2026-10-21T00:00:00Z">
        <w:r>
          <w:delText xml:space="preserve">not price alone but </w:delText>
        </w:r>
      </w:del>
      <w:r>
        <w:t xml:space="preserve">access to capital and to installers</w:t>
      </w:r>
      <w:del w:id="20310" w:author="Claude" w:date="2026-10-21T00:00:00Z">
        <w:r>
          <w:delText xml:space="preserve">, which points at third-party ownership and inclusive financing</w:delText>
        </w:r>
      </w:del>
      <w:r>
        <w:t xml:space="preserve"> rather than </w:t>
      </w:r>
      <w:del w:id="20311" w:author="Claude" w:date="2026-10-21T00:00:00Z">
        <w:r>
          <w:delText xml:space="preserve">at incentive levels</w:delText>
        </w:r>
      </w:del>
      <w:ins w:id="20312" w:author="Claude" w:date="2026-10-21T00:00:00Z">
        <w:r>
          <w:t xml:space="preserve">price alone, a mechanism these data do not test directly</w:t>
        </w:r>
      </w:ins>
      <w:r>
        <w:t xml:space="preserve">.</w:t>
      </w:r>
    </w:p>
    <w:p w14:paraId="0F308B7F" w14:textId="77777777" w:rsidR="00792889" w:rsidRDefault="00792889" w:rsidP="00792889">
      <w:r>
        <w:t xml:space="preserve">For charging, the positive poverty association appears in Level 2 units and </w:t>
      </w:r>
      <w:del w:id="20313" w:author="Claude" w:date="2026-10-21T00:00:00Z">
        <w:r>
          <w:delText xml:space="preserve">not in the aggregate's slowest ports</w:delText>
        </w:r>
      </w:del>
      <w:ins w:id="20314" w:author="Claude" w:date="2026-10-21T00:00:00Z">
        <w:r>
          <w:t xml:space="preserve">disappears once housing structure and tenure are controlled</w:t>
        </w:r>
      </w:ins>
      <w:r>
        <w:t xml:space="preserve">, which is consistent with siting driven by </w:t>
      </w:r>
      <w:del w:id="20315" w:author="Claude" w:date="2026-10-21T00:00:00Z">
        <w:r>
          <w:delText xml:space="preserve">commercial and industrial</w:delText>
        </w:r>
      </w:del>
      <w:ins w:id="20316" w:author="Claude" w:date="2026-10-21T00:00:00Z">
        <w:r>
          <w:t xml:space="preserve">density and commercial</w:t>
        </w:r>
      </w:ins>
      <w:r>
        <w:t xml:space="preserve"> activity rather than household-serving provision</w:t>
      </w:r>
      <w:del w:id="20317" w:author="Claude" w:date="2026-10-21T00:00:00Z">
        <w:r>
          <w:delText xml:space="preserve">. Because the inventory covers only public and shared-use stations, the counts cannot speak to residential charging at all</w:delText>
        </w:r>
      </w:del>
      <w:r>
        <w:t xml:space="preserve">.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 xml:space="preserve">If equity is measured too coarsely, policy can mistake infrastructure counts for access, or progress in one technology for progress in another. The charging result is the sharpest</w:t>
      </w:r>
      <w:ins w:id="20318" w:author="Claude" w:date="2026-10-21T00:00:00Z">
        <w:r>
          <w:t xml:space="preserve"> measurement</w:t>
        </w:r>
      </w:ins>
      <w:r>
        <w:t xml:space="preserve"> case: a deployment target expressed in chargers per capita can be met entirely through commercial siting while household-serving access does not move. The storage result is the sharpest equity case: </w:t>
      </w:r>
      <w:del w:id="20319" w:author="Claude" w:date="2026-10-21T00:00:00Z">
        <w:r>
          <w:delText xml:space="preserve">the </w:delText>
        </w:r>
      </w:del>
      <w:r>
        <w:t xml:space="preserve">communities </w:t>
      </w:r>
      <w:del w:id="20320" w:author="Claude" w:date="2026-10-21T00:00:00Z">
        <w:r>
          <w:delText xml:space="preserve">most exposed to outages and wildfire shutoffs show the lowest deployment</w:delText>
        </w:r>
      </w:del>
      <w:ins w:id="20321" w:author="Claude" w:date="2026-10-21T00:00:00Z">
        <w:r>
          <w:t xml:space="preserve">with larger Black, Hispanic and Asian shares have less</w:t>
        </w:r>
      </w:ins>
      <w:r>
        <w:t xml:space="preserve"> of the technology that buffers </w:t>
      </w:r>
      <w:del w:id="20322" w:author="Claude" w:date="2026-10-21T00:00:00Z">
        <w:r>
          <w:delText xml:space="preserve">them</w:delText>
        </w:r>
      </w:del>
      <w:ins w:id="20323" w:author="Claude" w:date="2026-10-21T00:00:00Z">
        <w:r>
          <w:t xml:space="preserve">outages and wildfire shutoffs</w:t>
        </w:r>
      </w:ins>
      <w:r>
        <w:t xml:space="preserve">, and that gap does not follow solar access. </w:t>
      </w:r>
      <w:del w:id="20324" w:author="Claude" w:date="2026-10-21T00:00:00Z">
        <w:r>
          <w:delText xml:space="preserve">If PV, storage and residentially usable charging remain concentrated in</w:delText>
        </w:r>
      </w:del>
      <w:ins w:id="20325" w:author="Claude" w:date="2026-10-21T00:00:00Z">
        <w:r>
          <w:t xml:space="preserve">Whether it coincides with outage exposure is not tested here and is a priority for future work. The affordability results</w:t>
        </w:r>
      </w:ins>
      <w:r>
        <w:t xml:space="preserve"> already </w:t>
      </w:r>
      <w:del w:id="20326" w:author="Claude" w:date="2026-10-21T00:00:00Z">
        <w:r>
          <w:delText xml:space="preserve">advantaged communities, lower-income and more heavily non-white communities face</w:delText>
        </w:r>
      </w:del>
      <w:ins w:id="20327" w:author="Claude" w:date="2026-10-21T00:00:00Z">
        <w:r>
          <w:t xml:space="preserve">point to</w:t>
        </w:r>
      </w:ins>
      <w:r>
        <w:t xml:space="preserve"> a double burden</w:t>
      </w:r>
      <w:del w:id="20328" w:author="Claude" w:date="2026-10-21T00:00:00Z">
        <w:r>
          <w:delText xml:space="preserve"> — higher exposure to outage risk and cost burden alongside lower</w:delText>
        </w:r>
      </w:del>
      <w:ins w:id="20329" w:author="Claude" w:date="2026-10-21T00:00:00Z">
        <w:r>
          <w:t xml:space="preserve">: high-Hispanic-share communities carry greater energy-cost stress and also have less</w:t>
        </w:r>
      </w:ins>
      <w:r>
        <w:t xml:space="preserve"> access to </w:t>
      </w:r>
      <w:del w:id="20330" w:author="Claude" w:date="2026-10-21T00:00:00Z">
        <w:r>
          <w:delText xml:space="preserve">the technologies that reduce both</w:delText>
        </w:r>
      </w:del>
      <w:ins w:id="20331" w:author="Claude" w:date="2026-10-21T00:00:00Z">
        <w:r>
          <w:t xml:space="preserve">backup power</w:t>
        </w:r>
      </w:ins>
      <w:r>
        <w:t xml:space="preserve">.</w:t>
      </w:r>
    </w:p>
    <w:p w14:paraId="61E979F9" w14:textId="77777777" w:rsidR="00792889" w:rsidRDefault="00792889" w:rsidP="00792889">
      <w:r>
        <w:t xml:space="preserve">That racial disparities persist after income controls, for storage under every specification we examined, is the reason these results bear on race-neutral planning. Eligibility rules keyed only to income or to generic disadvantaged-community designations </w:t>
      </w:r>
      <w:del w:id="20332" w:author="Claude" w:date="2026-10-21T00:00:00Z">
        <w:r>
          <w:delText xml:space="preserve">will</w:delText>
        </w:r>
      </w:del>
      <w:ins w:id="20333" w:author="Claude" w:date="2026-10-21T00:00:00Z">
        <w:r>
          <w:t xml:space="preserve">can</w:t>
        </w:r>
      </w:ins>
      <w:r>
        <w:t xml:space="preserve">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w:t>
      </w:r>
      <w:ins w:id="20334" w:author="Claude" w:date="2026-10-21T00:00:00Z">
        <w:r>
          <w:t xml:space="preserve">, if it reflects financing,</w:t>
        </w:r>
      </w:ins>
      <w:r>
        <w:t xml:space="preser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w:t>
      </w:r>
      <w:ins w:id="20335" w:author="Claude" w:date="2026-10-21T00:00:00Z">
        <w:r>
          <w:t xml:space="preserve"> rather than ride on solar programs</w:t>
        </w:r>
      </w:ins>
      <w:r>
        <w:t xml:space="preserve">, since the storage gap does not follow </w:t>
      </w:r>
      <w:del w:id="20336" w:author="Claude" w:date="2026-10-21T00:00:00Z">
        <w:r>
          <w:delText xml:space="preserve">PV</w:delText>
        </w:r>
      </w:del>
      <w:ins w:id="20337" w:author="Claude" w:date="2026-10-21T00:00:00Z">
        <w:r>
          <w:t xml:space="preserve">solar</w:t>
        </w:r>
      </w:ins>
      <w:r>
        <w:t xml:space="preserve"> access. For charging, procurement targets should measure usable residential access through multifamily, curbside and renter-serving deployment rather than aggregate counts, which </w:t>
      </w:r>
      <w:del w:id="20338" w:author="Claude" w:date="2026-10-21T00:00:00Z">
        <w:r>
          <w:delText xml:space="preserve">the subtype results show </w:delText>
        </w:r>
      </w:del>
      <w:r>
        <w:t xml:space="preserve">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w:t>
      </w:r>
      <w:del w:id="20339" w:author="Claude" w:date="2026-10-21T00:00:00Z">
        <w:r>
          <w:delText xml:space="preserve">at</w:delText>
        </w:r>
      </w:del>
      <w:ins w:id="20340" w:author="Claude" w:date="2026-10-21T00:00:00Z">
        <w:r>
          <w:t xml:space="preserve">to</w:t>
        </w:r>
      </w:ins>
      <w:r>
        <w:t xml:space="preserve"> non-price barriers — installer market penetration, financing access, split incentives for renters — that third-party ownership, on-bill and inclusive financing, and community solar-plus-storage can address where subsidies alone do not.</w:t>
      </w:r>
    </w:p>
    <w:p>
      <w:pPr>
        <w:pStyle w:val="Heading2"/>
        <w:rPr>
          <w:ins w:id="20482" w:author="Claude" w:date="2026-10-21T00:00:00Z"/>
        </w:rPr>
      </w:pPr>
      <w:commentRangeStart w:id="24"/>
      <w:ins w:id="20483" w:author="Claude" w:date="2026-10-21T00:00:00Z">
        <w:r>
          <w:t xml:space="preserve">Conclusions</w:t>
        </w:r>
      </w:ins>
      <w:commentRangeEnd w:id="24"/>
      <w:r>
        <w:rPr>
          <w:rStyle w:val="CommentReference"/>
        </w:rPr>
        <w:commentReference w:id="24"/>
      </w:r>
    </w:p>
    <w:p w14:paraId="5A271621" w14:textId="77777777" w:rsidR="00792889" w:rsidRDefault="00792889" w:rsidP="00792889">
      <w:r>
        <w:t xml:space="preserve">California is both an empirical case and an early warning. As decarbonization expands, the question is not only how quickly DERs diffuse but whether the benefits of that diffusion reduce inequality or reproduce it in new forms. </w:t>
      </w:r>
      <w:del w:id="20341" w:author="Claude" w:date="2026-10-21T00:00:00Z">
        <w:r>
          <w:delText xml:space="preserve">Answering it requires a multi-technology equity lens rather than a single-technology one</w:delText>
        </w:r>
      </w:del>
      <w:ins w:id="20342" w:author="Claude" w:date="2026-10-21T00:00:00Z">
        <w:r>
          <w:t xml:space="preserve">Our results are area-level associations, not causal effects</w:t>
        </w:r>
      </w:ins>
      <w:r>
        <w:t xml:space="preserve">, and </w:t>
      </w:r>
      <w:del w:id="20343" w:author="Claude" w:date="2026-10-21T00:00:00Z">
        <w:r>
          <w:delText xml:space="preserve">measurement that distinguishes infrastructure presence</w:delText>
        </w:r>
      </w:del>
      <w:ins w:id="20344" w:author="Claude" w:date="2026-10-21T00:00:00Z">
        <w:r>
          <w:t xml:space="preserve">household-level and longitudinal data are needed to identify mechanisms. The central lesson, however, does not depend on mechanism: inequity in DER adoption is technology-specific, so it cannot be tracked with one aggregate metric or with deployment counts. Planning should measure, for each technology, who can use, benefit</w:t>
        </w:r>
      </w:ins>
      <w:r>
        <w:t xml:space="preserve"> from </w:t>
      </w:r>
      <w:del w:id="20345" w:author="Claude" w:date="2026-10-21T00:00:00Z">
        <w:r>
          <w:delText xml:space="preserve">usable benefit</w:delText>
        </w:r>
      </w:del>
      <w:ins w:id="20346" w:author="Claude" w:date="2026-10-21T00:00:00Z">
        <w:r>
          <w:t xml:space="preserve">and rely on it</w:t>
        </w:r>
      </w:ins>
      <w:r>
        <w:t xml:space="preserve">.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pPrChange w:id="20469" w:author="Claude" w:date="2026-10-21T00:00:00Z">
          <w:pPr>
            <w:pStyle w:val="Heading1"/>
            <w:numPr>
              <w:ilvl w:val="0"/>
              <w:numId w:val="11"/>
            </w:numPr>
          </w:pPr>
        </w:pPrChange>
      </w:pPr>
      <w:bookmarkStart w:id="14" w:name="_Ref_sec_methods"/>
      <w:r>
        <w:t>Methods</w:t>
      </w:r>
      <w:bookmarkEnd w:id="14"/>
    </w:p>
    <w:p w14:paraId="26E996A8" w14:textId="77777777" w:rsidR="00792889" w:rsidRDefault="00792889" w:rsidP="00792889">
      <w:pPr>
        <w:pStyle w:val="Heading2"/>
        <w:pPrChange w:id="20470" w:author="Claude" w:date="2026-10-21T00:00:00Z">
          <w:pPr>
            <w:pStyle w:val="Heading2"/>
            <w:numPr>
              <w:ilvl w:val="1"/>
              <w:numId w:val="11"/>
            </w:numPr>
          </w:pPr>
        </w:pPrChange>
      </w:pPr>
      <w:r>
        <w:t xml:space="preserve">Empirical </w:t>
      </w:r>
      <w:del w:id="20347" w:author="Claude" w:date="2026-10-21T00:00:00Z">
        <w:r>
          <w:delText xml:space="preserve">Approach</w:delText>
        </w:r>
      </w:del>
      <w:ins w:id="20348" w:author="Claude" w:date="2026-10-21T00:00:00Z">
        <w:r>
          <w:t xml:space="preserve">approach</w:t>
        </w:r>
      </w:ins>
    </w:p>
    <w:p w14:paraId="6A457189" w14:textId="77777777" w:rsidR="00792889" w:rsidRDefault="00792889" w:rsidP="00792889">
      <w:r>
        <w:t xml:space="preserve">This paper uses a cross-sectional regression framework to examine whether racial/ethnic and socioeconomic differences are associated with distributed energy resource adoption across California ZCTAs. The </w:t>
      </w:r>
      <w:del w:id="20349" w:author="Claude" w:date="2026-10-21T00:00:00Z">
        <w:r>
          <w:delText xml:space="preserve">main </w:delText>
        </w:r>
      </w:del>
      <w:r>
        <w:t xml:space="preserve">goal is not prediction but</w:t>
      </w:r>
      <w:del w:id="20350" w:author="Claude" w:date="2026-10-21T00:00:00Z">
        <w:r>
          <w:delText xml:space="preserve"> is</w:delText>
        </w:r>
      </w:del>
      <w:r>
        <w:t xml:space="preserve">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p>
    <w:p w14:paraId="0521920E" w14:textId="77777777" w:rsidR="00792889" w:rsidRDefault="00792889" w:rsidP="00792889">
      <w:r>
        <w:t xml:space="preserve">We report the </w:t>
      </w:r>
      <w:del w:id="20351" w:author="Claude" w:date="2026-10-21T00:00:00Z">
        <w:r>
          <w:delText xml:space="preserve">ladder</w:delText>
        </w:r>
      </w:del>
      <w:ins w:id="20352" w:author="Claude" w:date="2026-10-21T00:00:00Z">
        <w:r>
          <w:t xml:space="preserve">model series</w:t>
        </w:r>
      </w:ins>
      <w:r>
        <w:t xml:space="preserve"> as a sequence of separate specifications rather than as one fully stacked model</w:t>
      </w:r>
      <w:del w:id="20353" w:author="Claude" w:date="2026-10-21T00:00:00Z">
        <w:r>
          <w:delText xml:space="preserve">. We do also provide a stacked</w:delText>
        </w:r>
      </w:del>
      <w:ins w:id="20354" w:author="Claude" w:date="2026-10-21T00:00:00Z">
        <w:r>
          <w:t xml:space="preserve">, and complement it with the nested cumulative</w:t>
        </w:r>
      </w:ins>
      <w:r>
        <w:t xml:space="preserve"> ladder </w:t>
      </w:r>
      <w:del w:id="20355" w:author="Claude" w:date="2026-10-21T00:00:00Z">
        <w:r>
          <w:delText xml:space="preserve">within the appendix – the results still show disparities between races</w:delText>
        </w:r>
      </w:del>
      <w:ins w:id="20356" w:author="Claude" w:date="2026-10-21T00:00:00Z">
        <w:r>
          <w:t xml:space="preserve">described below (Table 2; Supplementary Note S2)</w:t>
        </w:r>
      </w:ins>
      <w:r>
        <w:t xml:space="preserv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pPrChange w:id="20471" w:author="Claude" w:date="2026-10-21T00:00:00Z">
          <w:pPr>
            <w:pStyle w:val="Heading2"/>
            <w:numPr>
              <w:ilvl w:val="1"/>
              <w:numId w:val="11"/>
            </w:numPr>
          </w:pPr>
        </w:pPrChange>
      </w:pPr>
      <w:r>
        <w:t xml:space="preserve">Data and </w:t>
      </w:r>
      <w:del w:id="20357" w:author="Claude" w:date="2026-10-21T00:00:00Z">
        <w:r>
          <w:delText xml:space="preserve">Measures</w:delText>
        </w:r>
      </w:del>
      <w:ins w:id="20358" w:author="Claude" w:date="2026-10-21T00:00:00Z">
        <w:r>
          <w:t xml:space="preserve">measures</w:t>
        </w:r>
      </w:ins>
    </w:p>
    <w:p w14:paraId="20D2748F" w14:textId="77777777" w:rsidR="00792889" w:rsidRDefault="00792889" w:rsidP="00792889">
      <w:pPr>
        <w:pStyle w:val="Heading3"/>
        <w:pPrChange w:id="20472" w:author="Claude" w:date="2026-10-21T00:00:00Z">
          <w:pPr>
            <w:pStyle w:val="Heading3"/>
            <w:numPr>
              <w:ilvl w:val="2"/>
              <w:numId w:val="11"/>
            </w:numPr>
          </w:pPr>
        </w:pPrChange>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w:t>
      </w:r>
      <w:del w:id="20359" w:author="Claude" w:date="2026-10-21T00:00:00Z">
        <w:r>
          <w:delText xml:space="preserve">  </w:delText>
        </w:r>
      </w:del>
      <w:ins w:id="20360" w:author="Claude" w:date="2026-10-21T00:00:00Z">
        <w:r>
          <w:t xml:space="preserve"> </w:t>
        </w:r>
      </w:ins>
      <w:r>
        <w:t xml:space="preserve">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available through that year. </w:t>
      </w:r>
      <w:del w:id="20361" w:author="Claude" w:date="2026-10-21T00:00:00Z">
        <w:r>
          <w:delText xml:space="preserve">All the important variables</w:delText>
        </w:r>
      </w:del>
      <w:ins w:id="20362" w:author="Claude" w:date="2026-10-21T00:00:00Z">
        <w:r>
          <w:t xml:space="preserve">Variables</w:t>
        </w:r>
      </w:ins>
      <w:r>
        <w:t xml:space="preserve"> used </w:t>
      </w:r>
      <w:del w:id="20363" w:author="Claude" w:date="2026-10-21T00:00:00Z">
        <w:r>
          <w:delText xml:space="preserve">for the targets</w:delText>
        </w:r>
      </w:del>
      <w:ins w:id="20364" w:author="Claude" w:date="2026-10-21T00:00:00Z">
        <w:r>
          <w:t xml:space="preserve">as outcomes</w:t>
        </w:r>
      </w:ins>
      <w:r>
        <w:t xml:space="preserve">, predictors</w:t>
      </w:r>
      <w:del w:id="20365" w:author="Claude" w:date="2026-10-21T00:00:00Z">
        <w:r>
          <w:delText xml:space="preserve">,</w:delText>
        </w:r>
      </w:del>
      <w:r>
        <w:t xml:space="preserve"> and controls are defined in </w:t>
      </w:r>
      <w:ins w:id="20366" w:author="Claude" w:date="2026-10-21T00:00:00Z">
        <w:r>
          <w:t xml:space="preserve">Supplementary </w:t>
        </w:r>
      </w:ins>
      <w:r>
        <w:t xml:space="preserve">Table </w:t>
      </w:r>
      <w:del w:id="20367" w:author="Claude" w:date="2026-10-21T00:00:00Z">
        <w:r>
          <w:delText xml:space="preserve">1</w:delText>
        </w:r>
      </w:del>
      <w:ins w:id="20368" w:author="Claude" w:date="2026-10-21T00:00:00Z">
        <w:r>
          <w:t xml:space="preserve">S14</w:t>
        </w:r>
      </w:ins>
      <w:r>
        <w:t xml:space="preserve">.</w:t>
      </w:r>
    </w:p>
    <w:p w14:paraId="39838A2C" w14:textId="77777777" w:rsidR="00792889" w:rsidRDefault="00792889" w:rsidP="00792889">
      <w:pPr>
        <w:pStyle w:val="Heading3"/>
        <w:pPrChange w:id="20473" w:author="Claude" w:date="2026-10-21T00:00:00Z">
          <w:pPr>
            <w:pStyle w:val="Heading3"/>
            <w:numPr>
              <w:ilvl w:val="2"/>
              <w:numId w:val="11"/>
            </w:numPr>
          </w:pPr>
        </w:pPrChange>
      </w:pPr>
      <w:r>
        <w:t>Descriptive distributions</w:t>
      </w:r>
    </w:p>
    <w:p w14:paraId="06589E8B" w14:textId="77777777" w:rsidR="00792889" w:rsidRDefault="00792889" w:rsidP="00792889">
      <w:del w:id="20369" w:author="Claude" w:date="2026-10-21T00:00:00Z">
        <w:r>
          <w:delText xml:space="preserve">Before turning to regression coefficients, it is useful to see how </w:delText>
        </w:r>
      </w:del>
      <w:ins w:id="20370" w:author="Claude" w:date="2026-10-21T00:00:00Z">
        <w:r>
          <w:t xml:space="preserve">Deployment is </w:t>
        </w:r>
      </w:ins>
      <w:r>
        <w:t xml:space="preserve">uneven</w:t>
      </w:r>
      <w:del w:id="20371" w:author="Claude" w:date="2026-10-21T00:00:00Z">
        <w:r>
          <w:delText xml:space="preserve"> the raw distributions already are. Figure 1 shows that the DER adoption is quite uneven and heterogeneous</w:delText>
        </w:r>
      </w:del>
      <w:r>
        <w:t xml:space="preserve"> across the state for all three </w:t>
      </w:r>
      <w:del w:id="20372" w:author="Claude" w:date="2026-10-21T00:00:00Z">
        <w:r>
          <w:delText xml:space="preserve">DER types (solar PV, storage, and EV charging</w:delText>
        </w:r>
      </w:del>
      <w:ins w:id="20373" w:author="Claude" w:date="2026-10-21T00:00:00Z">
        <w:r>
          <w:t xml:space="preserve">technologies (Fig. 1</w:t>
        </w:r>
      </w:ins>
      <w:r>
        <w:t xml:space="preserve">). </w:t>
      </w:r>
      <w:del w:id="20374" w:author="Claude" w:date="2026-10-21T00:00:00Z">
        <w:r>
          <w:delText xml:space="preserve">Supplementary Fig. S8 shows that the</w:delText>
        </w:r>
      </w:del>
      <w:ins w:id="20375" w:author="Claude" w:date="2026-10-21T00:00:00Z">
        <w:r>
          <w:t xml:space="preserve">The</w:t>
        </w:r>
      </w:ins>
      <w:r>
        <w:t xml:space="preserve"> three DER outcomes are right-skewed, while the socioeconomic context variables span materially different neighborhood conditions</w:t>
      </w:r>
      <w:del w:id="20376" w:author="Claude" w:date="2026-10-21T00:00:00Z">
        <w:r>
          <w:delText xml:space="preserve">.</w:delText>
        </w:r>
      </w:del>
      <w:ins w:id="20377" w:author="Claude" w:date="2026-10-21T00:00:00Z">
        <w:r>
          <w:t xml:space="preserve"> (Supplementary Fig. S8). Supplementary</w:t>
        </w:r>
      </w:ins>
      <w:r>
        <w:t xml:space="preserve"> Table </w:t>
      </w:r>
      <w:del w:id="20378" w:author="Claude" w:date="2026-10-21T00:00:00Z">
        <w:r>
          <w:delText xml:space="preserve">2 then</w:delText>
        </w:r>
      </w:del>
      <w:ins w:id="20379" w:author="Claude" w:date="2026-10-21T00:00:00Z">
        <w:r>
          <w:t xml:space="preserve">S15</w:t>
        </w:r>
      </w:ins>
      <w:r>
        <w:t xml:space="preserve"> summarizes the analysis sample </w:t>
      </w:r>
      <w:del w:id="20380" w:author="Claude" w:date="2026-10-21T00:00:00Z">
        <w:r>
          <w:delText xml:space="preserve">numerically </w:delText>
        </w:r>
      </w:del>
      <w:r>
        <w:t xml:space="preserve">so that</w:t>
      </w:r>
      <w:del w:id="20381" w:author="Claude" w:date="2026-10-21T00:00:00Z">
        <w:r>
          <w:delText xml:space="preserve"> the later</w:delText>
        </w:r>
      </w:del>
      <w:r>
        <w:t xml:space="preserve"> model comparisons can be </w:t>
      </w:r>
      <w:del w:id="20382" w:author="Claude" w:date="2026-10-21T00:00:00Z">
        <w:r>
          <w:delText xml:space="preserve">interpreted relative to</w:delText>
        </w:r>
      </w:del>
      <w:ins w:id="20383" w:author="Claude" w:date="2026-10-21T00:00:00Z">
        <w:r>
          <w:t xml:space="preserve">read against</w:t>
        </w:r>
      </w:ins>
      <w:r>
        <w:t xml:space="preserve"> the observed scale of the data.</w:t>
      </w:r>
    </w:p>
    <w:p w14:paraId="10C6E4D5" w14:textId="77777777" w:rsidR="00792889" w:rsidRDefault="00792889" w:rsidP="00792889">
      <w:pPr>
        <w:pStyle w:val="Heading2"/>
        <w:pPrChange w:id="20474" w:author="Claude" w:date="2026-10-21T00:00:00Z">
          <w:pPr>
            <w:pStyle w:val="Heading2"/>
            <w:numPr>
              <w:ilvl w:val="1"/>
              <w:numId w:val="11"/>
            </w:numPr>
          </w:pPr>
        </w:pPrChange>
      </w:pPr>
      <w:bookmarkStart w:id="15" w:name="_Ref_sec_m_data"/>
      <w:r>
        <w:t xml:space="preserve">Dataset </w:t>
      </w:r>
      <w:del w:id="20384" w:author="Claude" w:date="2026-10-21T00:00:00Z">
        <w:r>
          <w:delText xml:space="preserve">Construction and Sample</w:delText>
        </w:r>
      </w:del>
      <w:ins w:id="20385" w:author="Claude" w:date="2026-10-21T00:00:00Z">
        <w:r>
          <w:t xml:space="preserve">construction and sample</w:t>
        </w:r>
      </w:ins>
      <w:bookmarkEnd w:id="15"/>
    </w:p>
    <w:p w14:paraId="39458AE8" w14:textId="77777777" w:rsidR="00792889" w:rsidRDefault="00792889" w:rsidP="00792889">
      <w:commentRangeStart w:id="23"/>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w:t>
      </w:r>
      <w:del w:id="20386" w:author="Claude" w:date="2026-10-21T00:00:00Z">
        <w:r>
          <w:delText xml:space="preserve">4,957</w:delText>
        </w:r>
      </w:del>
      <w:ins w:id="20387" w:author="Claude" w:date="2026-10-21T00:00:00Z">
        <w:r>
          <w:t xml:space="preserve">193,070</w:t>
        </w:r>
      </w:ins>
      <w:r>
        <w:t xml:space="preserve"> residential, </w:t>
      </w:r>
      <w:del w:id="20388" w:author="Claude" w:date="2026-10-21T00:00:00Z">
        <w:r>
          <w:delText xml:space="preserve">41</w:delText>
        </w:r>
      </w:del>
      <w:ins w:id="20389" w:author="Claude" w:date="2026-10-21T00:00:00Z">
        <w:r>
          <w:t xml:space="preserve">3,211</w:t>
        </w:r>
      </w:ins>
      <w:r>
        <w:t xml:space="preserve"> commercial and </w:t>
      </w:r>
      <w:del w:id="20390" w:author="Claude" w:date="2026-10-21T00:00:00Z">
        <w:r>
          <w:delText xml:space="preserve">2 utility</w:delText>
        </w:r>
      </w:del>
      <w:ins w:id="20391" w:author="Claude" w:date="2026-10-21T00:00:00Z">
        <w:r>
          <w:t xml:space="preserve">291 utility (98.2 percent residential)</w:t>
        </w:r>
      </w:ins>
      <w:r>
        <w:t xml:space="preserve">, so the behind-the-meter reading of the storage results is supported by the source. A sensitivity </w:t>
      </w:r>
      <w:del w:id="20392" w:author="Claude" w:date="2026-10-21T00:00:00Z">
        <w:r>
          <w:delText xml:space="preserve">excluding non-residential</w:delText>
        </w:r>
      </w:del>
      <w:ins w:id="20393" w:author="Claude" w:date="2026-10-21T00:00:00Z">
        <w:r>
          <w:t xml:space="preserve">restricted to residential</w:t>
        </w:r>
      </w:ins>
      <w:r>
        <w:t xml:space="preserve"> records is reported in Supplementary Table </w:t>
      </w:r>
      <w:del w:id="20394" w:author="Claude" w:date="2026-10-21T00:00:00Z">
        <w:r>
          <w:delText xml:space="preserve">S16</w:delText>
        </w:r>
      </w:del>
      <w:ins w:id="20395" w:author="Claude" w:date="2026-10-21T00:00:00Z">
        <w:r>
          <w:t xml:space="preserve">S12</w:t>
        </w:r>
      </w:ins>
      <w:r>
        <w:t xml:space="preserve">.</w:t>
      </w:r>
      <w:commentRangeEnd w:id="23"/>
      <w:r>
        <w:rPr>
          <w:rStyle w:val="CommentReference"/>
        </w:rPr>
        <w:commentReference w:id="23"/>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Pr>
            <w:rStyle w:val="Hyperlink"/>
          </w:rPr>
          <w:t>https://github.com/vineetjnair9/distributed-energy-resources-equity-CA</w:t>
        </w:r>
      </w:hyperlink>
      <w:r>
        <w:t xml:space="preserve"> under the MIT License. The harmonized ZCTA analysis file is </w:t>
      </w:r>
      <w:del w:id="30002" w:author="Claude" w:date="2026-10-26T00:00:00Z">
        <w:r>
          <w:delText xml:space="preserve">deposited as a separate Zenodo record under CC-BY-4.0</w:delText>
        </w:r>
      </w:del>
      <w:ins w:id="30003" w:author="Claude" w:date="2026-10-26T00:00:00Z">
        <w:r>
          <w:t xml:space="preserve">deposited as a separate Zenodo record under CC-BY-4.0 (https://doi.org/10.5281/zenodo.22053001)</w:t>
        </w:r>
      </w:ins>
      <w:r>
        <w:t xml:space="preserve">.</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w:t>
      </w:r>
      <w:del w:id="20396" w:author="Claude" w:date="2026-10-21T00:00:00Z">
        <w:r>
          <w:delText xml:space="preserve">Figure</w:delText>
        </w:r>
      </w:del>
      <w:ins w:id="20397" w:author="Claude" w:date="2026-10-21T00:00:00Z">
        <w:r>
          <w:t xml:space="preserve">Fig.</w:t>
        </w:r>
      </w:ins>
      <w:r>
        <w:t xml:space="preserv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ins w:id="20398" w:author="Claude" w:date="2026-10-21T00:00:00Z">
        <w:r>
          <w:t xml:space="preserve">Supplementary </w:t>
        </w:r>
      </w:ins>
      <w:r>
        <w:t xml:space="preserve">Table </w:t>
      </w:r>
      <w:del w:id="20399" w:author="Claude" w:date="2026-10-21T00:00:00Z">
        <w:r>
          <w:delText xml:space="preserve">2</w:delText>
        </w:r>
      </w:del>
      <w:ins w:id="20400" w:author="Claude" w:date="2026-10-21T00:00:00Z">
        <w:r>
          <w:t xml:space="preserve">S15</w:t>
        </w:r>
      </w:ins>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p>
    <w:p w14:paraId="477522F7" w14:textId="77777777" w:rsidR="00792889" w:rsidRDefault="00792889" w:rsidP="00792889">
      <w:r>
        <w:t xml:space="preserve">After source-specific cleaning, the DER measures are merged with contextual predictors. Demographic and socioeconomic variables come from the 2023 American Community Survey 5-year estimates [25]. Housing structure </w:t>
      </w:r>
      <w:del w:id="20401" w:author="Claude" w:date="2026-10-21T00:00:00Z">
        <w:r>
          <w:delText xml:space="preserve">includes</w:delText>
        </w:r>
      </w:del>
      <w:ins w:id="20402" w:author="Claude" w:date="2026-10-21T00:00:00Z">
        <w:r>
          <w:t xml:space="preserve">(ACS table B25024) enters as exhaustive shares of</w:t>
        </w:r>
      </w:ins>
      <w:r>
        <w:t xml:space="preserve"> single-family, multifamily, mobile-home</w:t>
      </w:r>
      <w:del w:id="20403" w:author="Claude" w:date="2026-10-21T00:00:00Z">
        <w:r>
          <w:delText xml:space="preserve">,</w:delText>
        </w:r>
      </w:del>
      <w:r>
        <w:t xml:space="preserve"> and boat/RV/van/other</w:t>
      </w:r>
      <w:ins w:id="20404" w:author="Claude" w:date="2026-10-21T00:00:00Z">
        <w:r>
          <w:t xml:space="preserve"> units, with single-family as the reference</w:t>
        </w:r>
      </w:ins>
      <w:r>
        <w:t xml:space="preserve">. Tenure</w:t>
      </w:r>
      <w:ins w:id="20405" w:author="Claude" w:date="2026-10-21T00:00:00Z">
        <w:r>
          <w:t xml:space="preserve"> (ACS table B25003)</w:t>
        </w:r>
      </w:ins>
      <w:r>
        <w:t xml:space="preserve"> uses owner occupancy, with renter occupancy as its complement. Climate and renewable-resource controls come from NASA POWER [27]; utility territory uses a ZIP-to-utility spatial crosswalk; and annualized utility usage provides the electricity-demand proxy [29].</w:t>
      </w:r>
      <w:hyperlink w:anchor="_Ref_src32" w:history="1"/>
      <w:hyperlink w:anchor="_Ref_src34" w:history="1"/>
      <w:hyperlink w:anchor="_Ref_src36" w:history="1"/>
    </w:p>
    <w:p w14:paraId="73CB3DF0" w14:textId="77777777" w:rsidR="00792889" w:rsidRDefault="00792889" w:rsidP="00792889">
      <w:pPr>
        <w:pStyle w:val="Heading2"/>
        <w:pPrChange w:id="20475" w:author="Claude" w:date="2026-10-21T00:00:00Z">
          <w:pPr>
            <w:pStyle w:val="Heading2"/>
            <w:numPr>
              <w:ilvl w:val="1"/>
              <w:numId w:val="11"/>
            </w:numPr>
          </w:pPr>
        </w:pPrChange>
      </w:pPr>
      <w:bookmarkStart w:id="16" w:name="_Ref_sec_m_outcomes"/>
      <w:r>
        <w:t xml:space="preserve">Outcome </w:t>
      </w:r>
      <w:del w:id="20406" w:author="Claude" w:date="2026-10-21T00:00:00Z">
        <w:r>
          <w:delText xml:space="preserve">Variables</w:delText>
        </w:r>
      </w:del>
      <w:ins w:id="20407" w:author="Claude" w:date="2026-10-21T00:00:00Z">
        <w:r>
          <w:t xml:space="preserve">variables</w:t>
        </w:r>
      </w:ins>
      <w:bookmarkEnd w:id="16"/>
    </w:p>
    <w:p w14:paraId="571402B8" w14:textId="77777777" w:rsidR="00792889" w:rsidRDefault="00792889" w:rsidP="00792889">
      <w:r>
        <w:t xml:space="preserve">To make outcomes comparable across technologies, we convert each DER measure into a population-normalized deployment intensity metric and then transform it using</w:t>
      </w:r>
      <w:r>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ins w:id="20408" w:author="Claude" w:date="2026-10-21T00:00:00Z">
        <w:r>
          <w:t xml:space="preserve">Supplementary </w:t>
        </w:r>
      </w:ins>
      <w:r>
        <w:t xml:space="preserve">Table </w:t>
      </w:r>
      <w:del w:id="20409" w:author="Claude" w:date="2026-10-21T00:00:00Z">
        <w:r>
          <w:delText xml:space="preserve">1</w:delText>
        </w:r>
      </w:del>
      <w:ins w:id="20410" w:author="Claude" w:date="2026-10-21T00:00:00Z">
        <w:r>
          <w:t xml:space="preserve">S14</w:t>
        </w:r>
      </w:ins>
      <w:r>
        <w:t xml:space="preserve">.</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w:t>
      </w:r>
      <w:del w:id="20411" w:author="Claude" w:date="2026-10-21T00:00:00Z">
        <w:r>
          <w:delText xml:space="preserve">core paper, however,</w:delText>
        </w:r>
      </w:del>
      <w:ins w:id="20412" w:author="Claude" w:date="2026-10-21T00:00:00Z">
        <w:r>
          <w:t xml:space="preserve">main text</w:t>
        </w:r>
      </w:ins>
      <w:r>
        <w:t xml:space="preserve"> focuses on the three outcomes above.</w:t>
      </w:r>
    </w:p>
    <w:p w14:paraId="2727B860" w14:textId="77777777" w:rsidR="00792889" w:rsidRDefault="00792889" w:rsidP="00792889">
      <w:r>
        <w:t xml:space="preserve">Deployment is zero in a non-trivial share of ZCTAs, and the share differs sharply by technology: 5.3 percent for PV, 6.6 for storage, 19.0 for aggregate charging, 22.3 for Level 2 and 44.2 for DC fast, but 97.8 percent for Level 1 and 97.5 percent for wind capacity (Supplementary Table </w:t>
      </w:r>
      <w:del w:id="20413" w:author="Claude" w:date="2026-10-21T00:00:00Z">
        <w:r>
          <w:delText xml:space="preserve">S17</w:delText>
        </w:r>
      </w:del>
      <w:ins w:id="20414" w:author="Claude" w:date="2026-10-21T00:00:00Z">
        <w:r>
          <w:t xml:space="preserve">S13</w:t>
        </w:r>
      </w:ins>
      <w:r>
        <w:t xml:space="preserve">).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pPrChange w:id="20476" w:author="Claude" w:date="2026-10-21T00:00:00Z">
          <w:pPr>
            <w:pStyle w:val="Heading2"/>
            <w:numPr>
              <w:ilvl w:val="1"/>
              <w:numId w:val="11"/>
            </w:numPr>
          </w:pPr>
        </w:pPrChange>
      </w:pPr>
      <w:bookmarkStart w:id="20" w:name="_Ref_sec_m_predictors"/>
      <w:r>
        <w:t xml:space="preserve">Key </w:t>
      </w:r>
      <w:del w:id="20415" w:author="Claude" w:date="2026-10-21T00:00:00Z">
        <w:r>
          <w:delText xml:space="preserve">Explanatory Variables</w:delText>
        </w:r>
      </w:del>
      <w:ins w:id="20416" w:author="Claude" w:date="2026-10-21T00:00:00Z">
        <w:r>
          <w:t xml:space="preserve">explanatory variables</w:t>
        </w:r>
      </w:ins>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pPrChange w:id="20477" w:author="Claude" w:date="2026-10-21T00:00:00Z">
          <w:pPr>
            <w:pStyle w:val="Heading2"/>
            <w:numPr>
              <w:ilvl w:val="1"/>
              <w:numId w:val="11"/>
            </w:numPr>
          </w:pPr>
        </w:pPrChange>
      </w:pPr>
      <w:bookmarkStart w:id="21" w:name="_Ref_sec_m_controls"/>
      <w:r>
        <w:t xml:space="preserve">Contextual </w:t>
      </w:r>
      <w:del w:id="20417" w:author="Claude" w:date="2026-10-21T00:00:00Z">
        <w:r>
          <w:delText xml:space="preserve">Controls</w:delText>
        </w:r>
      </w:del>
      <w:ins w:id="20418" w:author="Claude" w:date="2026-10-21T00:00:00Z">
        <w:r>
          <w:t xml:space="preserve">controls</w:t>
        </w:r>
      </w:ins>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pPrChange w:id="20478" w:author="Claude" w:date="2026-10-21T00:00:00Z">
          <w:pPr>
            <w:pStyle w:val="Heading2"/>
            <w:numPr>
              <w:ilvl w:val="1"/>
              <w:numId w:val="11"/>
            </w:numPr>
          </w:pPr>
        </w:pPrChange>
      </w:pPr>
      <w:bookmarkStart w:id="22" w:name="_Ref_sec_m_baseline"/>
      <w:r>
        <w:t xml:space="preserve">Baseline </w:t>
      </w:r>
      <w:del w:id="20419" w:author="Claude" w:date="2026-10-21T00:00:00Z">
        <w:r>
          <w:delText xml:space="preserve">Regression Specification</w:delText>
        </w:r>
      </w:del>
      <w:ins w:id="20420" w:author="Claude" w:date="2026-10-21T00:00:00Z">
        <w:r>
          <w:t xml:space="preserve">regression specification</w:t>
        </w:r>
      </w:ins>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fldChar w:fldCharType="begin"/>
        <w:instrText xml:space="preserve"> SEQ Equation \* ARABIC </w:instrText>
        <w:fldChar w:fldCharType="separate"/>
        <w:t>4</w:t>
        <w:fldChar w:fldCharType="end"/>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fldChar w:fldCharType="begin"/>
        <w:instrText xml:space="preserve"> REF _Ref_eq_baseline \h </w:instrText>
        <w:fldChar w:fldCharType="separate"/>
        <w:t>(4)</w:t>
        <w:fldChar w:fldCharType="end"/>
        <w:t xml:space="preserve"> for the three headline outcomes are reported in Table 1.</w:t>
      </w:r>
    </w:p>
    <w:p w14:paraId="2069FA53" w14:textId="77777777" w:rsidR="00792889" w:rsidRDefault="00792889" w:rsidP="00792889">
      <w:r>
        <w:t xml:space="preserve">All models are estimated with heteroskedasticity-robust HC1 standard errors by default</w:t>
      </w:r>
      <w:del w:id="20421" w:author="Claude" w:date="2026-10-21T00:00:00Z">
        <w:r>
          <w:delText xml:space="preserve">. In plain language, HC1 means the standard errors are adjusted so</w:delText>
        </w:r>
      </w:del>
      <w:ins w:id="20422" w:author="Claude" w:date="2026-10-21T00:00:00Z">
        <w:r>
          <w:t xml:space="preserve">, which keep</w:t>
        </w:r>
      </w:ins>
      <w:r>
        <w:t xml:space="preserve"> inference </w:t>
      </w:r>
      <w:del w:id="20423" w:author="Claude" w:date="2026-10-21T00:00:00Z">
        <w:r>
          <w:delText xml:space="preserve">is less sensitive</w:delText>
        </w:r>
      </w:del>
      <w:ins w:id="20424" w:author="Claude" w:date="2026-10-21T00:00:00Z">
        <w:r>
          <w:t xml:space="preserve">robust</w:t>
        </w:r>
      </w:ins>
      <w:r>
        <w:t xml:space="preser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 The series answers which single block moves which coefficient, not whether the blocks jointly absorb an effect. </w:t>
      </w:r>
      <w:del w:id="20425" w:author="Claude" w:date="2026-10-21T00:00:00Z">
        <w:r>
          <w:delText xml:space="preserve">Full specifications and coefficient tables are</w:delText>
        </w:r>
      </w:del>
      <w:ins w:id="20426" w:author="Claude" w:date="2026-10-21T00:00:00Z">
        <w:r>
          <w:t xml:space="preserve">Specifications are listed</w:t>
        </w:r>
      </w:ins>
      <w:r>
        <w:t xml:space="preserve"> in Supplementary Table </w:t>
      </w:r>
      <w:del w:id="20427" w:author="Claude" w:date="2026-10-21T00:00:00Z">
        <w:r>
          <w:delText xml:space="preserve">S18.</w:delText>
        </w:r>
      </w:del>
      <w:ins w:id="20428" w:author="Claude" w:date="2026-10-21T00:00:00Z">
        <w:r>
          <w:t xml:space="preserve">S1, and every coefficient is traced across the series in Supplementary Figs. S1 to S3.</w:t>
        </w:r>
      </w:ins>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pPrChange w:id="20479" w:author="Claude" w:date="2026-10-21T00:00:00Z">
          <w:pPr>
            <w:pStyle w:val="Heading2"/>
            <w:numPr>
              <w:ilvl w:val="1"/>
              <w:numId w:val="11"/>
            </w:numPr>
          </w:pPr>
        </w:pPrChange>
      </w:pPr>
      <w:bookmarkStart w:id="24" w:name="_Ref_sec_m_estimation"/>
      <w:r>
        <w:t xml:space="preserve">Estimation and </w:t>
      </w:r>
      <w:del w:id="20429" w:author="Claude" w:date="2026-10-21T00:00:00Z">
        <w:r>
          <w:delText xml:space="preserve">Inference</w:delText>
        </w:r>
      </w:del>
      <w:ins w:id="20430" w:author="Claude" w:date="2026-10-21T00:00:00Z">
        <w:r>
          <w:t xml:space="preserve">inference</w:t>
        </w:r>
      </w:ins>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ind w:hanging="540"/>
        <w:pPrChange w:id="20480" w:author="Claude" w:date="2026-10-21T00:00:00Z">
          <w:pPr>
            <w:pStyle w:val="Heading2"/>
            <w:numPr>
              <w:ilvl w:val="1"/>
              <w:numId w:val="11"/>
            </w:numPr>
            <w:ind w:hanging="540"/>
          </w:pPr>
        </w:pPrChange>
      </w:pPr>
      <w:bookmarkStart w:id="25" w:name="_Ref_sec_m_robustness"/>
      <w:r>
        <w:t xml:space="preserve">Robustness and </w:t>
      </w:r>
      <w:del w:id="20431" w:author="Claude" w:date="2026-10-21T00:00:00Z">
        <w:r>
          <w:delText xml:space="preserve">Diagnostic Checks</w:delText>
        </w:r>
      </w:del>
      <w:ins w:id="20432" w:author="Claude" w:date="2026-10-21T00:00:00Z">
        <w:r>
          <w:t xml:space="preserve">diagnostic checks</w:t>
        </w:r>
      </w:ins>
      <w:bookmarkEnd w:id="25"/>
    </w:p>
    <w:p w14:paraId="120877E1" w14:textId="77777777" w:rsidR="00792889" w:rsidRDefault="00792889" w:rsidP="00792889">
      <w:r>
        <w:t xml:space="preserve">In addition to the </w:t>
      </w:r>
      <w:del w:id="20433" w:author="Claude" w:date="2026-10-21T00:00:00Z">
        <w:r>
          <w:delText xml:space="preserve">main regression</w:delText>
        </w:r>
      </w:del>
      <w:ins w:id="20434" w:author="Claude" w:date="2026-10-21T00:00:00Z">
        <w:r>
          <w:t xml:space="preserve">model series and nested</w:t>
        </w:r>
      </w:ins>
      <w:r>
        <w:t xml:space="preserve"> ladder, we conduct several supporting checks. We examine variance inflation factors (VIFs) to monitor multicollinearity across specifications (Supplementary Table S17),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del w:id="20435" w:author="Claude" w:date="2026-10-21T00:00:00Z">
        <w:r>
          <w:delText xml:space="preserve">Figure</w:delText>
        </w:r>
      </w:del>
      <w:ins w:id="20436" w:author="Claude" w:date="2026-10-21T00:00:00Z">
        <w:r>
          <w:t xml:space="preserve">Fig.</w:t>
        </w:r>
      </w:ins>
      <w:r>
        <w:t xml:space="preserve"> 1, Supplementary Fig. S8, and </w:t>
      </w:r>
      <w:del w:id="20437" w:author="Claude" w:date="2026-10-21T00:00:00Z">
        <w:r>
          <w:delText xml:space="preserve">Figure</w:delText>
        </w:r>
      </w:del>
      <w:ins w:id="20438" w:author="Claude" w:date="2026-10-21T00:00:00Z">
        <w:r>
          <w:t xml:space="preserve">Fig.</w:t>
        </w:r>
      </w:ins>
      <w:r>
        <w:t xml:space="preserve"> 2). Residual spatial dependence and spatially robust inference are examined in </w:t>
      </w:r>
      <w:del w:id="20439" w:author="Claude" w:date="2026-10-21T00:00:00Z">
        <w:r>
          <w:delText xml:space="preserve">Statistical robustness and diagnostics</w:delText>
        </w:r>
      </w:del>
      <w:ins w:id="20440" w:author="Claude" w:date="2026-10-21T00:00:00Z">
        <w:r>
          <w:t xml:space="preserve">Supplementary Note S12</w:t>
        </w:r>
      </w:ins>
      <w:r>
        <w:t xml:space="preserve"> (Supplementary </w:t>
      </w:r>
      <w:del w:id="20441" w:author="Claude" w:date="2026-10-21T00:00:00Z">
        <w:r>
          <w:delText xml:space="preserve">Table</w:delText>
        </w:r>
      </w:del>
      <w:ins w:id="20442" w:author="Claude" w:date="2026-10-21T00:00:00Z">
        <w:r>
          <w:t xml:space="preserve">Tables</w:t>
        </w:r>
      </w:ins>
      <w:r>
        <w:t xml:space="preserve"> S18 and </w:t>
      </w:r>
      <w:del w:id="20443" w:author="Claude" w:date="2026-10-21T00:00:00Z">
        <w:r>
          <w:delText xml:space="preserve">Supplementary Table </w:delText>
        </w:r>
      </w:del>
      <w:r>
        <w:t xml:space="preserve">S19).</w:t>
      </w:r>
    </w:p>
    <w:p w14:paraId="69EBAB3B" w14:textId="77777777" w:rsidR="00792889" w:rsidRDefault="00792889" w:rsidP="00792889">
      <w:r>
        <w:t xml:space="preserve">VIF screening informs the model inventory, but it is not used as a rigid mechanical inclusion rule. Some richer specifications show elevated VIF values (Supplementary Table S17),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 xml:space="preserve">In exploratory analysis, we compare linear specifications to more flexible predictive models, including polynomial regression, random forest, and gradient-boosted trees, using cross-validation (Supplementary Fig. S14, Supplementary Fig. S15, and Supplementary Fig. S16). These models are not the basis for the paper’s main claims. Instead, they serve as a diagnostic check for whether simple linear models miss strong nonlinear structure. The substantive conclusions </w:t>
      </w:r>
      <w:del w:id="20444" w:author="Claude" w:date="2026-10-21T00:00:00Z">
        <w:r>
          <w:delText xml:space="preserve">or main real-world takeaways are directly supported by</w:delText>
        </w:r>
      </w:del>
      <w:ins w:id="20445" w:author="Claude" w:date="2026-10-21T00:00:00Z">
        <w:r>
          <w:t xml:space="preserve">rest on</w:t>
        </w:r>
      </w:ins>
      <w:r>
        <w:t xml:space="preserve">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w:t>
      </w:r>
      <w:del w:id="20446" w:author="Claude" w:date="2026-10-21T00:00:00Z">
        <w:r>
          <w:delText xml:space="preserve">S12</w:delText>
        </w:r>
      </w:del>
      <w:ins w:id="20447" w:author="Claude" w:date="2026-10-21T00:00:00Z">
        <w:r>
          <w:t xml:space="preserve">S11</w:t>
        </w:r>
      </w:ins>
      <w:r>
        <w:t xml:space="preserve">.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ind w:hanging="540"/>
        <w:jc w:val="both"/>
        <w:pPrChange w:id="20481" w:author="Claude" w:date="2026-10-21T00:00:00Z">
          <w:pPr>
            <w:pStyle w:val="Heading2"/>
            <w:numPr>
              <w:ilvl w:val="1"/>
              <w:numId w:val="11"/>
            </w:numPr>
            <w:ind w:hanging="540"/>
            <w:jc w:val="both"/>
          </w:pPr>
        </w:pPrChange>
      </w:pPr>
      <w:bookmarkStart w:id="26" w:name="_Ref_sec_limitations"/>
      <w:del w:id="20448" w:author="Claude" w:date="2026-10-21T00:00:00Z">
        <w:r>
          <w:delText xml:space="preserve">Methodological </w:delText>
        </w:r>
      </w:del>
      <w:r>
        <w:t xml:space="preserve">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 xml:space="preserve">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w:t>
      </w:r>
      <w:ins w:id="20449" w:author="Claude" w:date="2026-10-21T00:00:00Z">
        <w:r>
          <w:t xml:space="preserve"> and sample</w:t>
        </w:r>
      </w:ins>
      <w:r>
        <w:t xml:space="preserve">), so the charger outcomes should be interpreted as valid-source-ZIP charger records.</w:t>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w:t>
      </w:r>
      <w:del w:id="20450" w:author="Claude" w:date="2026-10-21T00:00:00Z">
        <w:r>
          <w:delText xml:space="preserve">Figure 2</w:delText>
        </w:r>
      </w:del>
      <w:ins w:id="20451" w:author="Claude" w:date="2026-10-21T00:00:00Z">
        <w:r>
          <w:t xml:space="preserve">Fig. 4</w:t>
        </w:r>
      </w:ins>
      <w:r>
        <w:t xml:space="preserve">)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0F09C3AA" w14:textId="77777777" w:rsidR="00792889" w:rsidRDefault="00792889" w:rsidP="00792889">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w:t>
      </w:r>
      <w:ins w:id="20452" w:author="Claude" w:date="2026-10-21T00:00:00Z">
        <w:r>
          <w:t xml:space="preserve"> (Supplementary Fig. S4, Supplementary Tables S5 and S6)</w:t>
        </w:r>
      </w:ins>
      <w:r>
        <w:t xml:space="preserve">; Note S3 the specification curve (Supplementary Fig. S5); Note S4 the Oster bounds (Supplementary Table S7); and Note S5 the alternative functional form, weighting and spatial specifications (Supplementary </w:t>
      </w:r>
      <w:del w:id="20453" w:author="Claude" w:date="2026-10-21T00:00:00Z">
        <w:r>
          <w:delText xml:space="preserve">Table S9</w:delText>
        </w:r>
      </w:del>
      <w:ins w:id="20454" w:author="Claude" w:date="2026-10-21T00:00:00Z">
        <w:r>
          <w:t xml:space="preserve">Tables S8 to S10</w:t>
        </w:r>
      </w:ins>
      <w:r>
        <w:t xml:space="preserve">). Note S6 reports the housing-attenuation coefficients</w:t>
      </w:r>
      <w:ins w:id="20455" w:author="Claude" w:date="2026-10-21T00:00:00Z">
        <w:r>
          <w:t xml:space="preserve"> (Supplementary Table S2)</w:t>
        </w:r>
      </w:ins>
      <w:r>
        <w:t xml:space="preserve">,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w:t>
      </w:r>
      <w:del w:id="20456" w:author="Claude" w:date="2026-10-21T00:00:00Z">
        <w:r>
          <w:delText xml:space="preserve"> and</w:delText>
        </w:r>
      </w:del>
      <w:ins w:id="20457" w:author="Claude" w:date="2026-10-21T00:00:00Z">
        <w:r>
          <w:t xml:space="preserve">,</w:t>
        </w:r>
      </w:ins>
      <w:r>
        <w:t xml:space="preserve"> summary statistics</w:t>
      </w:r>
      <w:ins w:id="20458" w:author="Claude" w:date="2026-10-21T00:00:00Z">
        <w:r>
          <w:t xml:space="preserve">, predictor standard deviations and charger-subtype estimates</w:t>
        </w:r>
      </w:ins>
      <w:r>
        <w:t xml:space="preserve"> (Supplementary Tables</w:t>
      </w:r>
      <w:ins w:id="20459" w:author="Claude" w:date="2026-10-21T00:00:00Z">
        <w:r>
          <w:t xml:space="preserve"> S3, S4 and</w:t>
        </w:r>
      </w:ins>
      <w:r>
        <w:t xml:space="preserve"> S12 to S15).</w:t>
      </w:r>
    </w:p>
    <w:p w14:paraId="04A3FADF" w14:textId="77777777" w:rsidR="00792889" w:rsidRDefault="00792889" w:rsidP="00792889">
      <w:pPr>
        <w:pStyle w:val="Heading1"/>
      </w:pPr>
      <w:r>
        <w:t>Data availability</w:t>
      </w:r>
    </w:p>
    <w:p w14:paraId="21DBF3A3" w14:textId="77777777" w:rsidR="00792889" w:rsidRDefault="00792889" w:rsidP="00792889">
      <w:r>
        <w:t xml:space="preserve">The harmonized ZCTA analysis dataset is deposited at Zenodo under CC-BY-4.0 </w:t>
      </w:r>
      <w:del w:id="30000" w:author="Claude" w:date="2026-10-26T00:00:00Z">
        <w:r>
          <w:delText xml:space="preserve">[DOI to be inserted before submission]</w:delText>
        </w:r>
      </w:del>
      <w:ins w:id="30001" w:author="Claude" w:date="2026-10-26T00:00:00Z">
        <w:r>
          <w:t xml:space="preserve">(https://doi.org/10.5281/zenodo.22053001)</w:t>
        </w:r>
      </w:ins>
      <w:r>
        <w:t xml:space="preserve">. All underlying sources are public and are listed in the Supplementary Information.</w:t>
      </w:r>
    </w:p>
    <w:p w14:paraId="0E1E77A7" w14:textId="77777777" w:rsidR="00792889" w:rsidRDefault="00792889" w:rsidP="00792889">
      <w:pPr>
        <w:pStyle w:val="Heading1"/>
      </w:pPr>
      <w:r>
        <w:t>Code availability</w:t>
      </w:r>
    </w:p>
    <w:p w14:paraId="41E1076D" w14:textId="715A13DF" w:rsidR="00792889" w:rsidRDefault="00792889" w:rsidP="00792889">
      <w:r>
        <w:t xml:space="preserve">Data-construction and analysis code is available at </w:t>
      </w:r>
      <w:hyperlink r:id="rId16" w:history="1">
        <w:r>
          <w:rPr>
            <w:rStyle w:val="Hyperlink"/>
          </w:rPr>
          <w:t>https://github.com/vineetjnair9/distributed-energy-resources-equity-CA</w:t>
        </w:r>
      </w:hyperlink>
      <w:r>
        <w:t xml:space="preserve">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p w14:paraId="4F70F327" w14:textId="0E014F63" w:rsidR="00792889" w:rsidRPr="005C73E3" w:rsidRDefault="00792889" w:rsidP="00792889">
          <w:pPr>
            <w:autoSpaceDE w:val="0"/>
            <w:autoSpaceDN w:val="0"/>
            <w:ind w:hanging="640"/>
            <w:rPr>
              <w:rFonts w:eastAsia="Times New Roman" w:cs="Times New Roman"/>
              <w:color w:val="000000"/>
              <w:szCs w:val="24"/>
            </w:rPr>
          </w:pPr>
          <w:r>
            <w:rPr>
              <w:rFonts w:eastAsia="Times New Roman" w:cs="Times New Roman"/>
              <w:color w:val="000000"/>
            </w:rPr>
            <w:t xml:space="preserve">[1] B. R. Lukanov and E. M. Krieger, “Distributed solar and environmental justice: Exploring the demographic and socio-economic trends of residential PV adoption in California,” Energy Policy, vol. 134, 2019, doi:10.1016/j.enpol.2019.110935.</w:t>
            <w:tab/>
          </w:r>
          <w:hyperlink r:id="rId17" w:history="1"/>
        </w:p>
        <w:p w14:paraId="3B2D1063" w14:textId="18E46B9E" w:rsidR="00792889" w:rsidRPr="005C73E3" w:rsidRDefault="00792889" w:rsidP="00792889">
          <w:pPr>
            <w:autoSpaceDE w:val="0"/>
            <w:autoSpaceDN w:val="0"/>
            <w:ind w:hanging="640"/>
            <w:rPr>
              <w:rFonts w:eastAsia="Times New Roman" w:cs="Times New Roman"/>
              <w:color w:val="000000"/>
            </w:rPr>
          </w:pPr>
          <w:bookmarkStart w:id="27" w:name="_Ref_bib2"/>
          <w:r>
            <w:rPr>
              <w:rFonts w:eastAsia="Times New Roman" w:cs="Times New Roman"/>
              <w:color w:val="000000"/>
            </w:rPr>
            <w:t xml:space="preserve">[2] D. A. Sunter, S. Castellanos, and D. M. Kammen, “Disparities in rooftop photovoltaics deployment in the United States by race and ethnicity,” Nat. Sustain., vol. 2, no. 1, pp. 71–76, Jan. 2019, doi:10.1038/s41893-018-0204-z.</w:t>
            <w:tab/>
          </w:r>
          <w:hyperlink r:id="rId18" w:history="1"/>
          <w:bookmarkEnd w:id="27"/>
        </w:p>
        <w:p w14:paraId="4ADA6B0C" w14:textId="40F1D77B" w:rsidR="00792889" w:rsidRPr="005C73E3" w:rsidRDefault="00792889" w:rsidP="00792889">
          <w:pPr>
            <w:autoSpaceDE w:val="0"/>
            <w:autoSpaceDN w:val="0"/>
            <w:ind w:hanging="640"/>
            <w:rPr>
              <w:rFonts w:eastAsia="Times New Roman" w:cs="Times New Roman"/>
              <w:color w:val="000000"/>
            </w:rPr>
          </w:pPr>
          <w:bookmarkStart w:id="28" w:name="_Ref_bib3"/>
          <w:r>
            <w:rPr>
              <w:rFonts w:eastAsia="Times New Roman" w:cs="Times New Roman"/>
              <w:color w:val="000000"/>
            </w:rPr>
            <w:t xml:space="preserve">[3] L. Kurdgelashvili, C. H. Shih, F. Yang, and M. Garg, “An empirical analysis of county-level residential PV adoption in California,” Technol. Forecast. Soc. Change, vol. 139, 2019, doi:10.1016/j.techfore.2018.11.021.</w:t>
            <w:tab/>
          </w:r>
          <w:hyperlink r:id="rId19" w:history="1"/>
          <w:bookmarkEnd w:id="28"/>
        </w:p>
        <w:p w14:paraId="38499755" w14:textId="5ACE8C86" w:rsidR="00792889" w:rsidRPr="005C73E3" w:rsidRDefault="00792889" w:rsidP="00792889">
          <w:pPr>
            <w:autoSpaceDE w:val="0"/>
            <w:autoSpaceDN w:val="0"/>
            <w:ind w:hanging="640"/>
            <w:rPr>
              <w:rFonts w:eastAsia="Times New Roman" w:cs="Times New Roman"/>
              <w:color w:val="000000"/>
            </w:rPr>
          </w:pPr>
          <w:bookmarkStart w:id="29" w:name="_Ref_bib4"/>
          <w:r>
            <w:rPr>
              <w:rFonts w:eastAsia="Times New Roman" w:cs="Times New Roman"/>
              <w:color w:val="000000"/>
            </w:rPr>
            <w:t xml:space="preserve">[4] T. G. Reames, “Distributional disparities in residential rooftop solar potential and penetration in four cities in the United States,” Energy Res. Soc. Sci., vol. 69, p. 101612, Nov. 2020, doi:10.1016/J.ERSS.2020.101612.</w:t>
            <w:tab/>
          </w:r>
          <w:hyperlink r:id="rId20" w:history="1"/>
          <w:bookmarkEnd w:id="29"/>
        </w:p>
        <w:p w14:paraId="7A3F67E6" w14:textId="40A37BBB" w:rsidR="00792889" w:rsidRPr="005C73E3" w:rsidRDefault="00792889" w:rsidP="00792889">
          <w:pPr>
            <w:autoSpaceDE w:val="0"/>
            <w:autoSpaceDN w:val="0"/>
            <w:ind w:hanging="640"/>
            <w:rPr>
              <w:rFonts w:eastAsia="Times New Roman" w:cs="Times New Roman"/>
              <w:color w:val="000000"/>
            </w:rPr>
          </w:pPr>
          <w:bookmarkStart w:id="30" w:name="_Ref_bib5"/>
          <w:r>
            <w:rPr>
              <w:rFonts w:eastAsia="Times New Roman" w:cs="Times New Roman"/>
              <w:color w:val="000000"/>
            </w:rPr>
            <w:t xml:space="preserve">[5] N. R. Darghouth, E. O’Shaughnessy, S. Forrester, and G. Barbose, “Characterizing local rooftop solar adoption inequity in the US,” Environmental Research Letters, vol. 17, no. 3, p. 034028, Feb. 2022, doi:10.1088/1748-9326/AC4FDC.</w:t>
            <w:tab/>
          </w:r>
          <w:hyperlink r:id="rId21" w:history="1"/>
          <w:bookmarkEnd w:id="30"/>
        </w:p>
        <w:p w14:paraId="6D81E274" w14:textId="634F4B46" w:rsidR="00792889" w:rsidRPr="005C73E3" w:rsidRDefault="00792889" w:rsidP="00792889">
          <w:pPr>
            <w:autoSpaceDE w:val="0"/>
            <w:autoSpaceDN w:val="0"/>
            <w:ind w:hanging="640"/>
            <w:rPr>
              <w:rFonts w:eastAsia="Times New Roman" w:cs="Times New Roman"/>
              <w:color w:val="000000"/>
            </w:rPr>
          </w:pPr>
          <w:bookmarkStart w:id="31" w:name="_Ref_bib6"/>
          <w:r>
            <w:rPr>
              <w:rFonts w:eastAsia="Times New Roman" w:cs="Times New Roman"/>
              <w:color w:val="000000"/>
            </w:rPr>
            <w:t xml:space="preserve">[6] C. Sigrist, A. Lechowicz, J. Champ, N. Bashir, and M. Hajiesmaili, “Lost in Siting: The Hidden Carbon Cost of Inequitable Residential Solar Installations,” Jan. 2025, [Online]. Available:http://arxiv.org/abs/2501.13868</w:t>
            <w:tab/>
          </w:r>
          <w:hyperlink r:id="rId22" w:history="1"/>
          <w:bookmarkEnd w:id="31"/>
        </w:p>
        <w:p w14:paraId="2AD97EBE" w14:textId="7407B31D" w:rsidR="00792889" w:rsidRPr="005C73E3" w:rsidRDefault="00792889" w:rsidP="00792889">
          <w:pPr>
            <w:autoSpaceDE w:val="0"/>
            <w:autoSpaceDN w:val="0"/>
            <w:ind w:hanging="640"/>
            <w:rPr>
              <w:rFonts w:eastAsia="Times New Roman" w:cs="Times New Roman"/>
              <w:color w:val="000000"/>
            </w:rPr>
          </w:pPr>
          <w:bookmarkStart w:id="32" w:name="_Ref_bib7"/>
          <w:r>
            <w:rPr>
              <w:rFonts w:eastAsia="Times New Roman" w:cs="Times New Roman"/>
              <w:color w:val="000000"/>
            </w:rPr>
            <w:t xml:space="preserve">[7] A. Drehobl, L. Ross, R. Ayala, A. Zaman, and J. Amann, “How high are household energy burdens? An assessment of national and metropolitan energy burden across the United States,” American Council for an Energy-Efficient Economy, Report U2006, Sep. 2020.</w:t>
            <w:tab/>
          </w:r>
          <w:bookmarkEnd w:id="32"/>
        </w:p>
        <w:p w14:paraId="74E00993" w14:textId="666F54F2" w:rsidR="00792889" w:rsidRPr="005C73E3" w:rsidRDefault="00792889" w:rsidP="00792889">
          <w:pPr>
            <w:autoSpaceDE w:val="0"/>
            <w:autoSpaceDN w:val="0"/>
            <w:ind w:hanging="640"/>
            <w:rPr>
              <w:rFonts w:eastAsia="Times New Roman" w:cs="Times New Roman"/>
              <w:color w:val="000000"/>
            </w:rPr>
          </w:pPr>
          <w:bookmarkStart w:id="33" w:name="_Ref_bib8"/>
          <w:r>
            <w:rPr>
              <w:rFonts w:eastAsia="Times New Roman" w:cs="Times New Roman"/>
              <w:color w:val="000000"/>
            </w:rPr>
            <w:t xml:space="preserve">[8] The Greenlining Institute, “Demystifying Equity in California’s Energy Grid Transition,” Jul. 25, 2024. [Online]. Available:https://greenlining.org/2024/demystifying-equity-in-californias-energy-grid-transition/</w:t>
            <w:tab/>
          </w:r>
          <w:hyperlink r:id="rId23" w:history="1"/>
          <w:bookmarkEnd w:id="33"/>
        </w:p>
        <w:p w14:paraId="51DC4257" w14:textId="581ABA07" w:rsidR="00792889" w:rsidRPr="005C73E3" w:rsidRDefault="00792889" w:rsidP="00792889">
          <w:pPr>
            <w:autoSpaceDE w:val="0"/>
            <w:autoSpaceDN w:val="0"/>
            <w:ind w:hanging="640"/>
            <w:rPr>
              <w:rFonts w:eastAsia="Times New Roman" w:cs="Times New Roman"/>
              <w:color w:val="000000"/>
            </w:rPr>
          </w:pPr>
          <w:bookmarkStart w:id="34" w:name="_Ref_bib9"/>
          <w:r>
            <w:rPr>
              <w:rFonts w:eastAsia="Times New Roman" w:cs="Times New Roman"/>
              <w:color w:val="000000"/>
            </w:rPr>
            <w:t xml:space="preserve">[9] T. Light, E. McIntosh, and O. Stephenson, “Advancing Equity in Access to Distributed Energy Resources in California,” Journal of Science Policy &amp; Governance, 2022, doi:10.38126/jspg200106.</w:t>
            <w:tab/>
          </w:r>
          <w:hyperlink r:id="rId24" w:history="1"/>
          <w:bookmarkEnd w:id="34"/>
        </w:p>
        <w:p w14:paraId="09E9D9B4" w14:textId="145F90E3" w:rsidR="00792889" w:rsidRPr="005C73E3" w:rsidRDefault="00792889" w:rsidP="00792889">
          <w:pPr>
            <w:autoSpaceDE w:val="0"/>
            <w:autoSpaceDN w:val="0"/>
            <w:ind w:hanging="640"/>
            <w:rPr>
              <w:rFonts w:eastAsia="Times New Roman" w:cs="Times New Roman"/>
              <w:color w:val="000000"/>
            </w:rPr>
          </w:pPr>
          <w:bookmarkStart w:id="35" w:name="_Ref_bib10"/>
          <w:r>
            <w:rPr>
              <w:rFonts w:eastAsia="Times New Roman" w:cs="Times New Roman"/>
              <w:color w:val="000000"/>
            </w:rPr>
            <w:t xml:space="preserve">[10] S. P. Forrester, C. C. Montañés, E. O’Shaughnessy, and G. Barbose, “Modeling the potential effects of rooftop solar on household energy burden in the United States,” Nature Communications 2024 15:1, vol. 15, no. 1, pp. 4676-, Jun. 2024, doi:10.1038/s41467-024-48967-x.</w:t>
            <w:tab/>
          </w:r>
          <w:hyperlink r:id="rId25" w:history="1"/>
          <w:bookmarkEnd w:id="35"/>
        </w:p>
        <w:p w14:paraId="6B51768D" w14:textId="31460EFC" w:rsidR="00792889" w:rsidRPr="005C73E3" w:rsidRDefault="00792889" w:rsidP="00792889">
          <w:pPr>
            <w:autoSpaceDE w:val="0"/>
            <w:autoSpaceDN w:val="0"/>
            <w:ind w:hanging="640"/>
            <w:rPr>
              <w:rFonts w:eastAsia="Times New Roman" w:cs="Times New Roman"/>
              <w:color w:val="000000"/>
            </w:rPr>
          </w:pPr>
          <w:bookmarkStart w:id="36" w:name="_Ref_bib11"/>
          <w:r>
            <w:rPr>
              <w:rFonts w:eastAsia="Times New Roman" w:cs="Times New Roman"/>
              <w:color w:val="000000"/>
            </w:rPr>
            <w:t xml:space="preserve">[11] A. M. Brockway, J. Conde, and D. Callaway, “Inequitable access to distributed energy resources due to grid infrastructure limits in California,” Nat. Energy, vol. 6, no. 9, 2021, doi:10.1038/s41560-021-00887-6.</w:t>
            <w:tab/>
          </w:r>
          <w:hyperlink r:id="rId26" w:history="1"/>
          <w:bookmarkEnd w:id="36"/>
        </w:p>
        <w:p w14:paraId="2F3DE6DA" w14:textId="67B9AE10" w:rsidR="00792889" w:rsidRPr="005C73E3" w:rsidRDefault="00792889" w:rsidP="00792889">
          <w:pPr>
            <w:autoSpaceDE w:val="0"/>
            <w:autoSpaceDN w:val="0"/>
            <w:ind w:hanging="640"/>
            <w:rPr>
              <w:rFonts w:eastAsia="Times New Roman" w:cs="Times New Roman"/>
              <w:color w:val="000000"/>
            </w:rPr>
          </w:pPr>
          <w:bookmarkStart w:id="37" w:name="_Ref_bib15"/>
          <w:r>
            <w:rPr>
              <w:rFonts w:eastAsia="Times New Roman" w:cs="Times New Roman"/>
              <w:color w:val="000000"/>
            </w:rPr>
            <w:t xml:space="preserve">[12] B. Aydin, R. Holt, and M. Almassalkhi, “Fairness-aware Dynamic Hosting Capacity and the Impacts of Strategic Solar PV Curtailment,” Apr. 2025, [Online]. Available:http://arxiv.org/abs/2504.18905</w:t>
            <w:tab/>
          </w:r>
          <w:hyperlink r:id="rId27" w:history="1"/>
          <w:bookmarkEnd w:id="37"/>
        </w:p>
        <w:p w14:paraId="74CDF4C3" w14:textId="4380E4A5" w:rsidR="00792889" w:rsidRPr="005C73E3" w:rsidRDefault="00792889" w:rsidP="00792889">
          <w:pPr>
            <w:autoSpaceDE w:val="0"/>
            <w:autoSpaceDN w:val="0"/>
            <w:ind w:hanging="640"/>
            <w:rPr>
              <w:rFonts w:eastAsia="Times New Roman" w:cs="Times New Roman"/>
              <w:color w:val="000000"/>
            </w:rPr>
          </w:pPr>
          <w:bookmarkStart w:id="38" w:name="_Ref_bib16"/>
          <w:r>
            <w:rPr>
              <w:rFonts w:eastAsia="Times New Roman" w:cs="Times New Roman"/>
              <w:color w:val="000000"/>
            </w:rPr>
            <w:t xml:space="preserve">[13] U.S. Department of Energy, “Distributed energy resource interconnection roadmap,” i2X initiative, 2023. [Online]. Available: https://www.energy.gov/eere/i2x</w:t>
            <w:tab/>
          </w:r>
          <w:bookmarkEnd w:id="38"/>
        </w:p>
        <w:p w14:paraId="1C33C631" w14:textId="42D0659C" w:rsidR="00792889" w:rsidRPr="005C73E3" w:rsidRDefault="00792889" w:rsidP="00792889">
          <w:pPr>
            <w:autoSpaceDE w:val="0"/>
            <w:autoSpaceDN w:val="0"/>
            <w:ind w:hanging="640"/>
            <w:rPr>
              <w:rFonts w:eastAsia="Times New Roman" w:cs="Times New Roman"/>
              <w:color w:val="000000"/>
            </w:rPr>
          </w:pPr>
          <w:bookmarkStart w:id="39" w:name="_Ref_bib17"/>
          <w:r>
            <w:rPr>
              <w:rFonts w:eastAsia="Times New Roman" w:cs="Times New Roman"/>
              <w:color w:val="000000"/>
            </w:rPr>
            <w:t xml:space="preserve">[14] B. Tarekegne, R. O’Neil, and J. Twitchell, “Energy Storage as an Equity Asset,” 2021. doi:10.1007/s40518-021-00184-6.</w:t>
            <w:tab/>
          </w:r>
          <w:hyperlink r:id="rId28" w:history="1"/>
          <w:bookmarkEnd w:id="39"/>
        </w:p>
        <w:p w14:paraId="0947081E" w14:textId="2A8B77D5" w:rsidR="00792889" w:rsidRPr="005C73E3" w:rsidRDefault="00792889" w:rsidP="00792889">
          <w:pPr>
            <w:autoSpaceDE w:val="0"/>
            <w:autoSpaceDN w:val="0"/>
            <w:ind w:hanging="640"/>
            <w:rPr>
              <w:rFonts w:eastAsia="Times New Roman" w:cs="Times New Roman"/>
              <w:color w:val="000000"/>
            </w:rPr>
          </w:pPr>
          <w:bookmarkStart w:id="40" w:name="_Ref_bib22"/>
          <w:r>
            <w:rPr>
              <w:rFonts w:eastAsia="Times New Roman" w:cs="Times New Roman"/>
              <w:color w:val="000000"/>
            </w:rPr>
            <w:t xml:space="preserve">[15] M. Alipour, E. Irannezhad, R. A. Stewart, and O. Sahin, “Exploring residential solar PV and battery energy storage adoption motivations and barriers in a mature PV market,” Renew. Energy, vol. 190, 2022, doi:10.1016/j.renene.2022.03.040.</w:t>
            <w:tab/>
          </w:r>
          <w:hyperlink r:id="rId29" w:history="1"/>
          <w:bookmarkEnd w:id="40"/>
        </w:p>
        <w:p w14:paraId="050F10DD" w14:textId="47B30220" w:rsidR="00792889" w:rsidRPr="005C73E3" w:rsidRDefault="00792889" w:rsidP="00792889">
          <w:pPr>
            <w:autoSpaceDE w:val="0"/>
            <w:autoSpaceDN w:val="0"/>
            <w:ind w:hanging="640"/>
            <w:rPr>
              <w:rFonts w:eastAsia="Times New Roman" w:cs="Times New Roman"/>
              <w:color w:val="000000"/>
            </w:rPr>
          </w:pPr>
          <w:bookmarkStart w:id="41" w:name="_Ref_bib23"/>
          <w:r>
            <w:rPr>
              <w:rFonts w:eastAsia="Times New Roman" w:cs="Times New Roman"/>
              <w:color w:val="000000"/>
            </w:rPr>
            <w:lastRenderedPageBreak/>
            <w:t xml:space="preserve">[16] R. Haider, Y. Xu, and W. Yang, “Towards closing the data gap: A project-driven distributed energy resource dataset for the U.S. Grid,” in e-Energy 2023 Companion - Proceedings of the 14th ACM International Conference on Future Energy Systems, 2023. doi:10.1145/3599733.3600250.</w:t>
            <w:tab/>
          </w:r>
          <w:hyperlink r:id="rId30" w:history="1"/>
          <w:bookmarkEnd w:id="41"/>
        </w:p>
        <w:p w14:paraId="4DDA9A22" w14:textId="7EAAC551" w:rsidR="00792889" w:rsidRPr="004C6F15" w:rsidRDefault="00792889" w:rsidP="004C6F15">
          <w:pPr>
            <w:autoSpaceDE w:val="0"/>
            <w:autoSpaceDN w:val="0"/>
            <w:ind w:hanging="640"/>
            <w:rPr>
              <w:rFonts w:eastAsia="Times New Roman" w:cs="Times New Roman"/>
              <w:color w:val="000000"/>
            </w:rPr>
          </w:pPr>
          <w:bookmarkStart w:id="42" w:name="_Ref_bib24"/>
          <w:r>
            <w:rPr>
              <w:rFonts w:eastAsia="Times New Roman" w:cs="Times New Roman"/>
              <w:color w:val="000000"/>
            </w:rPr>
            <w:t xml:space="preserve">[17] L. Ge, T. Du, C. Li, Y. Li, J. Yan, and M. U. Rafiq, “Virtual Collection for Distributed Photovoltaic Data: Challenges, Methodologies, and Applications,” 2022. doi:10.3390/en15238783.</w:t>
            <w:tab/>
          </w:r>
          <w:hyperlink r:id="rId31" w:history="1"/>
        </w:p>
        <w:bookmarkEnd w:id="42" w:displacedByCustomXml="next"/>
      </w:sdtContent>
    </w:sdt>
    <w:p w14:paraId="5657F5B9" w14:textId="2091EBED" w:rsidR="00792889" w:rsidRDefault="00792889" w:rsidP="00792889">
      <w:pPr>
        <w:autoSpaceDE w:val="0"/>
        <w:autoSpaceDN w:val="0"/>
        <w:ind w:hanging="640"/>
      </w:pPr>
      <w:bookmarkStart w:id="43" w:name="_Ref_src25"/>
      <w:r>
        <w:rPr>
          <w:rFonts w:eastAsia="Times New Roman" w:cs="Times New Roman"/>
          <w:color w:val="000000"/>
        </w:rPr>
        <w:t xml:space="preserve">[18] T. G. Conley, "GMM estimation with cross sectional dependence," Journal of Econometrics, vol. 92, no. 1, pp. 1-45, Sep. 1999, doi: 10.1016/S0304-4076(98)00084-0.</w:t>
        <w:tab/>
      </w:r>
      <w:hyperlink r:id="rId32" w:history="1"/>
      <w:bookmarkEnd w:id="43"/>
    </w:p>
    <w:p w14:paraId="077A9F37" w14:textId="15D17C15" w:rsidR="00792889" w:rsidRDefault="00792889" w:rsidP="00792889">
      <w:pPr>
        <w:autoSpaceDE w:val="0"/>
        <w:autoSpaceDN w:val="0"/>
        <w:ind w:hanging="640"/>
      </w:pPr>
      <w:bookmarkStart w:id="44" w:name="_Ref_src26"/>
      <w:r>
        <w:rPr>
          <w:rFonts w:eastAsia="Times New Roman" w:cs="Times New Roman"/>
          <w:color w:val="000000"/>
        </w:rPr>
        <w:t xml:space="preserve">[19] Lawrence Berkeley National Laboratory, "Tracking the Sun: public data file," 2024. [Online]. Available: https://emp.lbl.gov/tracking-the-sun</w:t>
        <w:tab/>
      </w:r>
      <w:hyperlink r:id="rId33" w:history="1"/>
      <w:bookmarkEnd w:id="44"/>
    </w:p>
    <w:p w14:paraId="063AAEC4" w14:textId="159F2815" w:rsidR="00792889" w:rsidRDefault="00792889" w:rsidP="00792889">
      <w:pPr>
        <w:autoSpaceDE w:val="0"/>
        <w:autoSpaceDN w:val="0"/>
        <w:ind w:hanging="640"/>
      </w:pPr>
      <w:bookmarkStart w:id="45" w:name="_Ref_src27"/>
      <w:r>
        <w:rPr>
          <w:rFonts w:eastAsia="Times New Roman" w:cs="Times New Roman"/>
          <w:color w:val="000000"/>
        </w:rPr>
        <w:t xml:space="preserve">[20] California Distributed Generation Statistics, "Interconnected project sites report, 31 December 2023," 2023. [Online]. Available: https://www.californiadgstats.ca.gov/downloads/</w:t>
        <w:tab/>
      </w:r>
      <w:hyperlink r:id="rId34" w:history="1"/>
      <w:bookmarkEnd w:id="45"/>
    </w:p>
    <w:p w14:paraId="144F4802" w14:textId="6ED8FE42" w:rsidR="00792889" w:rsidRDefault="00792889" w:rsidP="00792889">
      <w:pPr>
        <w:autoSpaceDE w:val="0"/>
        <w:autoSpaceDN w:val="0"/>
        <w:ind w:hanging="640"/>
      </w:pPr>
      <w:bookmarkStart w:id="46" w:name="_Ref_src28"/>
      <w:r>
        <w:rPr>
          <w:rFonts w:eastAsia="Times New Roman" w:cs="Times New Roman"/>
          <w:color w:val="000000"/>
        </w:rPr>
        <w:t xml:space="preserve">[21] California Energy Commission, "California energy storage system survey," 2024. [Online]. Available: https://www.energy.ca.gov/data-reports/energy-almanac/california-electricity-data/california-energy-storage-system-survey</w:t>
        <w:tab/>
      </w:r>
      <w:hyperlink r:id="rId35" w:history="1"/>
      <w:bookmarkEnd w:id="46"/>
    </w:p>
    <w:p w14:paraId="408A2E0C" w14:textId="71D7620A" w:rsidR="00792889" w:rsidRDefault="00792889" w:rsidP="00792889">
      <w:pPr>
        <w:autoSpaceDE w:val="0"/>
        <w:autoSpaceDN w:val="0"/>
        <w:ind w:hanging="640"/>
      </w:pPr>
      <w:bookmarkStart w:id="47" w:name="_Ref_src29"/>
      <w:r>
        <w:rPr>
          <w:rFonts w:eastAsia="Times New Roman" w:cs="Times New Roman"/>
          <w:color w:val="000000"/>
        </w:rPr>
        <w:t xml:space="preserve">[22] California Energy Commission, "Zero emission vehicle and infrastructure statistics," 2024. [Online]. Available: https://www.energy.ca.gov/data-reports/energy-almanac/zero-emission-vehicle-and-infrastructure-statistics-collection/electric</w:t>
        <w:tab/>
      </w:r>
      <w:hyperlink r:id="rId36" w:history="1"/>
      <w:bookmarkEnd w:id="47"/>
    </w:p>
    <w:p w14:paraId="10155A7A" w14:textId="65AE7BFC" w:rsidR="00792889" w:rsidRDefault="00792889" w:rsidP="00792889">
      <w:pPr>
        <w:autoSpaceDE w:val="0"/>
        <w:autoSpaceDN w:val="0"/>
        <w:ind w:hanging="640"/>
      </w:pPr>
      <w:bookmarkStart w:id="48" w:name="_Ref_src30"/>
      <w:r>
        <w:rPr>
          <w:rFonts w:eastAsia="Times New Roman" w:cs="Times New Roman"/>
          <w:color w:val="000000"/>
        </w:rPr>
        <w:t xml:space="preserve">[23] B. D. Hoen, J. E. Diffendorfer, J. T. Rand, L. A. Kramer, C. P. Garrity, and H. E. Hunt, "United States wind turbine database," U.S. Geological Survey data release, 2018, doi: 10.5066/F7TX3DN0.</w:t>
        <w:tab/>
      </w:r>
      <w:hyperlink r:id="rId37" w:history="1"/>
      <w:bookmarkEnd w:id="48"/>
    </w:p>
    <w:p w14:paraId="1E3CC52D" w14:textId="2263B1F3" w:rsidR="00792889" w:rsidRDefault="00792889" w:rsidP="00792889">
      <w:pPr>
        <w:autoSpaceDE w:val="0"/>
        <w:autoSpaceDN w:val="0"/>
        <w:ind w:hanging="640"/>
      </w:pPr>
      <w:bookmarkStart w:id="49" w:name="_Ref_src31"/>
      <w:r>
        <w:rPr>
          <w:rFonts w:eastAsia="Times New Roman" w:cs="Times New Roman"/>
          <w:color w:val="000000"/>
        </w:rPr>
        <w:t xml:space="preserve">[24] U.S. Energy Information Administration, "Power plants," 2023. [Online]. Available: https://atlas.eia.gov/datasets/eia::power-plants/explore</w:t>
        <w:tab/>
      </w:r>
      <w:hyperlink r:id="rId38" w:history="1"/>
      <w:bookmarkEnd w:id="49"/>
    </w:p>
    <w:p w14:paraId="1C65146F" w14:textId="3FF12D4D" w:rsidR="00792889" w:rsidRDefault="00792889" w:rsidP="00792889">
      <w:pPr>
        <w:autoSpaceDE w:val="0"/>
        <w:autoSpaceDN w:val="0"/>
        <w:ind w:hanging="640"/>
      </w:pPr>
      <w:bookmarkStart w:id="50" w:name="_Ref_src32"/>
      <w:r>
        <w:rPr>
          <w:rFonts w:eastAsia="Times New Roman" w:cs="Times New Roman"/>
          <w:color w:val="000000"/>
        </w:rPr>
        <w:t xml:space="preserve">[25] U.S. Census Bureau, "American Community Survey 5-year estimates, detailed tables," 2023. [Online]. Available: https://api.census.gov/data/2023/acs/acs5</w:t>
        <w:tab/>
      </w:r>
      <w:hyperlink r:id="rId39" w:history="1"/>
      <w:bookmarkEnd w:id="50"/>
    </w:p>
    <w:p w14:paraId="6CCDABEE" w14:textId="1560DC54" w:rsidR="00792889" w:rsidRDefault="00792889" w:rsidP="00792889">
      <w:pPr>
        <w:autoSpaceDE w:val="0"/>
        <w:autoSpaceDN w:val="0"/>
        <w:ind w:hanging="640"/>
      </w:pPr>
      <w:bookmarkStart w:id="51" w:name="_Ref_src33"/>
      <w:r>
        <w:rPr>
          <w:rFonts w:eastAsia="Times New Roman" w:cs="Times New Roman"/>
          <w:color w:val="000000"/>
        </w:rPr>
        <w:t xml:space="preserve">[26] U.S. Census Bureau, "TIGER/Line shapefiles," 2023. [Online]. Available: https://www.census.gov/geographies/mapping-files/time-series/geo/tiger-line-file.html</w:t>
        <w:tab/>
      </w:r>
      <w:hyperlink r:id="rId40" w:history="1"/>
      <w:bookmarkEnd w:id="51"/>
    </w:p>
    <w:p w14:paraId="2949BFD9" w14:textId="0561D624" w:rsidR="00792889" w:rsidRDefault="00792889" w:rsidP="00792889">
      <w:pPr>
        <w:autoSpaceDE w:val="0"/>
        <w:autoSpaceDN w:val="0"/>
        <w:ind w:hanging="640"/>
      </w:pPr>
      <w:bookmarkStart w:id="52" w:name="_Ref_src34"/>
      <w:r>
        <w:rPr>
          <w:rFonts w:eastAsia="Times New Roman" w:cs="Times New Roman"/>
          <w:color w:val="000000"/>
        </w:rPr>
        <w:t xml:space="preserve">[27] NASA Langley Research Center, "Prediction of Worldwide Energy Resources (POWER)," 2023. [Online]. Available: https://power.larc.nasa.gov/</w:t>
        <w:tab/>
      </w:r>
      <w:hyperlink r:id="rId41" w:history="1"/>
      <w:bookmarkEnd w:id="52"/>
    </w:p>
    <w:p w14:paraId="0D51C160" w14:textId="10681E5F" w:rsidR="00792889" w:rsidRDefault="00792889" w:rsidP="00792889">
      <w:pPr>
        <w:autoSpaceDE w:val="0"/>
        <w:autoSpaceDN w:val="0"/>
        <w:ind w:hanging="640"/>
      </w:pPr>
      <w:bookmarkStart w:id="53" w:name="_Ref_src35"/>
      <w:r>
        <w:rPr>
          <w:rFonts w:eastAsia="Times New Roman" w:cs="Times New Roman"/>
          <w:color w:val="000000"/>
        </w:rPr>
        <w:t xml:space="preserve">[28] California Energy Commission, "Energy equity indicators: deep dive energy," 2023. [Online]. Available: https://www.energy.ca.gov/data-reports/data-exploration-tools/energy-equity-indicators-dashboard-collection/deep-dive-energy</w:t>
        <w:tab/>
      </w:r>
      <w:hyperlink r:id="rId42" w:history="1"/>
      <w:bookmarkEnd w:id="53"/>
    </w:p>
    <w:p w14:paraId="147435AD" w14:textId="595797D1" w:rsidR="00792889" w:rsidRDefault="00792889" w:rsidP="00792889">
      <w:pPr>
        <w:autoSpaceDE w:val="0"/>
        <w:autoSpaceDN w:val="0"/>
        <w:ind w:hanging="640"/>
      </w:pPr>
      <w:bookmarkStart w:id="54" w:name="_Ref_src36"/>
      <w:r>
        <w:rPr>
          <w:rFonts w:eastAsia="Times New Roman" w:cs="Times New Roman"/>
          <w:color w:val="000000"/>
        </w:rPr>
        <w:t xml:space="preserve">[29] Pacific Gas and Electric Company, Southern California Edison, and San Diego Gas and Electric, "Electric usage by ZIP code, 2023 quarterly datasets," 2023. [Online]. Available: https://pge-energydatarequest.com/public_datasets</w:t>
        <w:tab/>
      </w:r>
      <w:hyperlink r:id="rId43" w:history="1"/>
      <w:bookmarkEnd w:id="54"/>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 w:id="13" w:author="Claude" w:date="2026-10-21T00:41:50Z" w:initials="C">
    <w:p w14:paraId="28D4EB1D" w14:textId="77777777">
      <w:r>
        <w:rPr>
          <w:rStyle w:val="CommentReference"/>
        </w:rPr>
        <w:annotationRef/>
      </w:r>
      <w:r>
        <w:rPr>
          <w:color w:val="000000"/>
          <w:sz w:val="20"/>
          <w:szCs w:val="20"/>
        </w:rPr>
        <w:t xml:space="preserve">Yes. Regenerate with filled = p &lt; 0.05 and hollow = p ≥ 0.05, the same convention as Fig. 4 (Fig. 3 uses hollow/filled for baseline vs housing instead, so pick one convention for all figures). Also add panel letters a–c (the text now cites Fig. 2b), relabel the x-axis 'Model series' with tick labels matching Supplementary Table S1, and rebuild the solar panel from outputs/standardized_tables (see my comment on Fig. 3).</w:t>
      </w:r>
    </w:p>
  </w:comment>
  <w:comment w:id="14" w:author="Claude" w:date="2026-10-21T00:41:51Z" w:initials="C">
    <w:p w14:paraId="4A9CFB35" w14:textId="77777777">
      <w:r>
        <w:rPr>
          <w:rStyle w:val="CommentReference"/>
        </w:rPr>
        <w:annotationRef/>
      </w:r>
      <w:r>
        <w:rPr>
          <w:color w:val="000000"/>
          <w:sz w:val="20"/>
          <w:szCs w:val="20"/>
        </w:rPr>
        <w:t xml:space="preserve">Yes for solar: in the current outputs the solar Hispanic-share coefficient is positive in most specifications but turns negative once the demand proxy enters (Model 8). Storage race terms never cross zero. Caption and text corrected.</w:t>
      </w:r>
    </w:p>
  </w:comment>
  <w:comment w:id="15" w:author="Claude" w:date="2026-10-21T00:41:51Z" w:initials="C">
    <w:p w14:paraId="0DFB1C86" w14:textId="77777777">
      <w:r>
        <w:rPr>
          <w:rStyle w:val="CommentReference"/>
        </w:rPr>
        <w:annotationRef/>
      </w:r>
      <w:r>
        <w:rPr>
          <w:color w:val="000000"/>
          <w:sz w:val="20"/>
          <w:szCs w:val="20"/>
        </w:rPr>
        <w:t xml:space="preserve">Added: the first storage paragraph now cites Fig. 3 (housing attenuates the storage Black- and Asian-share coefficients, but all three stay negative and significant).</w:t>
      </w:r>
    </w:p>
  </w:comment>
  <w:comment w:id="16" w:author="Claude" w:date="2026-10-21T00:41:51Z" w:initials="C">
    <w:p w14:paraId="47B5DA2E" w14:textId="77777777">
      <w:r>
        <w:rPr>
          <w:rStyle w:val="CommentReference"/>
        </w:rPr>
        <w:annotationRef/>
      </w:r>
      <w:r>
        <w:rPr>
          <w:color w:val="000000"/>
          <w:sz w:val="20"/>
          <w:szCs w:val="20"/>
        </w:rPr>
        <w:t xml:space="preserve">Added Supplementary Note S4 alongside Table 2, and noted that the Black-share bound (0.71) is below one.</w:t>
      </w:r>
    </w:p>
  </w:comment>
  <w:comment w:id="17" w:author="Claude" w:date="2026-10-21T00:41:51Z" w:initials="C">
    <w:p w14:paraId="30E8A554" w14:textId="77777777">
      <w:r>
        <w:rPr>
          <w:rStyle w:val="CommentReference"/>
        </w:rPr>
        <w:annotationRef/>
      </w:r>
      <w:r>
        <w:rPr>
          <w:color w:val="000000"/>
          <w:sz w:val="20"/>
          <w:szCs w:val="20"/>
        </w:rPr>
        <w:t xml:space="preserve">Replaced the ACS table codes with plain wording here and in the Fig. 3 legend; the codes (B25024, B25003) now sit in Methods under Dataset construction and sample.</w:t>
      </w:r>
    </w:p>
  </w:comment>
  <w:comment w:id="18" w:author="Claude" w:date="2026-10-21T00:41:51Z" w:initials="C">
    <w:p w14:paraId="67565A7B" w14:textId="77777777">
      <w:r>
        <w:rPr>
          <w:rStyle w:val="CommentReference"/>
        </w:rPr>
        <w:annotationRef/>
      </w:r>
      <w:r>
        <w:rPr>
          <w:color w:val="000000"/>
          <w:sz w:val="20"/>
          <w:szCs w:val="20"/>
        </w:rPr>
        <w:t xml:space="preserve">Rewritten as 'The two solar race coefficients are not equally robust.'</w:t>
      </w:r>
    </w:p>
  </w:comment>
  <w:comment w:id="19" w:author="Claude" w:date="2026-10-21T00:41:51Z" w:initials="C">
    <w:p w14:paraId="713D4B68" w14:textId="77777777">
      <w:r>
        <w:rPr>
          <w:rStyle w:val="CommentReference"/>
        </w:rPr>
        <w:annotationRef/>
      </w:r>
      <w:r>
        <w:rPr>
          <w:color w:val="000000"/>
          <w:sz w:val="20"/>
          <w:szCs w:val="20"/>
        </w:rPr>
        <w:t xml:space="preserve">Added Supplementary Note S2 to the citation at the end of this section's first paragraph.</w:t>
      </w:r>
    </w:p>
  </w:comment>
  <w:comment w:id="20" w:author="Claude" w:date="2026-10-21T00:41:51Z" w:initials="C">
    <w:p w14:paraId="66241C96" w14:textId="77777777">
      <w:r>
        <w:rPr>
          <w:rStyle w:val="CommentReference"/>
        </w:rPr>
        <w:annotationRef/>
      </w:r>
      <w:r>
        <w:rPr>
          <w:color w:val="000000"/>
          <w:sz w:val="20"/>
          <w:szCs w:val="20"/>
        </w:rPr>
        <w:t xml:space="preserve">Abstract reworked around the four takeaways: 149 words (limit 150). Main text is now about 3,460 words (limit 3,500).</w:t>
      </w:r>
    </w:p>
  </w:comment>
  <w:comment w:id="21" w:author="Claude" w:date="2026-10-21T00:41:51Z" w:initials="C">
    <w:p w14:paraId="7E0DC857" w14:textId="77777777">
      <w:r>
        <w:rPr>
          <w:rStyle w:val="CommentReference"/>
        </w:rPr>
        <w:annotationRef/>
      </w:r>
      <w:r>
        <w:rPr>
          <w:color w:val="000000"/>
          <w:sz w:val="20"/>
          <w:szCs w:val="20"/>
        </w:rPr>
        <w:t xml:space="preserve">Figs. 1–3 need regenerating before submission: their solar panels use the earlier PV series, not the one behind Tables 1 and 2. Example: baseline solar Black share is −0.049 in Fig. 3 but −0.218 in Table 1, and solar Hispanic share is ≈0 in Figs. 2–3 but +0.219*** in Table 1. Storage and charging panels match the tables. Re-running from outputs/standardized_tables gives solar housing attenuation of 52% (Black) and 49% (Asian), not 53% and 38%; the text now says 'roughly a third to a half', which holds either way. The same old solar series is in SI Table S2 and the Note S6 percentages, SI Fig. S1, SI Table S15 (y_pv mean 0.39, vs ≈5.5 in the current regression outputs) and SI Table S16 (PV per 1k). Fig. 1's PV colour scale (0–3) and its 'N = 1386' label also predate the refresh; the sample is 1,390.</w:t>
      </w:r>
    </w:p>
  </w:comment>
  <w:comment w:id="22" w:author="Claude" w:date="2026-10-21T00:41:51Z" w:initials="C">
    <w:p w14:paraId="54B14B97" w14:textId="77777777">
      <w:r>
        <w:rPr>
          <w:rStyle w:val="CommentReference"/>
        </w:rPr>
        <w:annotationRef/>
      </w:r>
      <w:r>
        <w:rPr>
          <w:color w:val="000000"/>
          <w:sz w:val="20"/>
          <w:szCs w:val="20"/>
        </w:rPr>
        <w:t xml:space="preserve">Filled in the charging poverty-rate β C1 and β C5 from outputs/standardized_tables (0.127**, p = 0.001; 0.009, p = 0.82). The poverty association does not survive the ladder either, and the text now says so. Separately, SI Table S5 reports this ladder on a different outcome scale (from outputs/nature_revision/ladder_c1_c5.csv): e.g. storage C5 Asian share is −0.142 there vs −0.116 here, with identical p-values. Regenerate S5 from the same tables as this one. SI Note S2's 'attenuate by roughly two-thirds to three-quarters' should also read 'roughly 40 to 90 percent'.</w:t>
      </w:r>
    </w:p>
  </w:comment>
  <w:comment w:id="23" w:author="Claude" w:date="2026-10-21T00:41:51Z" w:initials="C">
    <w:p w14:paraId="79B18D4C" w14:textId="77777777">
      <w:r>
        <w:rPr>
          <w:rStyle w:val="CommentReference"/>
        </w:rPr>
        <w:annotationRef/>
      </w:r>
      <w:r>
        <w:rPr>
          <w:color w:val="000000"/>
          <w:sz w:val="20"/>
          <w:szCs w:val="20"/>
        </w:rPr>
        <w:t xml:space="preserve">Corrected from '4,957 residential, 41 commercial and 2 utility'. The CEC workbook (data/raw/storage/EnergyStorage_Cleaned_August2024_ada.xlsx) has 193,070 / 3,211 / 291 records, matching SI Note S13 and Table S12. Still worth tracing why the residential-only reconstruction correlates only 0.59 with storage_capacity_mw in the processed file (flagged in REVISION_NOTES.md).</w:t>
      </w:r>
    </w:p>
  </w:comment>
  <w:comment w:id="24" w:author="Claude" w:date="2026-10-21T00:41:51Z" w:initials="C">
    <w:p w14:paraId="3FB3E7A3" w14:textId="77777777">
      <w:r>
        <w:rPr>
          <w:rStyle w:val="CommentReference"/>
        </w:rPr>
        <w:annotationRef/>
      </w:r>
      <w:r>
        <w:rPr>
          <w:color w:val="000000"/>
          <w:sz w:val="20"/>
          <w:szCs w:val="20"/>
        </w:rPr>
        <w:t xml:space="preserve">Re the note that was at the top ('do we need an additional conclusions section'): Nature Sustainability Articles run Introduction–Results–Discussion–Methods with no separate Conclusions section, so the takeaways now sit at both ends of the Discussion: the four numbered findings that open it, and this closing paragraph. Rename this subheading (e.g. 'Outlook') or drop it if you prefer.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Ex w15:paraId="28D4EB1D" w15:paraIdParent="43549A5C" w15:done="0"/>
  <w15:commentEx w15:paraId="4A9CFB35" w15:paraIdParent="1FB28FF1" w15:done="0"/>
  <w15:commentEx w15:paraId="0DFB1C86" w15:paraIdParent="2048E632" w15:done="0"/>
  <w15:commentEx w15:paraId="47B5DA2E" w15:paraIdParent="27B3D73E" w15:done="0"/>
  <w15:commentEx w15:paraId="30E8A554" w15:paraIdParent="39553F83" w15:done="0"/>
  <w15:commentEx w15:paraId="67565A7B" w15:paraIdParent="16726434" w15:done="0"/>
  <w15:commentEx w15:paraId="713D4B68" w15:paraIdParent="3D7AC9AD" w15:done="0"/>
  <w15:commentEx w15:paraId="66241C96" w15:done="0"/>
  <w15:commentEx w15:paraId="7E0DC857" w15:done="0"/>
  <w15:commentEx w15:paraId="54B14B97" w15:done="0"/>
  <w15:commentEx w15:paraId="79B18D4C" w15:done="0"/>
  <w15:commentEx w15:paraId="3FB3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Extensible w16cex:durableId="790AAEF5" w16cex:dateUtc="2026-10-21T00:41:50Z"/>
  <w16cex:commentExtensible w16cex:durableId="38BF9FE1" w16cex:dateUtc="2026-10-21T00:41:51Z"/>
  <w16cex:commentExtensible w16cex:durableId="1BEE0A7F" w16cex:dateUtc="2026-10-21T00:41:51Z"/>
  <w16cex:commentExtensible w16cex:durableId="4184C4E4" w16cex:dateUtc="2026-10-21T00:41:51Z"/>
  <w16cex:commentExtensible w16cex:durableId="76843219" w16cex:dateUtc="2026-10-21T00:41:51Z"/>
  <w16cex:commentExtensible w16cex:durableId="726D56B6" w16cex:dateUtc="2026-10-21T00:41:51Z"/>
  <w16cex:commentExtensible w16cex:durableId="48D096DD" w16cex:dateUtc="2026-10-21T00:41:51Z"/>
  <w16cex:commentExtensible w16cex:durableId="13B43483" w16cex:dateUtc="2026-10-21T00:41:51Z"/>
  <w16cex:commentExtensible w16cex:durableId="20B74D33" w16cex:dateUtc="2026-10-21T00:41:51Z"/>
  <w16cex:commentExtensible w16cex:durableId="0CF7E965" w16cex:dateUtc="2026-10-21T00:41:51Z"/>
  <w16cex:commentExtensible w16cex:durableId="742839A0" w16cex:dateUtc="2026-10-21T00:41:51Z"/>
  <w16cex:commentExtensible w16cex:durableId="5D8A52AF" w16cex:dateUtc="2026-10-21T00:41:5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Id w16cid:paraId="28D4EB1D" w16cid:durableId="790AAEF5"/>
  <w16cid:commentId w16cid:paraId="4A9CFB35" w16cid:durableId="38BF9FE1"/>
  <w16cid:commentId w16cid:paraId="0DFB1C86" w16cid:durableId="1BEE0A7F"/>
  <w16cid:commentId w16cid:paraId="47B5DA2E" w16cid:durableId="4184C4E4"/>
  <w16cid:commentId w16cid:paraId="30E8A554" w16cid:durableId="76843219"/>
  <w16cid:commentId w16cid:paraId="67565A7B" w16cid:durableId="726D56B6"/>
  <w16cid:commentId w16cid:paraId="713D4B68" w16cid:durableId="48D096DD"/>
  <w16cid:commentId w16cid:paraId="66241C96" w16cid:durableId="13B43483"/>
  <w16cid:commentId w16cid:paraId="7E0DC857" w16cid:durableId="20B74D33"/>
  <w16cid:commentId w16cid:paraId="54B14B97" w16cid:durableId="0CF7E965"/>
  <w16cid:commentId w16cid:paraId="79B18D4C" w16cid:durableId="742839A0"/>
  <w16cid:commentId w16cid:paraId="3FB3E7A3" w16cid:durableId="5D8A52A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0E79"/>
    <w:rsid w:val="000D5324"/>
    <w:rsid w:val="000E0BF8"/>
    <w:rsid w:val="000F22ED"/>
    <w:rsid w:val="00100D1E"/>
    <w:rsid w:val="00106056"/>
    <w:rsid w:val="00114A22"/>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27A5"/>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1483"/>
    <w:rsid w:val="004747C6"/>
    <w:rsid w:val="0047792C"/>
    <w:rsid w:val="004835F6"/>
    <w:rsid w:val="00483EAB"/>
    <w:rsid w:val="00486BD1"/>
    <w:rsid w:val="004901D2"/>
    <w:rsid w:val="004A1694"/>
    <w:rsid w:val="004A7202"/>
    <w:rsid w:val="004C0D73"/>
    <w:rsid w:val="004C6176"/>
    <w:rsid w:val="004C6F15"/>
    <w:rsid w:val="004C7FF5"/>
    <w:rsid w:val="004D537B"/>
    <w:rsid w:val="004E1F0A"/>
    <w:rsid w:val="004E68F3"/>
    <w:rsid w:val="004F5336"/>
    <w:rsid w:val="005031A8"/>
    <w:rsid w:val="00511E45"/>
    <w:rsid w:val="00513C51"/>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23B9C"/>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3CD7"/>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47CA5"/>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8/s41893-018-0204-z" TargetMode="External"/><Relationship Id="rId26" Type="http://schemas.openxmlformats.org/officeDocument/2006/relationships/hyperlink" Target="https://doi.org/10.1038/s41560-021-00887-6" TargetMode="External"/><Relationship Id="rId39" Type="http://schemas.openxmlformats.org/officeDocument/2006/relationships/hyperlink" Target="https://api.census.gov/data/2023/acs/acs5" TargetMode="External"/><Relationship Id="rId21" Type="http://schemas.openxmlformats.org/officeDocument/2006/relationships/hyperlink" Target="https://doi.org/10.1088/1748-9326/AC4FDC" TargetMode="External"/><Relationship Id="rId34" Type="http://schemas.openxmlformats.org/officeDocument/2006/relationships/hyperlink" Target="https://www.californiadgstats.ca.gov/downloads/" TargetMode="External"/><Relationship Id="rId42" Type="http://schemas.openxmlformats.org/officeDocument/2006/relationships/hyperlink" Target="https://www.energy.ca.gov/data-reports/data-exploration-tools/energy-equity-indicators-dashboard-collection/deep-dive-energy"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github.com/vineetjnair9/distributed-energy-resources-equity-CA" TargetMode="External"/><Relationship Id="rId29" Type="http://schemas.openxmlformats.org/officeDocument/2006/relationships/hyperlink" Target="https://doi.org/10.1016/j"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38126/jspg200106" TargetMode="External"/><Relationship Id="rId32" Type="http://schemas.openxmlformats.org/officeDocument/2006/relationships/hyperlink" Target="https://doi.org/10.1016/S0304-4076(98)00084-0" TargetMode="External"/><Relationship Id="rId37" Type="http://schemas.openxmlformats.org/officeDocument/2006/relationships/hyperlink" Target="https://doi.org/10.5066/F7TX3DN0" TargetMode="External"/><Relationship Id="rId40" Type="http://schemas.openxmlformats.org/officeDocument/2006/relationships/hyperlink" Target="https://www.census.gov/geographies/mapping-files/time-series/geo/tiger-line-file.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greenlining.org/2024/demystifying-equity-in-californias-energy-grid-transition/" TargetMode="External"/><Relationship Id="rId28" Type="http://schemas.openxmlformats.org/officeDocument/2006/relationships/hyperlink" Target="https://doi.org/10.1007/s40518-021-00184-6" TargetMode="External"/><Relationship Id="rId36" Type="http://schemas.openxmlformats.org/officeDocument/2006/relationships/hyperlink" Target="https://www.energy.ca.gov/data-reports/energy-almanac/zero-emission-vehicle-and-infrastructure-statistics-collection/electric"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3390/en15238783"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arxiv.org/abs/2501.13868" TargetMode="External"/><Relationship Id="rId27" Type="http://schemas.openxmlformats.org/officeDocument/2006/relationships/hyperlink" Target="http://arxiv.org/abs/2504.18905" TargetMode="External"/><Relationship Id="rId30" Type="http://schemas.openxmlformats.org/officeDocument/2006/relationships/hyperlink" Target="https://doi.org/10.1145/3599733" TargetMode="External"/><Relationship Id="rId35" Type="http://schemas.openxmlformats.org/officeDocument/2006/relationships/hyperlink" Target="https://www.energy.ca.gov/data-reports/energy-almanac/california-electricity-data/california-energy-storage-system-survey" TargetMode="External"/><Relationship Id="rId43" Type="http://schemas.openxmlformats.org/officeDocument/2006/relationships/hyperlink" Target="https://pge-energydatarequest.com/public_datasets" TargetMode="Externa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16/j" TargetMode="External"/><Relationship Id="rId25" Type="http://schemas.openxmlformats.org/officeDocument/2006/relationships/hyperlink" Target="https://doi.org/10.1038/s41467-024-48967-x" TargetMode="External"/><Relationship Id="rId33" Type="http://schemas.openxmlformats.org/officeDocument/2006/relationships/hyperlink" Target="https://emp.lbl.gov/tracking-the-sun" TargetMode="External"/><Relationship Id="rId38" Type="http://schemas.openxmlformats.org/officeDocument/2006/relationships/hyperlink" Target="https://atlas.eia.gov/datasets/eia::power-plants/explore" TargetMode="External"/><Relationship Id="rId46" Type="http://schemas.openxmlformats.org/officeDocument/2006/relationships/theme" Target="theme/theme1.xml"/><Relationship Id="rId20" Type="http://schemas.openxmlformats.org/officeDocument/2006/relationships/hyperlink" Target="https://doi.org/10.1016/J" TargetMode="External"/><Relationship Id="rId41" Type="http://schemas.openxmlformats.org/officeDocument/2006/relationships/hyperlink" Target="https://power.larc.nas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9228</Words>
  <Characters>52604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21</cp:revision>
  <dcterms:created xsi:type="dcterms:W3CDTF">2026-06-27T01:50:00Z</dcterms:created>
  <dcterms:modified xsi:type="dcterms:W3CDTF">2026-10-11T18:41:00Z</dcterms:modified>
  <cp:category/>
</cp:coreProperties>
</file>