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2DD92F" w14:textId="77777777" w:rsidR="003D485F" w:rsidRDefault="003D485F" w:rsidP="00880690">
      <w:pPr>
        <w:pStyle w:val="Title"/>
        <w:rPr>
          <w:b/>
          <w:bCs/>
        </w:rPr>
      </w:pPr>
      <w:r>
        <w:t>Inequity in distributed energy adoption is technology-specific, not uniform</w:t>
      </w:r>
    </w:p>
    <w:p w14:paraId="4D66CB27" w14:textId="77777777" w:rsidR="006477EE" w:rsidRDefault="006477EE">
      <w:r>
        <w:t>Danielle Knutson</w:t>
      </w:r>
      <w:r>
        <w:t>¹</w:t>
      </w:r>
      <w:r>
        <w:t xml:space="preserve">, </w:t>
      </w:r>
      <w:r w:rsidR="00000000">
        <w:t>Vineet Jagadeesan Nair</w:t>
      </w:r>
      <w:bookmarkStart w:id="0" w:name="OLE_LINK1"/>
      <w:r w:rsidR="00000000">
        <w:t>¹</w:t>
      </w:r>
      <w:bookmarkEnd w:id="0"/>
      <w:r>
        <w:t>*</w:t>
      </w:r>
      <w:r w:rsidR="00000000">
        <w:t xml:space="preserve">, </w:t>
      </w:r>
      <w:r>
        <w:t xml:space="preserve">and Anuradha Annaswamy </w:t>
      </w:r>
    </w:p>
    <w:p w14:paraId="4DF242E8" w14:textId="77777777" w:rsidR="006477EE" w:rsidRDefault="00000000">
      <w:r>
        <w:t>¹Massachusetts Institute of Technology, Cambridge, MA, USA</w:t>
      </w:r>
    </w:p>
    <w:p w14:paraId="79F1A228" w14:textId="0709FF49" w:rsidR="008756AB" w:rsidRDefault="00000000">
      <w:r>
        <w:t xml:space="preserve">Corresponding author: </w:t>
      </w:r>
      <w:hyperlink r:id="rId6" w:history="1">
        <w:r w:rsidR="006477EE" w:rsidRPr="00581AEA">
          <w:rPr>
            <w:rStyle w:val="Hyperlink"/>
          </w:rPr>
          <w:t>jvineet9@mit.edu</w:t>
        </w:r>
      </w:hyperlink>
      <w:r w:rsidR="006477EE">
        <w:t xml:space="preserve"> </w:t>
      </w:r>
    </w:p>
    <w:p w14:paraId="45E6E0AD" w14:textId="77777777" w:rsidR="00B86A12" w:rsidRDefault="00000000">
      <w:pPr>
        <w:pStyle w:val="Heading1"/>
      </w:pPr>
      <w:bookmarkStart w:id="1" w:name="_Ref237519268"/>
      <w:bookmarkStart w:id="2" w:name="OLE_LINK2"/>
      <w:r>
        <w:t>Abstract</w:t>
      </w:r>
      <w:bookmarkEnd w:id="1"/>
    </w:p>
    <w:bookmarkEnd w:id="2"/>
    <w:p w14:paraId="45463692" w14:textId="77777777" w:rsidR="007F6C74" w:rsidRDefault="007F6C74" w:rsidP="007F6C74">
      <w:r>
        <w:t>Distributed energy resources are central to decarbonization, resilience and electrification, but their benefits are not guaranteed to be shared evenly. Evidence of racial disparity in rooftop solar is usually assumed to generalize across technologies. We test that assumption across 1,390 California ZIP Code Tabulation Areas, harmonizing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p>
    <w:p w14:paraId="31A86432" w14:textId="77777777" w:rsidR="008756AB" w:rsidRDefault="00000000">
      <w:r>
        <w:t>As electricity systems decarbonize,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actually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24188DE2" w14:textId="185C4C32" w:rsidR="008756AB" w:rsidRDefault="00000000">
      <w:r>
        <w:t>The evidence that it does so is almost entirely about solar.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5D07E806" w14:textId="02E2F08B" w:rsidR="008756AB" w:rsidRDefault="00000000">
      <w:r>
        <w:lastRenderedPageBreak/>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35D0E9E" w14:textId="68D663F0" w:rsidR="008756AB" w:rsidRDefault="00000000">
      <w:r>
        <w:t>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is fragmented across technologies and agencies [16][17].</w:t>
      </w:r>
    </w:p>
    <w:p w14:paraId="74066E1B" w14:textId="03C4E374" w:rsidR="008756AB" w:rsidRDefault="00000000">
      <w:r>
        <w:t>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w:t>
      </w:r>
      <w:r w:rsidR="00384D7C">
        <w:t>,</w:t>
      </w:r>
      <w:r>
        <w:t xml:space="preserve"> the standard metric — the count of installed units — does not measure what equity policy assumes it measures.</w:t>
      </w:r>
    </w:p>
    <w:p w14:paraId="35BAF02E" w14:textId="77777777" w:rsidR="00B86A12" w:rsidRDefault="00091F08">
      <w:pPr>
        <w:pStyle w:val="Heading1"/>
        <w:numPr>
          <w:ilvl w:val="0"/>
          <w:numId w:val="11"/>
        </w:numPr>
      </w:pPr>
      <w:bookmarkStart w:id="3" w:name="_Ref_sec_results"/>
      <w:r>
        <w:t>Results</w:t>
      </w:r>
      <w:bookmarkEnd w:id="3"/>
    </w:p>
    <w:p w14:paraId="5F9CDD9D" w14:textId="77777777" w:rsidR="008756AB" w:rsidRDefault="00000000">
      <w:pPr>
        <w:pStyle w:val="Heading2"/>
      </w:pPr>
      <w:r>
        <w:t>Disparities differ by technology</w:t>
      </w:r>
    </w:p>
    <w:p w14:paraId="1FEEC620" w14:textId="77777777" w:rsidR="008756AB" w:rsidRDefault="00000000">
      <w:r>
        <w:t>Racial and socioeconomic disparities are not uniform across technologies. In the baseline specification (Table 1), rooftop photovoltaics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2633774B" w14:textId="77777777" w:rsidR="00F121D0" w:rsidRDefault="009611E9" w:rsidP="00F121D0">
      <w:pPr>
        <w:keepNext/>
        <w:jc w:val="center"/>
      </w:pPr>
      <w:r>
        <w:rPr>
          <w:noProof/>
        </w:rPr>
        <w:lastRenderedPageBreak/>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917999"/>
                    </a:xfrm>
                    <a:prstGeom prst="rect">
                      <a:avLst/>
                    </a:prstGeom>
                  </pic:spPr>
                </pic:pic>
              </a:graphicData>
            </a:graphic>
          </wp:inline>
        </w:drawing>
      </w:r>
    </w:p>
    <w:p w14:paraId="1F743E88" w14:textId="77777777" w:rsidR="008756AB" w:rsidRDefault="00000000">
      <w:pPr>
        <w:pStyle w:val="Caption"/>
      </w:pPr>
      <w:r>
        <w:t>Fig. 1 | Distributed energy deployment across California ZIP Code Tabulation Areas. Rooftop photovoltaics, battery storage and aggregate EV charging, before any regression adjustment. Blank areas indicate excluded or missing observations.</w:t>
      </w:r>
    </w:p>
    <w:p w14:paraId="498FA96B" w14:textId="77777777" w:rsidR="008756AB" w:rsidRDefault="00000000">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8756AB" w14:paraId="72270414" w14:textId="77777777">
        <w:tc>
          <w:tcPr>
            <w:tcW w:w="0" w:type="auto"/>
          </w:tcPr>
          <w:p w14:paraId="276348B0" w14:textId="77777777" w:rsidR="008756AB" w:rsidRDefault="00000000">
            <w:r>
              <w:rPr>
                <w:b/>
              </w:rPr>
              <w:t>Predictor</w:t>
            </w:r>
          </w:p>
        </w:tc>
        <w:tc>
          <w:tcPr>
            <w:tcW w:w="0" w:type="auto"/>
          </w:tcPr>
          <w:p w14:paraId="26E8411C" w14:textId="77777777" w:rsidR="008756AB" w:rsidRDefault="00000000">
            <w:r>
              <w:rPr>
                <w:b/>
              </w:rPr>
              <w:t>Rooftop PV</w:t>
            </w:r>
          </w:p>
        </w:tc>
        <w:tc>
          <w:tcPr>
            <w:tcW w:w="0" w:type="auto"/>
          </w:tcPr>
          <w:p w14:paraId="3716995A" w14:textId="77777777" w:rsidR="008756AB" w:rsidRDefault="00000000">
            <w:r>
              <w:rPr>
                <w:b/>
              </w:rPr>
              <w:t>Battery storage</w:t>
            </w:r>
          </w:p>
        </w:tc>
        <w:tc>
          <w:tcPr>
            <w:tcW w:w="0" w:type="auto"/>
          </w:tcPr>
          <w:p w14:paraId="7905E4CA" w14:textId="77777777" w:rsidR="008756AB" w:rsidRDefault="00000000">
            <w:r>
              <w:rPr>
                <w:b/>
              </w:rPr>
              <w:t>EV charging</w:t>
            </w:r>
          </w:p>
        </w:tc>
      </w:tr>
      <w:tr w:rsidR="008756AB" w14:paraId="14F41AEE" w14:textId="77777777">
        <w:tc>
          <w:tcPr>
            <w:tcW w:w="0" w:type="auto"/>
          </w:tcPr>
          <w:p w14:paraId="5DD46647" w14:textId="77777777" w:rsidR="008756AB" w:rsidRDefault="00000000">
            <w:r>
              <w:t>Log median household income</w:t>
            </w:r>
          </w:p>
        </w:tc>
        <w:tc>
          <w:tcPr>
            <w:tcW w:w="0" w:type="auto"/>
          </w:tcPr>
          <w:p w14:paraId="3864AB1A" w14:textId="77777777" w:rsidR="008756AB" w:rsidRDefault="00000000">
            <w:r>
              <w:t>0.439*** (0.084)</w:t>
            </w:r>
          </w:p>
        </w:tc>
        <w:tc>
          <w:tcPr>
            <w:tcW w:w="0" w:type="auto"/>
          </w:tcPr>
          <w:p w14:paraId="0904E136" w14:textId="77777777" w:rsidR="008756AB" w:rsidRDefault="00000000">
            <w:r>
              <w:t>0.310*** (0.049)</w:t>
            </w:r>
          </w:p>
        </w:tc>
        <w:tc>
          <w:tcPr>
            <w:tcW w:w="0" w:type="auto"/>
          </w:tcPr>
          <w:p w14:paraId="1B408326" w14:textId="77777777" w:rsidR="008756AB" w:rsidRDefault="00000000">
            <w:r>
              <w:t>0.066 (0.039)</w:t>
            </w:r>
          </w:p>
        </w:tc>
      </w:tr>
      <w:tr w:rsidR="008756AB" w14:paraId="5CD24865" w14:textId="77777777">
        <w:tc>
          <w:tcPr>
            <w:tcW w:w="0" w:type="auto"/>
          </w:tcPr>
          <w:p w14:paraId="73B9D2EE" w14:textId="77777777" w:rsidR="008756AB" w:rsidRDefault="00000000">
            <w:r>
              <w:t>Black share</w:t>
            </w:r>
          </w:p>
        </w:tc>
        <w:tc>
          <w:tcPr>
            <w:tcW w:w="0" w:type="auto"/>
          </w:tcPr>
          <w:p w14:paraId="3ADDF6B0" w14:textId="77777777" w:rsidR="008756AB" w:rsidRDefault="00000000">
            <w:r>
              <w:t>−0.218*** (0.047)</w:t>
            </w:r>
          </w:p>
        </w:tc>
        <w:tc>
          <w:tcPr>
            <w:tcW w:w="0" w:type="auto"/>
          </w:tcPr>
          <w:p w14:paraId="704D8BEF" w14:textId="77777777" w:rsidR="008756AB" w:rsidRDefault="00000000">
            <w:r>
              <w:t>−0.106*** (0.021)</w:t>
            </w:r>
          </w:p>
        </w:tc>
        <w:tc>
          <w:tcPr>
            <w:tcW w:w="0" w:type="auto"/>
          </w:tcPr>
          <w:p w14:paraId="69FE5365" w14:textId="77777777" w:rsidR="008756AB" w:rsidRDefault="00000000">
            <w:r>
              <w:t>−0.000 (0.022)</w:t>
            </w:r>
          </w:p>
        </w:tc>
      </w:tr>
      <w:tr w:rsidR="008756AB" w14:paraId="70F74FE1" w14:textId="77777777">
        <w:tc>
          <w:tcPr>
            <w:tcW w:w="0" w:type="auto"/>
          </w:tcPr>
          <w:p w14:paraId="0A302A74" w14:textId="77777777" w:rsidR="008756AB" w:rsidRDefault="00000000">
            <w:r>
              <w:t>Hispanic share</w:t>
            </w:r>
          </w:p>
        </w:tc>
        <w:tc>
          <w:tcPr>
            <w:tcW w:w="0" w:type="auto"/>
          </w:tcPr>
          <w:p w14:paraId="74D95CDC" w14:textId="77777777" w:rsidR="008756AB" w:rsidRDefault="00000000">
            <w:r>
              <w:t>0.219*** (0.059)</w:t>
            </w:r>
          </w:p>
        </w:tc>
        <w:tc>
          <w:tcPr>
            <w:tcW w:w="0" w:type="auto"/>
          </w:tcPr>
          <w:p w14:paraId="51CC5104" w14:textId="77777777" w:rsidR="008756AB" w:rsidRDefault="00000000">
            <w:r>
              <w:t>−0.146*** (0.030)</w:t>
            </w:r>
          </w:p>
        </w:tc>
        <w:tc>
          <w:tcPr>
            <w:tcW w:w="0" w:type="auto"/>
          </w:tcPr>
          <w:p w14:paraId="264CF247" w14:textId="77777777" w:rsidR="008756AB" w:rsidRDefault="00000000">
            <w:r>
              <w:t>−0.096*** (0.025)</w:t>
            </w:r>
          </w:p>
        </w:tc>
      </w:tr>
      <w:tr w:rsidR="008756AB" w14:paraId="114954D8" w14:textId="77777777">
        <w:tc>
          <w:tcPr>
            <w:tcW w:w="0" w:type="auto"/>
          </w:tcPr>
          <w:p w14:paraId="5AC04C85" w14:textId="77777777" w:rsidR="008756AB" w:rsidRDefault="00000000">
            <w:r>
              <w:t>Asian share</w:t>
            </w:r>
          </w:p>
        </w:tc>
        <w:tc>
          <w:tcPr>
            <w:tcW w:w="0" w:type="auto"/>
          </w:tcPr>
          <w:p w14:paraId="1E4465CE" w14:textId="77777777" w:rsidR="008756AB" w:rsidRDefault="00000000">
            <w:r>
              <w:t>−0.297*** (0.043)</w:t>
            </w:r>
          </w:p>
        </w:tc>
        <w:tc>
          <w:tcPr>
            <w:tcW w:w="0" w:type="auto"/>
          </w:tcPr>
          <w:p w14:paraId="4102615C" w14:textId="77777777" w:rsidR="008756AB" w:rsidRDefault="00000000">
            <w:r>
              <w:t>−0.252*** (0.023)</w:t>
            </w:r>
          </w:p>
        </w:tc>
        <w:tc>
          <w:tcPr>
            <w:tcW w:w="0" w:type="auto"/>
          </w:tcPr>
          <w:p w14:paraId="135DD1E1" w14:textId="77777777" w:rsidR="008756AB" w:rsidRDefault="00000000">
            <w:r>
              <w:t>0.058** (0.021)</w:t>
            </w:r>
          </w:p>
        </w:tc>
      </w:tr>
      <w:tr w:rsidR="008756AB" w14:paraId="6D734121" w14:textId="77777777">
        <w:tc>
          <w:tcPr>
            <w:tcW w:w="0" w:type="auto"/>
          </w:tcPr>
          <w:p w14:paraId="4548AD79" w14:textId="77777777" w:rsidR="008756AB" w:rsidRDefault="00000000">
            <w:r>
              <w:t>Poverty rate</w:t>
            </w:r>
          </w:p>
        </w:tc>
        <w:tc>
          <w:tcPr>
            <w:tcW w:w="0" w:type="auto"/>
          </w:tcPr>
          <w:p w14:paraId="1033CDFB" w14:textId="77777777" w:rsidR="008756AB" w:rsidRDefault="00000000">
            <w:r>
              <w:t>−0.043 (0.081)</w:t>
            </w:r>
          </w:p>
        </w:tc>
        <w:tc>
          <w:tcPr>
            <w:tcW w:w="0" w:type="auto"/>
          </w:tcPr>
          <w:p w14:paraId="2E71D38D" w14:textId="77777777" w:rsidR="008756AB" w:rsidRDefault="00000000">
            <w:r>
              <w:t>−0.017 (0.042)</w:t>
            </w:r>
          </w:p>
        </w:tc>
        <w:tc>
          <w:tcPr>
            <w:tcW w:w="0" w:type="auto"/>
          </w:tcPr>
          <w:p w14:paraId="5FCD98FE" w14:textId="77777777" w:rsidR="008756AB" w:rsidRDefault="00000000">
            <w:r>
              <w:t>0.149*** (0.037)</w:t>
            </w:r>
          </w:p>
        </w:tc>
      </w:tr>
      <w:tr w:rsidR="008756AB" w14:paraId="4E5C7302" w14:textId="77777777">
        <w:tc>
          <w:tcPr>
            <w:tcW w:w="0" w:type="auto"/>
          </w:tcPr>
          <w:p w14:paraId="79968EAA" w14:textId="77777777" w:rsidR="008756AB" w:rsidRDefault="00000000">
            <w:r>
              <w:t>Resource / climate control</w:t>
            </w:r>
          </w:p>
        </w:tc>
        <w:tc>
          <w:tcPr>
            <w:tcW w:w="0" w:type="auto"/>
          </w:tcPr>
          <w:p w14:paraId="1FEBFD61" w14:textId="77777777" w:rsidR="008756AB" w:rsidRDefault="00000000">
            <w:r>
              <w:t>GHI 0.106* (0.044)</w:t>
            </w:r>
          </w:p>
        </w:tc>
        <w:tc>
          <w:tcPr>
            <w:tcW w:w="0" w:type="auto"/>
          </w:tcPr>
          <w:p w14:paraId="3B644230" w14:textId="77777777" w:rsidR="008756AB" w:rsidRDefault="00000000">
            <w:r>
              <w:t>CDD 0.033 (0.033); HDD −0.003 (0.035)</w:t>
            </w:r>
          </w:p>
        </w:tc>
        <w:tc>
          <w:tcPr>
            <w:tcW w:w="0" w:type="auto"/>
          </w:tcPr>
          <w:p w14:paraId="104BFE03" w14:textId="77777777" w:rsidR="008756AB" w:rsidRDefault="00000000">
            <w:r>
              <w:t>CDD −0.120*** (0.022); HDD −0.025 (0.027)</w:t>
            </w:r>
          </w:p>
        </w:tc>
      </w:tr>
      <w:tr w:rsidR="008756AB" w14:paraId="368F6D46" w14:textId="77777777">
        <w:tc>
          <w:tcPr>
            <w:tcW w:w="0" w:type="auto"/>
          </w:tcPr>
          <w:p w14:paraId="4BB4FD3A" w14:textId="77777777" w:rsidR="008756AB" w:rsidRDefault="00000000">
            <w:r>
              <w:t>N</w:t>
            </w:r>
          </w:p>
        </w:tc>
        <w:tc>
          <w:tcPr>
            <w:tcW w:w="0" w:type="auto"/>
          </w:tcPr>
          <w:p w14:paraId="79636A51" w14:textId="77777777" w:rsidR="008756AB" w:rsidRDefault="00000000">
            <w:r>
              <w:t>1,390</w:t>
            </w:r>
          </w:p>
        </w:tc>
        <w:tc>
          <w:tcPr>
            <w:tcW w:w="0" w:type="auto"/>
          </w:tcPr>
          <w:p w14:paraId="75F293DE" w14:textId="77777777" w:rsidR="008756AB" w:rsidRDefault="00000000">
            <w:r>
              <w:t>1,390</w:t>
            </w:r>
          </w:p>
        </w:tc>
        <w:tc>
          <w:tcPr>
            <w:tcW w:w="0" w:type="auto"/>
          </w:tcPr>
          <w:p w14:paraId="761FA1CF" w14:textId="77777777" w:rsidR="008756AB" w:rsidRDefault="00000000">
            <w:r>
              <w:t>1,390</w:t>
            </w:r>
          </w:p>
        </w:tc>
      </w:tr>
      <w:tr w:rsidR="008756AB" w14:paraId="52FB55FC" w14:textId="77777777">
        <w:tc>
          <w:tcPr>
            <w:tcW w:w="0" w:type="auto"/>
          </w:tcPr>
          <w:p w14:paraId="375FDFA3" w14:textId="77777777" w:rsidR="008756AB" w:rsidRDefault="00000000">
            <w:r>
              <w:t>R²</w:t>
            </w:r>
          </w:p>
        </w:tc>
        <w:tc>
          <w:tcPr>
            <w:tcW w:w="0" w:type="auto"/>
          </w:tcPr>
          <w:p w14:paraId="74133572" w14:textId="77777777" w:rsidR="008756AB" w:rsidRDefault="00000000">
            <w:r>
              <w:t>0.074</w:t>
            </w:r>
          </w:p>
        </w:tc>
        <w:tc>
          <w:tcPr>
            <w:tcW w:w="0" w:type="auto"/>
          </w:tcPr>
          <w:p w14:paraId="1FF65053" w14:textId="77777777" w:rsidR="008756AB" w:rsidRDefault="00000000">
            <w:r>
              <w:t>0.188</w:t>
            </w:r>
          </w:p>
        </w:tc>
        <w:tc>
          <w:tcPr>
            <w:tcW w:w="0" w:type="auto"/>
          </w:tcPr>
          <w:p w14:paraId="47744802" w14:textId="77777777" w:rsidR="008756AB" w:rsidRDefault="00000000">
            <w:r>
              <w:t>0.079</w:t>
            </w:r>
          </w:p>
        </w:tc>
      </w:tr>
    </w:tbl>
    <w:p w14:paraId="0F1E758C" w14:textId="2AFFDED2" w:rsidR="008756AB" w:rsidRDefault="0097386F">
      <w:r>
        <w:br/>
      </w:r>
      <w:r w:rsidR="00000000">
        <w:t>Figure 2 traces the five focal coefficients across the model series, in which each specification adds or substitutes one control block against a fixed core. Reading the three panels together is the paper's central comparison. The storage coefficients are the largest and the flattest: race and ethnicity shares stay negative and separated from zero across every specification. The solar coefficients are smaller and move more, particularly where housing enters. The charging coefficients behave differently again, with poverty rate the only consistently signed predictor and the race terms crossing zero. Whatever is producing inequity is not one mechanism operating at three intensities.</w:t>
      </w:r>
    </w:p>
    <w:p w14:paraId="1E903CE6" w14:textId="77777777" w:rsidR="008756AB" w:rsidRDefault="00000000">
      <w:r>
        <w:lastRenderedPageBreak/>
        <w:t>Baseline explanatory power is low by construction,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 and 0.42 for storage (Supplementary Table S5).</w:t>
      </w:r>
    </w:p>
    <w:p w14:paraId="1E7D1082" w14:textId="77777777" w:rsidR="00F121D0" w:rsidRDefault="009611E9" w:rsidP="00F121D0">
      <w:pPr>
        <w:pStyle w:val="Caption"/>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232400"/>
                    </a:xfrm>
                    <a:prstGeom prst="rect">
                      <a:avLst/>
                    </a:prstGeom>
                  </pic:spPr>
                </pic:pic>
              </a:graphicData>
            </a:graphic>
          </wp:inline>
        </w:drawing>
      </w:r>
    </w:p>
    <w:p w14:paraId="3EEF139C" w14:textId="77777777" w:rsidR="008756AB" w:rsidRDefault="00000000">
      <w:pPr>
        <w:pStyle w:val="Caption"/>
      </w:pPr>
      <w:commentRangeStart w:id="4"/>
      <w:r>
        <w:t>Fig. 2 | Focal coefficients across the model series, by technology</w:t>
      </w:r>
      <w:commentRangeEnd w:id="4"/>
      <w:r w:rsidR="0097386F">
        <w:rPr>
          <w:rStyle w:val="CommentReference"/>
          <w:sz w:val="18"/>
          <w:szCs w:val="18"/>
        </w:rPr>
        <w:commentReference w:id="4"/>
      </w:r>
      <w:r>
        <w:t xml:space="preserve">. Standardized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coefficients (b) are the largest and the flattest; </w:t>
      </w:r>
      <w:commentRangeStart w:id="5"/>
      <w:r>
        <w:t>the charging coefficients (c) are the only set in which race terms cross zero.</w:t>
      </w:r>
      <w:commentRangeEnd w:id="5"/>
      <w:r w:rsidR="0097386F">
        <w:rPr>
          <w:rStyle w:val="CommentReference"/>
          <w:sz w:val="18"/>
          <w:szCs w:val="18"/>
        </w:rPr>
        <w:commentReference w:id="5"/>
      </w:r>
    </w:p>
    <w:p w14:paraId="74D00CFA" w14:textId="77777777" w:rsidR="008756AB" w:rsidRDefault="00000000">
      <w:pPr>
        <w:pStyle w:val="Heading2"/>
      </w:pPr>
      <w:commentRangeStart w:id="6"/>
      <w:r>
        <w:t>Battery storage: the deepest and most persistent disparities</w:t>
      </w:r>
      <w:commentRangeEnd w:id="6"/>
      <w:r w:rsidR="0097386F">
        <w:rPr>
          <w:rStyle w:val="CommentReference"/>
          <w:sz w:val="26"/>
          <w:szCs w:val="26"/>
        </w:rPr>
        <w:commentReference w:id="6"/>
      </w:r>
    </w:p>
    <w:p w14:paraId="6C8ED3B2" w14:textId="77777777" w:rsidR="008756AB" w:rsidRDefault="00000000">
      <w:r>
        <w:t>Storage carries the strongest disparity pattern in the study. In the baseline, income is strongly positive while Black, Hispanic and Asian shares are all negative and precisely estimated, with coefficients larger in magnitude than the corresponding solar estimates. Unlike the other two outcomes, the pattern does not depend on any single control block: it survives educational attainment, housing value, housing structure and tenure, utility fixed effects, county clustering, infrastructure context and the electricity-demand proxy, and the confidence bands in Figure 2b stay clear of zero throughout (Supplementary Fig. S2).</w:t>
      </w:r>
    </w:p>
    <w:p w14:paraId="3E5C3DB0" w14:textId="77777777" w:rsidR="008756AB" w:rsidRDefault="00000000">
      <w:r>
        <w:lastRenderedPageBreak/>
        <w:t xml:space="preserve">It also survives every robustness check we ran. Under Conley spatially robust standard errors the Asian- and Hispanic-share coefficients hold at every distance cutoff. Across all 48 valid combinations of the six confounder blocks, the Asian-share coefficient is significant and same-signed in 48 of 48, Hispanic share in 44 and Black share in 36 — the highest counts for any outcome. </w:t>
      </w:r>
      <w:bookmarkStart w:id="7" w:name="OLE_LINK3"/>
      <w:bookmarkStart w:id="8" w:name="OLE_LINK4"/>
      <w:commentRangeStart w:id="9"/>
      <w:r>
        <w:t xml:space="preserve">Oster bounds </w:t>
      </w:r>
      <w:bookmarkEnd w:id="7"/>
      <w:r>
        <w:t xml:space="preserve">put storage Hispanic share at δ = 1.99 and Asian share at 1.29, both above the conventional threshold of one, meaning selection on unobservables would have to be stronger than selection on the observed confounders to explain them away (Table 2). </w:t>
      </w:r>
      <w:bookmarkEnd w:id="8"/>
      <w:commentRangeEnd w:id="9"/>
      <w:r w:rsidR="0097386F">
        <w:rPr>
          <w:rStyle w:val="CommentReference"/>
          <w:sz w:val="22"/>
          <w:szCs w:val="22"/>
        </w:rPr>
        <w:commentReference w:id="9"/>
      </w:r>
      <w:r>
        <w:t>A Poisson model fitted to raw capacity with a population offset, and a spatial error model, reproduce all three signs and significances (Supplementary Tables S8 and S10).</w:t>
      </w:r>
    </w:p>
    <w:p w14:paraId="73B763AC" w14:textId="77777777" w:rsidR="008756AB" w:rsidRDefault="00000000">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5D77BC69" w14:textId="77777777" w:rsidR="008756AB" w:rsidRDefault="00000000">
      <w:r>
        <w:t>The substantive point is that storage inequity is deeper than solar inequity and more robust than either of the other two results, and storage is the technology whose benefit — backup power during outages and wildfire shutoffs — is most concentrated in exactly the communities showing the lowest deployment.</w:t>
      </w:r>
    </w:p>
    <w:p w14:paraId="5583FCCF" w14:textId="77777777" w:rsidR="008756AB" w:rsidRDefault="00000000">
      <w:pPr>
        <w:pStyle w:val="Heading2"/>
      </w:pPr>
      <w:r>
        <w:t>Rooftop solar: disparities that housing composition partly explains</w:t>
      </w:r>
    </w:p>
    <w:p w14:paraId="438663EC" w14:textId="77777777" w:rsidR="008756AB" w:rsidRDefault="00000000">
      <w:r>
        <w:t>For rooftop solar, ZCTAs with higher median household income show higher adoption intensity, while those with larger Black and Asian population shares show substantially lower intensity. Solar resource potential behaves as expected: mean global horizontal irradiance is positive and highly significant, so the racial gradient is not an artifact of lower-income areas having worse solar resource. Hispanic share runs the other way for solar alone, positive and significant, and does not follow the Black and Asian pattern in any specification; we therefore treat the solar racial gradient as a Black- and Asian-share result rather than a general non-white one.</w:t>
      </w:r>
    </w:p>
    <w:p w14:paraId="15B41C98" w14:textId="77777777" w:rsidR="008756AB" w:rsidRDefault="00000000">
      <w:r>
        <w:t xml:space="preserve">Housing is tested directly rather than left as a proposed mechanism. Adding the exhaustive </w:t>
      </w:r>
      <w:commentRangeStart w:id="10"/>
      <w:r>
        <w:t>ACS B25024 structure composition, with single-family units as the reference, and B25003 owner occupancy</w:t>
      </w:r>
      <w:commentRangeEnd w:id="10"/>
      <w:r w:rsidR="00FF44A5">
        <w:rPr>
          <w:rStyle w:val="CommentReference"/>
          <w:sz w:val="22"/>
          <w:szCs w:val="22"/>
        </w:rPr>
        <w:commentReference w:id="10"/>
      </w:r>
      <w:r>
        <w:t>, with renters as the reference, moves every race coefficient for solar and storage toward zero without eliminating it (Figure 3). Area-level housing composition absorbs between 32 and 53 percent of these coefficients across the four technology-by-race combinations, most for the solar Black share and least for the storage Asian share (Supplementary Table S2). Movement toward zero is attenuation associated with area-level housing composition; these models do not identify household-level tenure or roof access.</w:t>
      </w:r>
    </w:p>
    <w:p w14:paraId="39B9AE1D" w14:textId="77777777" w:rsidR="008756AB" w:rsidRDefault="00000000">
      <w:r>
        <w:t xml:space="preserve">The two solar race coefficients are not equally solid, </w:t>
      </w:r>
      <w:commentRangeStart w:id="11"/>
      <w:r>
        <w:t>and the paper should not treat them as though they were</w:t>
      </w:r>
      <w:commentRangeEnd w:id="11"/>
      <w:r w:rsidR="00FF44A5">
        <w:rPr>
          <w:rStyle w:val="CommentReference"/>
          <w:sz w:val="22"/>
          <w:szCs w:val="22"/>
        </w:rPr>
        <w:commentReference w:id="11"/>
      </w:r>
      <w:r>
        <w:t>. The Asian-share coefficient is robust: significant at the 0.1 percent level at every Conley distance cutoff, same-signed and significant in 34 of 48 specification-curve combinations, and clearing the Oster threshold at δ = 1.57. The Black-share coefficient is weaker on all three measures — 28 of 48, δ = 0.32, and less precisely estimated than the heteroskedasticity-robust errors imply once residuals are allowed to covary with distance. We report both, and rest the solar conclusion on the Asian-share result.</w:t>
      </w:r>
    </w:p>
    <w:p w14:paraId="23595F89" w14:textId="77777777" w:rsidR="008756AB" w:rsidRDefault="00000000">
      <w:r>
        <w:t>High-Asian-share ZCTAs are also the highest-income profiles in the sample, which is hard to square with an income-based reading of their low solar and storage deployment. They concentrate in dense metropolitan submarkets where multifamily housing and lower owner-occupancy limit roof control, and the same density supports commercial charging siting — which is why the sign flips for charging in the baseline and collapses toward zero once housing enters.</w:t>
      </w:r>
    </w:p>
    <w:p w14:paraId="36B2CBCF" w14:textId="77777777" w:rsidR="008A7C5A" w:rsidRDefault="00000000" w:rsidP="008A7C5A">
      <w:pPr>
        <w:keepNext/>
      </w:pPr>
      <w:r>
        <w:rPr>
          <w:noProof/>
        </w:rPr>
        <w:lastRenderedPageBreak/>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338610"/>
                    </a:xfrm>
                    <a:prstGeom prst="rect">
                      <a:avLst/>
                    </a:prstGeom>
                  </pic:spPr>
                </pic:pic>
              </a:graphicData>
            </a:graphic>
          </wp:inline>
        </w:drawing>
      </w:r>
    </w:p>
    <w:p w14:paraId="04419128" w14:textId="77777777" w:rsidR="008756AB" w:rsidRDefault="00000000">
      <w:pPr>
        <w:pStyle w:val="Caption"/>
      </w:pPr>
      <w:r>
        <w:t>Fig. 3 | Race-coefficient attenuation after adding housing structure and tenure. Hollow points are the baseline specification; filled points add exhaustive ACS B25024 structure shares (single-family reference) and B25003 owner occupancy (renter reference). Housing composition absorbs 32 to 53 percent of these coefficients without eliminating any.</w:t>
      </w:r>
    </w:p>
    <w:p w14:paraId="626A4D8C" w14:textId="77777777" w:rsidR="008756AB" w:rsidRDefault="00000000">
      <w:pPr>
        <w:pStyle w:val="Heading2"/>
      </w:pPr>
      <w:r>
        <w:t>Charging measures infrastructure, not usable access</w:t>
      </w:r>
    </w:p>
    <w:p w14:paraId="232DDF89" w14:textId="77777777" w:rsidR="008756AB" w:rsidRDefault="00000000">
      <w:r>
        <w:t>The charging results are the most distinctive in the study and the least like a conventional access gradient.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standard errors it remains significant at 50 km and 200 km but not at 100 km, and it reverses sign once housing structure and tenure enter, so we build no interpretation on it. The Black-share coefficient is significant in 0 of 48 specification-curve combinations despite appearing significant in individual specifications — the clearest case in the study of a coefficient that should not be reported from one model alone.</w:t>
      </w:r>
    </w:p>
    <w:p w14:paraId="31E53EEC" w14:textId="77777777" w:rsidR="008756AB" w:rsidRDefault="00000000">
      <w:r>
        <w:t>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42ABA765" w14:textId="77777777" w:rsidR="008756AB" w:rsidRDefault="00000000">
      <w:r>
        <w:t>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actually use.</w:t>
      </w:r>
    </w:p>
    <w:p w14:paraId="4E41A85B"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7E47CA8" w14:textId="77777777" w:rsidR="008756AB" w:rsidRDefault="00000000">
      <w:pPr>
        <w:pStyle w:val="Caption"/>
      </w:pPr>
      <w:r>
        <w:t>Fig. 4 | Charger-type decomposition. Baseline coefficients for aggregate charging and for Level 1, Level 2 and DC fast units separately. The positive association with poverty is carried by Level 2 units; Level 1 is zero in 97.8 percent of ZCTAs and is shown for completeness only.</w:t>
      </w:r>
    </w:p>
    <w:p w14:paraId="238F0B74" w14:textId="77777777" w:rsidR="008756AB" w:rsidRDefault="00000000">
      <w:pPr>
        <w:pStyle w:val="Heading2"/>
      </w:pPr>
      <w:commentRangeStart w:id="12"/>
      <w:r>
        <w:t>Disparities under a fully stacked specification</w:t>
      </w:r>
      <w:commentRangeEnd w:id="12"/>
      <w:r w:rsidR="001232F2">
        <w:rPr>
          <w:rStyle w:val="CommentReference"/>
          <w:sz w:val="26"/>
          <w:szCs w:val="26"/>
        </w:rPr>
        <w:commentReference w:id="12"/>
      </w:r>
    </w:p>
    <w:p w14:paraId="41B7337D" w14:textId="77777777" w:rsidR="008756AB" w:rsidRDefault="00000000">
      <w:r>
        <w:t>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Table S5 and Supplementary Fig. S4).</w:t>
      </w:r>
    </w:p>
    <w:p w14:paraId="2C3F0DCA" w14:textId="77777777" w:rsidR="008756AB" w:rsidRDefault="00000000">
      <w:r>
        <w:t>Coefficients attenuate by roughly two-thirds to three-quarters,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 The fully stacked estimates are the conservative reading of the same pattern the model series shows, and they place storage, solar and charging in the same order (Table 2).</w:t>
      </w:r>
    </w:p>
    <w:p w14:paraId="0A00CDE3" w14:textId="77777777" w:rsidR="008756AB" w:rsidRDefault="00000000">
      <w:pPr>
        <w:pStyle w:val="Caption"/>
      </w:pPr>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8756AB" w14:paraId="5FBFF82C" w14:textId="77777777" w:rsidTr="006A3D90">
        <w:trPr>
          <w:trHeight w:val="213"/>
        </w:trPr>
        <w:tc>
          <w:tcPr>
            <w:tcW w:w="1620" w:type="dxa"/>
          </w:tcPr>
          <w:p w14:paraId="5BE72639" w14:textId="77777777" w:rsidR="008756AB" w:rsidRDefault="00000000" w:rsidP="006A3D90">
            <w:pPr>
              <w:jc w:val="center"/>
            </w:pPr>
            <w:r>
              <w:rPr>
                <w:b/>
              </w:rPr>
              <w:t>Outcome</w:t>
            </w:r>
          </w:p>
        </w:tc>
        <w:tc>
          <w:tcPr>
            <w:tcW w:w="1350" w:type="dxa"/>
          </w:tcPr>
          <w:p w14:paraId="4DB251B7" w14:textId="77777777" w:rsidR="008756AB" w:rsidRDefault="00000000" w:rsidP="006A3D90">
            <w:pPr>
              <w:jc w:val="center"/>
            </w:pPr>
            <w:r>
              <w:rPr>
                <w:b/>
              </w:rPr>
              <w:t>Term</w:t>
            </w:r>
          </w:p>
        </w:tc>
        <w:tc>
          <w:tcPr>
            <w:tcW w:w="971" w:type="dxa"/>
          </w:tcPr>
          <w:p w14:paraId="4CF5C0BB" w14:textId="77777777" w:rsidR="008756AB" w:rsidRDefault="00000000" w:rsidP="006A3D90">
            <w:pPr>
              <w:jc w:val="center"/>
            </w:pPr>
            <w:r>
              <w:rPr>
                <w:b/>
              </w:rPr>
              <w:t>β C1</w:t>
            </w:r>
          </w:p>
        </w:tc>
        <w:tc>
          <w:tcPr>
            <w:tcW w:w="1166" w:type="dxa"/>
          </w:tcPr>
          <w:p w14:paraId="0AEFAB51" w14:textId="77777777" w:rsidR="008756AB" w:rsidRDefault="00000000" w:rsidP="006A3D90">
            <w:pPr>
              <w:jc w:val="center"/>
            </w:pPr>
            <w:r>
              <w:rPr>
                <w:b/>
              </w:rPr>
              <w:t>β C5</w:t>
            </w:r>
          </w:p>
        </w:tc>
        <w:tc>
          <w:tcPr>
            <w:tcW w:w="2723" w:type="dxa"/>
          </w:tcPr>
          <w:p w14:paraId="278BECB0" w14:textId="77777777" w:rsidR="008756AB" w:rsidRDefault="00000000" w:rsidP="006A3D90">
            <w:pPr>
              <w:jc w:val="center"/>
            </w:pPr>
            <w:r>
              <w:rPr>
                <w:b/>
              </w:rPr>
              <w:t>Conley HAC</w:t>
            </w:r>
          </w:p>
        </w:tc>
        <w:tc>
          <w:tcPr>
            <w:tcW w:w="1260" w:type="dxa"/>
          </w:tcPr>
          <w:p w14:paraId="3E03E07F" w14:textId="77777777" w:rsidR="008756AB" w:rsidRDefault="00000000" w:rsidP="006A3D90">
            <w:pPr>
              <w:jc w:val="center"/>
            </w:pPr>
            <w:r>
              <w:rPr>
                <w:b/>
              </w:rPr>
              <w:t>Spec curve (n/48)</w:t>
            </w:r>
          </w:p>
        </w:tc>
        <w:tc>
          <w:tcPr>
            <w:tcW w:w="990" w:type="dxa"/>
          </w:tcPr>
          <w:p w14:paraId="35C849B2" w14:textId="77777777" w:rsidR="008756AB" w:rsidRDefault="00000000" w:rsidP="006A3D90">
            <w:pPr>
              <w:jc w:val="center"/>
            </w:pPr>
            <w:r>
              <w:rPr>
                <w:b/>
              </w:rPr>
              <w:t>Oster δ</w:t>
            </w:r>
          </w:p>
        </w:tc>
      </w:tr>
      <w:tr w:rsidR="008756AB" w14:paraId="440C90EB" w14:textId="77777777" w:rsidTr="002B6D1A">
        <w:tc>
          <w:tcPr>
            <w:tcW w:w="1620" w:type="dxa"/>
          </w:tcPr>
          <w:p w14:paraId="62A086E6" w14:textId="77777777" w:rsidR="008756AB" w:rsidRDefault="00000000">
            <w:r>
              <w:t>Rooftop PV</w:t>
            </w:r>
          </w:p>
        </w:tc>
        <w:tc>
          <w:tcPr>
            <w:tcW w:w="1350" w:type="dxa"/>
          </w:tcPr>
          <w:p w14:paraId="43641A5E" w14:textId="77777777" w:rsidR="008756AB" w:rsidRDefault="00000000">
            <w:r>
              <w:t>Black share</w:t>
            </w:r>
          </w:p>
        </w:tc>
        <w:tc>
          <w:tcPr>
            <w:tcW w:w="971" w:type="dxa"/>
          </w:tcPr>
          <w:p w14:paraId="725468CE" w14:textId="77777777" w:rsidR="008756AB" w:rsidRDefault="00000000">
            <w:r>
              <w:t>−0.154***</w:t>
            </w:r>
          </w:p>
        </w:tc>
        <w:tc>
          <w:tcPr>
            <w:tcW w:w="1166" w:type="dxa"/>
          </w:tcPr>
          <w:p w14:paraId="2B458CD1" w14:textId="77777777" w:rsidR="008756AB" w:rsidRDefault="00000000">
            <w:r>
              <w:t>−0.017</w:t>
            </w:r>
          </w:p>
        </w:tc>
        <w:tc>
          <w:tcPr>
            <w:tcW w:w="2723" w:type="dxa"/>
          </w:tcPr>
          <w:p w14:paraId="2637E9A5" w14:textId="77777777" w:rsidR="008756AB" w:rsidRDefault="00000000">
            <w:r>
              <w:t>significant, 5%</w:t>
            </w:r>
          </w:p>
        </w:tc>
        <w:tc>
          <w:tcPr>
            <w:tcW w:w="1260" w:type="dxa"/>
          </w:tcPr>
          <w:p w14:paraId="4A0B2FDD" w14:textId="77777777" w:rsidR="008756AB" w:rsidRDefault="00000000">
            <w:r>
              <w:t>28</w:t>
            </w:r>
          </w:p>
        </w:tc>
        <w:tc>
          <w:tcPr>
            <w:tcW w:w="990" w:type="dxa"/>
          </w:tcPr>
          <w:p w14:paraId="2A3811B8" w14:textId="77777777" w:rsidR="008756AB" w:rsidRDefault="00000000">
            <w:r>
              <w:t>0.32</w:t>
            </w:r>
          </w:p>
        </w:tc>
      </w:tr>
      <w:tr w:rsidR="008756AB" w14:paraId="58050D23" w14:textId="77777777" w:rsidTr="002B6D1A">
        <w:tc>
          <w:tcPr>
            <w:tcW w:w="1620" w:type="dxa"/>
          </w:tcPr>
          <w:p w14:paraId="31204F61" w14:textId="77777777" w:rsidR="008756AB" w:rsidRDefault="008756AB"/>
        </w:tc>
        <w:tc>
          <w:tcPr>
            <w:tcW w:w="1350" w:type="dxa"/>
          </w:tcPr>
          <w:p w14:paraId="3F920512" w14:textId="77777777" w:rsidR="008756AB" w:rsidRDefault="00000000">
            <w:r>
              <w:t>Hispanic share</w:t>
            </w:r>
          </w:p>
        </w:tc>
        <w:tc>
          <w:tcPr>
            <w:tcW w:w="971" w:type="dxa"/>
          </w:tcPr>
          <w:p w14:paraId="5FD94C4B" w14:textId="77777777" w:rsidR="008756AB" w:rsidRDefault="00000000">
            <w:r>
              <w:t>−0.058</w:t>
            </w:r>
          </w:p>
        </w:tc>
        <w:tc>
          <w:tcPr>
            <w:tcW w:w="1166" w:type="dxa"/>
          </w:tcPr>
          <w:p w14:paraId="2E50C166" w14:textId="77777777" w:rsidR="008756AB" w:rsidRDefault="00000000">
            <w:r>
              <w:t>0.047</w:t>
            </w:r>
          </w:p>
        </w:tc>
        <w:tc>
          <w:tcPr>
            <w:tcW w:w="2723" w:type="dxa"/>
          </w:tcPr>
          <w:p w14:paraId="6B182BF6" w14:textId="77777777" w:rsidR="008756AB" w:rsidRDefault="00000000">
            <w:r>
              <w:t>not significant</w:t>
            </w:r>
          </w:p>
        </w:tc>
        <w:tc>
          <w:tcPr>
            <w:tcW w:w="1260" w:type="dxa"/>
          </w:tcPr>
          <w:p w14:paraId="195B6844" w14:textId="77777777" w:rsidR="008756AB" w:rsidRDefault="00000000">
            <w:r>
              <w:t>31</w:t>
            </w:r>
          </w:p>
        </w:tc>
        <w:tc>
          <w:tcPr>
            <w:tcW w:w="990" w:type="dxa"/>
          </w:tcPr>
          <w:p w14:paraId="62BBC1C2" w14:textId="77777777" w:rsidR="008756AB" w:rsidRDefault="00000000">
            <w:r>
              <w:t>—</w:t>
            </w:r>
          </w:p>
        </w:tc>
      </w:tr>
      <w:tr w:rsidR="008756AB" w14:paraId="6FBCC00D" w14:textId="77777777" w:rsidTr="002B6D1A">
        <w:tc>
          <w:tcPr>
            <w:tcW w:w="1620" w:type="dxa"/>
          </w:tcPr>
          <w:p w14:paraId="54D5D380" w14:textId="77777777" w:rsidR="008756AB" w:rsidRDefault="008756AB"/>
        </w:tc>
        <w:tc>
          <w:tcPr>
            <w:tcW w:w="1350" w:type="dxa"/>
          </w:tcPr>
          <w:p w14:paraId="2A1FC2E6" w14:textId="77777777" w:rsidR="008756AB" w:rsidRDefault="00000000">
            <w:r>
              <w:t>Asian share</w:t>
            </w:r>
          </w:p>
        </w:tc>
        <w:tc>
          <w:tcPr>
            <w:tcW w:w="971" w:type="dxa"/>
          </w:tcPr>
          <w:p w14:paraId="1F84AC87" w14:textId="77777777" w:rsidR="008756AB" w:rsidRDefault="00000000">
            <w:r>
              <w:t>−0.303***</w:t>
            </w:r>
          </w:p>
        </w:tc>
        <w:tc>
          <w:tcPr>
            <w:tcW w:w="1166" w:type="dxa"/>
          </w:tcPr>
          <w:p w14:paraId="3FDB68A5" w14:textId="77777777" w:rsidR="008756AB" w:rsidRDefault="00000000">
            <w:r>
              <w:t>−0.114**</w:t>
            </w:r>
          </w:p>
        </w:tc>
        <w:tc>
          <w:tcPr>
            <w:tcW w:w="2723" w:type="dxa"/>
          </w:tcPr>
          <w:p w14:paraId="5F4A6538" w14:textId="77777777" w:rsidR="008756AB" w:rsidRDefault="00000000">
            <w:r>
              <w:t>significant, 0.1%, every cutoff</w:t>
            </w:r>
          </w:p>
        </w:tc>
        <w:tc>
          <w:tcPr>
            <w:tcW w:w="1260" w:type="dxa"/>
          </w:tcPr>
          <w:p w14:paraId="441A0908" w14:textId="77777777" w:rsidR="008756AB" w:rsidRDefault="00000000">
            <w:r>
              <w:t>34</w:t>
            </w:r>
          </w:p>
        </w:tc>
        <w:tc>
          <w:tcPr>
            <w:tcW w:w="990" w:type="dxa"/>
          </w:tcPr>
          <w:p w14:paraId="35D96321" w14:textId="77777777" w:rsidR="008756AB" w:rsidRDefault="00000000">
            <w:r>
              <w:t>1.57</w:t>
            </w:r>
          </w:p>
        </w:tc>
      </w:tr>
      <w:tr w:rsidR="008756AB" w14:paraId="557FB563" w14:textId="77777777" w:rsidTr="002B6D1A">
        <w:tc>
          <w:tcPr>
            <w:tcW w:w="1620" w:type="dxa"/>
          </w:tcPr>
          <w:p w14:paraId="3720B579" w14:textId="77777777" w:rsidR="008756AB" w:rsidRDefault="008756AB"/>
        </w:tc>
        <w:tc>
          <w:tcPr>
            <w:tcW w:w="1350" w:type="dxa"/>
          </w:tcPr>
          <w:p w14:paraId="7CDEBB72" w14:textId="77777777" w:rsidR="008756AB" w:rsidRDefault="00000000">
            <w:r>
              <w:t>Log income</w:t>
            </w:r>
          </w:p>
        </w:tc>
        <w:tc>
          <w:tcPr>
            <w:tcW w:w="971" w:type="dxa"/>
          </w:tcPr>
          <w:p w14:paraId="07C9F21D" w14:textId="77777777" w:rsidR="008756AB" w:rsidRDefault="00000000">
            <w:r>
              <w:t>0.173**</w:t>
            </w:r>
          </w:p>
        </w:tc>
        <w:tc>
          <w:tcPr>
            <w:tcW w:w="1166" w:type="dxa"/>
          </w:tcPr>
          <w:p w14:paraId="6959F303" w14:textId="77777777" w:rsidR="008756AB" w:rsidRDefault="00000000">
            <w:r>
              <w:t>0.188</w:t>
            </w:r>
          </w:p>
        </w:tc>
        <w:tc>
          <w:tcPr>
            <w:tcW w:w="2723" w:type="dxa"/>
          </w:tcPr>
          <w:p w14:paraId="3ACCA7EF" w14:textId="77777777" w:rsidR="008756AB" w:rsidRDefault="00000000">
            <w:r>
              <w:t>significant, 5%</w:t>
            </w:r>
          </w:p>
        </w:tc>
        <w:tc>
          <w:tcPr>
            <w:tcW w:w="1260" w:type="dxa"/>
          </w:tcPr>
          <w:p w14:paraId="5853609A" w14:textId="77777777" w:rsidR="008756AB" w:rsidRDefault="00000000">
            <w:r>
              <w:t>46</w:t>
            </w:r>
          </w:p>
        </w:tc>
        <w:tc>
          <w:tcPr>
            <w:tcW w:w="990" w:type="dxa"/>
          </w:tcPr>
          <w:p w14:paraId="11ADD98D" w14:textId="77777777" w:rsidR="008756AB" w:rsidRDefault="00000000">
            <w:r>
              <w:t>—</w:t>
            </w:r>
          </w:p>
        </w:tc>
      </w:tr>
      <w:tr w:rsidR="008756AB" w14:paraId="2DCB8AE5" w14:textId="77777777" w:rsidTr="002B6D1A">
        <w:tc>
          <w:tcPr>
            <w:tcW w:w="1620" w:type="dxa"/>
          </w:tcPr>
          <w:p w14:paraId="1F5E7587" w14:textId="77777777" w:rsidR="008756AB" w:rsidRDefault="00000000">
            <w:r>
              <w:t>Battery storage</w:t>
            </w:r>
          </w:p>
        </w:tc>
        <w:tc>
          <w:tcPr>
            <w:tcW w:w="1350" w:type="dxa"/>
          </w:tcPr>
          <w:p w14:paraId="05CF785D" w14:textId="77777777" w:rsidR="008756AB" w:rsidRDefault="00000000">
            <w:r>
              <w:t>Black share</w:t>
            </w:r>
          </w:p>
        </w:tc>
        <w:tc>
          <w:tcPr>
            <w:tcW w:w="971" w:type="dxa"/>
          </w:tcPr>
          <w:p w14:paraId="034943BB" w14:textId="77777777" w:rsidR="008756AB" w:rsidRDefault="00000000">
            <w:r>
              <w:t>−0.103***</w:t>
            </w:r>
          </w:p>
        </w:tc>
        <w:tc>
          <w:tcPr>
            <w:tcW w:w="1166" w:type="dxa"/>
          </w:tcPr>
          <w:p w14:paraId="2CB81C66" w14:textId="77777777" w:rsidR="008756AB" w:rsidRDefault="00000000">
            <w:r>
              <w:t>−0.034**</w:t>
            </w:r>
          </w:p>
        </w:tc>
        <w:tc>
          <w:tcPr>
            <w:tcW w:w="2723" w:type="dxa"/>
          </w:tcPr>
          <w:p w14:paraId="2E264921" w14:textId="77777777" w:rsidR="008756AB" w:rsidRDefault="00000000">
            <w:r>
              <w:t>significant, 5%</w:t>
            </w:r>
          </w:p>
        </w:tc>
        <w:tc>
          <w:tcPr>
            <w:tcW w:w="1260" w:type="dxa"/>
          </w:tcPr>
          <w:p w14:paraId="0DD039D4" w14:textId="77777777" w:rsidR="008756AB" w:rsidRDefault="00000000">
            <w:r>
              <w:t>36</w:t>
            </w:r>
          </w:p>
        </w:tc>
        <w:tc>
          <w:tcPr>
            <w:tcW w:w="990" w:type="dxa"/>
          </w:tcPr>
          <w:p w14:paraId="08472E65" w14:textId="77777777" w:rsidR="008756AB" w:rsidRDefault="00000000">
            <w:r>
              <w:t>0.71</w:t>
            </w:r>
          </w:p>
        </w:tc>
      </w:tr>
      <w:tr w:rsidR="008756AB" w14:paraId="4B19F0FB" w14:textId="77777777" w:rsidTr="002B6D1A">
        <w:tc>
          <w:tcPr>
            <w:tcW w:w="1620" w:type="dxa"/>
          </w:tcPr>
          <w:p w14:paraId="749C417D" w14:textId="77777777" w:rsidR="008756AB" w:rsidRDefault="008756AB"/>
        </w:tc>
        <w:tc>
          <w:tcPr>
            <w:tcW w:w="1350" w:type="dxa"/>
          </w:tcPr>
          <w:p w14:paraId="2989517F" w14:textId="77777777" w:rsidR="008756AB" w:rsidRDefault="00000000">
            <w:r>
              <w:t>Hispanic share</w:t>
            </w:r>
          </w:p>
        </w:tc>
        <w:tc>
          <w:tcPr>
            <w:tcW w:w="971" w:type="dxa"/>
          </w:tcPr>
          <w:p w14:paraId="14083CFF" w14:textId="77777777" w:rsidR="008756AB" w:rsidRDefault="00000000">
            <w:r>
              <w:t>−0.196***</w:t>
            </w:r>
          </w:p>
        </w:tc>
        <w:tc>
          <w:tcPr>
            <w:tcW w:w="1166" w:type="dxa"/>
          </w:tcPr>
          <w:p w14:paraId="1B18BD88" w14:textId="77777777" w:rsidR="008756AB" w:rsidRDefault="00000000">
            <w:r>
              <w:t>−0.113*</w:t>
            </w:r>
          </w:p>
        </w:tc>
        <w:tc>
          <w:tcPr>
            <w:tcW w:w="2723" w:type="dxa"/>
          </w:tcPr>
          <w:p w14:paraId="1F2BDB68" w14:textId="77777777" w:rsidR="008756AB" w:rsidRDefault="00000000">
            <w:r>
              <w:t>significant, 1%</w:t>
            </w:r>
          </w:p>
        </w:tc>
        <w:tc>
          <w:tcPr>
            <w:tcW w:w="1260" w:type="dxa"/>
          </w:tcPr>
          <w:p w14:paraId="708CE5D1" w14:textId="77777777" w:rsidR="008756AB" w:rsidRDefault="00000000">
            <w:r>
              <w:t>44</w:t>
            </w:r>
          </w:p>
        </w:tc>
        <w:tc>
          <w:tcPr>
            <w:tcW w:w="990" w:type="dxa"/>
          </w:tcPr>
          <w:p w14:paraId="6859763D" w14:textId="77777777" w:rsidR="008756AB" w:rsidRDefault="00000000">
            <w:r>
              <w:t>1.99</w:t>
            </w:r>
          </w:p>
        </w:tc>
      </w:tr>
      <w:tr w:rsidR="008756AB" w14:paraId="1FD5C819" w14:textId="77777777" w:rsidTr="002B6D1A">
        <w:tc>
          <w:tcPr>
            <w:tcW w:w="1620" w:type="dxa"/>
          </w:tcPr>
          <w:p w14:paraId="3D3E9976" w14:textId="77777777" w:rsidR="008756AB" w:rsidRDefault="008756AB"/>
        </w:tc>
        <w:tc>
          <w:tcPr>
            <w:tcW w:w="1350" w:type="dxa"/>
          </w:tcPr>
          <w:p w14:paraId="25921A43" w14:textId="77777777" w:rsidR="008756AB" w:rsidRDefault="00000000">
            <w:r>
              <w:t>Asian share</w:t>
            </w:r>
          </w:p>
        </w:tc>
        <w:tc>
          <w:tcPr>
            <w:tcW w:w="971" w:type="dxa"/>
          </w:tcPr>
          <w:p w14:paraId="7106405F" w14:textId="77777777" w:rsidR="008756AB" w:rsidRDefault="00000000">
            <w:r>
              <w:t>−0.248***</w:t>
            </w:r>
          </w:p>
        </w:tc>
        <w:tc>
          <w:tcPr>
            <w:tcW w:w="1166" w:type="dxa"/>
          </w:tcPr>
          <w:p w14:paraId="17E07A05" w14:textId="77777777" w:rsidR="008756AB" w:rsidRDefault="00000000">
            <w:r>
              <w:t>−0.116***</w:t>
            </w:r>
          </w:p>
        </w:tc>
        <w:tc>
          <w:tcPr>
            <w:tcW w:w="2723" w:type="dxa"/>
          </w:tcPr>
          <w:p w14:paraId="19B5CEE3" w14:textId="77777777" w:rsidR="008756AB" w:rsidRDefault="00000000">
            <w:r>
              <w:t>significant, 0.1%, every cutoff</w:t>
            </w:r>
          </w:p>
        </w:tc>
        <w:tc>
          <w:tcPr>
            <w:tcW w:w="1260" w:type="dxa"/>
          </w:tcPr>
          <w:p w14:paraId="6ECE8F5D" w14:textId="77777777" w:rsidR="008756AB" w:rsidRDefault="00000000">
            <w:r>
              <w:t>48</w:t>
            </w:r>
          </w:p>
        </w:tc>
        <w:tc>
          <w:tcPr>
            <w:tcW w:w="990" w:type="dxa"/>
          </w:tcPr>
          <w:p w14:paraId="055EC5C5" w14:textId="77777777" w:rsidR="008756AB" w:rsidRDefault="00000000">
            <w:r>
              <w:t>1.29</w:t>
            </w:r>
          </w:p>
        </w:tc>
      </w:tr>
      <w:tr w:rsidR="008756AB" w14:paraId="6F5BC699" w14:textId="77777777" w:rsidTr="002B6D1A">
        <w:tc>
          <w:tcPr>
            <w:tcW w:w="1620" w:type="dxa"/>
          </w:tcPr>
          <w:p w14:paraId="676A1D07" w14:textId="77777777" w:rsidR="008756AB" w:rsidRDefault="008756AB"/>
        </w:tc>
        <w:tc>
          <w:tcPr>
            <w:tcW w:w="1350" w:type="dxa"/>
          </w:tcPr>
          <w:p w14:paraId="6CE88D5A" w14:textId="77777777" w:rsidR="008756AB" w:rsidRDefault="00000000">
            <w:r>
              <w:t>Log income</w:t>
            </w:r>
          </w:p>
        </w:tc>
        <w:tc>
          <w:tcPr>
            <w:tcW w:w="971" w:type="dxa"/>
          </w:tcPr>
          <w:p w14:paraId="3083A08B" w14:textId="77777777" w:rsidR="008756AB" w:rsidRDefault="00000000">
            <w:r>
              <w:t>0.220***</w:t>
            </w:r>
          </w:p>
        </w:tc>
        <w:tc>
          <w:tcPr>
            <w:tcW w:w="1166" w:type="dxa"/>
          </w:tcPr>
          <w:p w14:paraId="44B2CF16" w14:textId="77777777" w:rsidR="008756AB" w:rsidRDefault="00000000">
            <w:r>
              <w:t>0.087</w:t>
            </w:r>
          </w:p>
        </w:tc>
        <w:tc>
          <w:tcPr>
            <w:tcW w:w="2723" w:type="dxa"/>
          </w:tcPr>
          <w:p w14:paraId="1ABF49A0" w14:textId="77777777" w:rsidR="008756AB" w:rsidRDefault="00000000">
            <w:r>
              <w:t>significant, 0.1%</w:t>
            </w:r>
          </w:p>
        </w:tc>
        <w:tc>
          <w:tcPr>
            <w:tcW w:w="1260" w:type="dxa"/>
          </w:tcPr>
          <w:p w14:paraId="37782F4E" w14:textId="77777777" w:rsidR="008756AB" w:rsidRDefault="00000000">
            <w:r>
              <w:t>44</w:t>
            </w:r>
          </w:p>
        </w:tc>
        <w:tc>
          <w:tcPr>
            <w:tcW w:w="990" w:type="dxa"/>
          </w:tcPr>
          <w:p w14:paraId="18BB954F" w14:textId="77777777" w:rsidR="008756AB" w:rsidRDefault="00000000">
            <w:r>
              <w:t>0.96</w:t>
            </w:r>
          </w:p>
        </w:tc>
      </w:tr>
      <w:tr w:rsidR="008756AB" w14:paraId="1994EDBC" w14:textId="77777777" w:rsidTr="002B6D1A">
        <w:tc>
          <w:tcPr>
            <w:tcW w:w="1620" w:type="dxa"/>
          </w:tcPr>
          <w:p w14:paraId="2EDEBFB0" w14:textId="77777777" w:rsidR="008756AB" w:rsidRDefault="00000000">
            <w:r>
              <w:t>EV charging</w:t>
            </w:r>
          </w:p>
        </w:tc>
        <w:tc>
          <w:tcPr>
            <w:tcW w:w="1350" w:type="dxa"/>
          </w:tcPr>
          <w:p w14:paraId="326C9031" w14:textId="77777777" w:rsidR="008756AB" w:rsidRDefault="00000000">
            <w:r>
              <w:t>Black share</w:t>
            </w:r>
          </w:p>
        </w:tc>
        <w:tc>
          <w:tcPr>
            <w:tcW w:w="971" w:type="dxa"/>
          </w:tcPr>
          <w:p w14:paraId="09E465B2" w14:textId="77777777" w:rsidR="008756AB" w:rsidRDefault="00000000">
            <w:r>
              <w:t>−0.006</w:t>
            </w:r>
          </w:p>
        </w:tc>
        <w:tc>
          <w:tcPr>
            <w:tcW w:w="1166" w:type="dxa"/>
          </w:tcPr>
          <w:p w14:paraId="1A1E127E" w14:textId="77777777" w:rsidR="008756AB" w:rsidRDefault="00000000">
            <w:r>
              <w:t>−0.008</w:t>
            </w:r>
          </w:p>
        </w:tc>
        <w:tc>
          <w:tcPr>
            <w:tcW w:w="2723" w:type="dxa"/>
          </w:tcPr>
          <w:p w14:paraId="0EB8216D" w14:textId="77777777" w:rsidR="008756AB" w:rsidRDefault="00000000">
            <w:r>
              <w:t>not significant</w:t>
            </w:r>
          </w:p>
        </w:tc>
        <w:tc>
          <w:tcPr>
            <w:tcW w:w="1260" w:type="dxa"/>
          </w:tcPr>
          <w:p w14:paraId="48E7082C" w14:textId="77777777" w:rsidR="008756AB" w:rsidRDefault="00000000">
            <w:r>
              <w:t>0</w:t>
            </w:r>
          </w:p>
        </w:tc>
        <w:tc>
          <w:tcPr>
            <w:tcW w:w="990" w:type="dxa"/>
          </w:tcPr>
          <w:p w14:paraId="623154F4" w14:textId="77777777" w:rsidR="008756AB" w:rsidRDefault="00000000">
            <w:r>
              <w:t>—</w:t>
            </w:r>
          </w:p>
        </w:tc>
      </w:tr>
      <w:tr w:rsidR="008756AB" w14:paraId="7E2F4541" w14:textId="77777777" w:rsidTr="002B6D1A">
        <w:tc>
          <w:tcPr>
            <w:tcW w:w="1620" w:type="dxa"/>
          </w:tcPr>
          <w:p w14:paraId="0170F7A7" w14:textId="77777777" w:rsidR="008756AB" w:rsidRDefault="008756AB"/>
        </w:tc>
        <w:tc>
          <w:tcPr>
            <w:tcW w:w="1350" w:type="dxa"/>
          </w:tcPr>
          <w:p w14:paraId="65D9778A" w14:textId="77777777" w:rsidR="008756AB" w:rsidRDefault="00000000">
            <w:r>
              <w:t>Hispanic share</w:t>
            </w:r>
          </w:p>
        </w:tc>
        <w:tc>
          <w:tcPr>
            <w:tcW w:w="971" w:type="dxa"/>
          </w:tcPr>
          <w:p w14:paraId="62CBD9F9" w14:textId="77777777" w:rsidR="008756AB" w:rsidRDefault="00000000">
            <w:r>
              <w:t>−0.097***</w:t>
            </w:r>
          </w:p>
        </w:tc>
        <w:tc>
          <w:tcPr>
            <w:tcW w:w="1166" w:type="dxa"/>
          </w:tcPr>
          <w:p w14:paraId="41761FE4" w14:textId="77777777" w:rsidR="008756AB" w:rsidRDefault="00000000">
            <w:r>
              <w:t>−0.037</w:t>
            </w:r>
          </w:p>
        </w:tc>
        <w:tc>
          <w:tcPr>
            <w:tcW w:w="2723" w:type="dxa"/>
          </w:tcPr>
          <w:p w14:paraId="6BB24006" w14:textId="77777777" w:rsidR="008756AB" w:rsidRDefault="00000000">
            <w:r>
              <w:t>significant, 5%</w:t>
            </w:r>
          </w:p>
        </w:tc>
        <w:tc>
          <w:tcPr>
            <w:tcW w:w="1260" w:type="dxa"/>
          </w:tcPr>
          <w:p w14:paraId="304F09FC" w14:textId="77777777" w:rsidR="008756AB" w:rsidRDefault="00000000">
            <w:r>
              <w:t>22</w:t>
            </w:r>
          </w:p>
        </w:tc>
        <w:tc>
          <w:tcPr>
            <w:tcW w:w="990" w:type="dxa"/>
          </w:tcPr>
          <w:p w14:paraId="633EE049" w14:textId="77777777" w:rsidR="008756AB" w:rsidRDefault="00000000">
            <w:r>
              <w:t>1.50</w:t>
            </w:r>
          </w:p>
        </w:tc>
      </w:tr>
      <w:tr w:rsidR="008756AB" w14:paraId="3587DEA1" w14:textId="77777777" w:rsidTr="002B6D1A">
        <w:tc>
          <w:tcPr>
            <w:tcW w:w="1620" w:type="dxa"/>
          </w:tcPr>
          <w:p w14:paraId="7680CEAA" w14:textId="77777777" w:rsidR="008756AB" w:rsidRDefault="008756AB"/>
        </w:tc>
        <w:tc>
          <w:tcPr>
            <w:tcW w:w="1350" w:type="dxa"/>
          </w:tcPr>
          <w:p w14:paraId="468539EE" w14:textId="77777777" w:rsidR="008756AB" w:rsidRDefault="00000000">
            <w:r>
              <w:t>Asian share</w:t>
            </w:r>
          </w:p>
        </w:tc>
        <w:tc>
          <w:tcPr>
            <w:tcW w:w="971" w:type="dxa"/>
          </w:tcPr>
          <w:p w14:paraId="000C4824" w14:textId="77777777" w:rsidR="008756AB" w:rsidRDefault="00000000">
            <w:r>
              <w:t>0.046*</w:t>
            </w:r>
          </w:p>
        </w:tc>
        <w:tc>
          <w:tcPr>
            <w:tcW w:w="1166" w:type="dxa"/>
          </w:tcPr>
          <w:p w14:paraId="72383709" w14:textId="77777777" w:rsidR="008756AB" w:rsidRDefault="00000000">
            <w:r>
              <w:t>0.013</w:t>
            </w:r>
          </w:p>
        </w:tc>
        <w:tc>
          <w:tcPr>
            <w:tcW w:w="2723" w:type="dxa"/>
          </w:tcPr>
          <w:p w14:paraId="71A449AE" w14:textId="77777777" w:rsidR="008756AB" w:rsidRDefault="00000000">
            <w:r>
              <w:t>significant at 50 and 200 km only</w:t>
            </w:r>
          </w:p>
        </w:tc>
        <w:tc>
          <w:tcPr>
            <w:tcW w:w="1260" w:type="dxa"/>
          </w:tcPr>
          <w:p w14:paraId="46AB97F7" w14:textId="77777777" w:rsidR="008756AB" w:rsidRDefault="00000000">
            <w:r>
              <w:t>4</w:t>
            </w:r>
          </w:p>
        </w:tc>
        <w:tc>
          <w:tcPr>
            <w:tcW w:w="990" w:type="dxa"/>
          </w:tcPr>
          <w:p w14:paraId="3FF1AD08" w14:textId="77777777" w:rsidR="008756AB" w:rsidRDefault="00000000">
            <w:r>
              <w:t>0.97</w:t>
            </w:r>
          </w:p>
        </w:tc>
      </w:tr>
      <w:tr w:rsidR="008756AB" w14:paraId="384939C1" w14:textId="77777777" w:rsidTr="002B6D1A">
        <w:tc>
          <w:tcPr>
            <w:tcW w:w="1620" w:type="dxa"/>
          </w:tcPr>
          <w:p w14:paraId="38748E58" w14:textId="77777777" w:rsidR="008756AB" w:rsidRDefault="008756AB"/>
        </w:tc>
        <w:tc>
          <w:tcPr>
            <w:tcW w:w="1350" w:type="dxa"/>
          </w:tcPr>
          <w:p w14:paraId="6A85A739" w14:textId="77777777" w:rsidR="008756AB" w:rsidRDefault="00000000">
            <w:r>
              <w:t>Poverty rate</w:t>
            </w:r>
          </w:p>
        </w:tc>
        <w:tc>
          <w:tcPr>
            <w:tcW w:w="971" w:type="dxa"/>
          </w:tcPr>
          <w:p w14:paraId="246D2D12" w14:textId="77777777" w:rsidR="008756AB" w:rsidRDefault="00000000">
            <w:r>
              <w:t>—</w:t>
            </w:r>
          </w:p>
        </w:tc>
        <w:tc>
          <w:tcPr>
            <w:tcW w:w="1166" w:type="dxa"/>
          </w:tcPr>
          <w:p w14:paraId="0B66CC95" w14:textId="77777777" w:rsidR="008756AB" w:rsidRDefault="00000000">
            <w:r>
              <w:t>—</w:t>
            </w:r>
          </w:p>
        </w:tc>
        <w:tc>
          <w:tcPr>
            <w:tcW w:w="2723" w:type="dxa"/>
          </w:tcPr>
          <w:p w14:paraId="01C316B9" w14:textId="77777777" w:rsidR="008756AB" w:rsidRDefault="00000000">
            <w:r>
              <w:t>significant, 1%</w:t>
            </w:r>
          </w:p>
        </w:tc>
        <w:tc>
          <w:tcPr>
            <w:tcW w:w="1260" w:type="dxa"/>
          </w:tcPr>
          <w:p w14:paraId="344B593A" w14:textId="77777777" w:rsidR="008756AB" w:rsidRDefault="00000000">
            <w:r>
              <w:t>—</w:t>
            </w:r>
          </w:p>
        </w:tc>
        <w:tc>
          <w:tcPr>
            <w:tcW w:w="990" w:type="dxa"/>
          </w:tcPr>
          <w:p w14:paraId="49AACB62" w14:textId="77777777" w:rsidR="008756AB" w:rsidRDefault="00000000">
            <w:r>
              <w:t>—</w:t>
            </w:r>
          </w:p>
        </w:tc>
      </w:tr>
    </w:tbl>
    <w:p w14:paraId="6C398211" w14:textId="77777777" w:rsidR="008756AB" w:rsidRDefault="00000000">
      <w:pPr>
        <w:pStyle w:val="Heading2"/>
      </w:pPr>
      <w:r>
        <w:t>Affordability context</w:t>
      </w:r>
    </w:p>
    <w:p w14:paraId="753FC806" w14:textId="77777777" w:rsidR="008756AB" w:rsidRDefault="00000000">
      <w:r>
        <w:t>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2AE98624" w14:textId="77777777" w:rsidR="00B86A12" w:rsidRDefault="00091F08">
      <w:pPr>
        <w:pStyle w:val="Heading1"/>
        <w:numPr>
          <w:ilvl w:val="0"/>
          <w:numId w:val="11"/>
        </w:numPr>
      </w:pPr>
      <w:bookmarkStart w:id="13" w:name="_Ref_sec_discussion"/>
      <w:r>
        <w:t>Discussion</w:t>
      </w:r>
      <w:bookmarkEnd w:id="13"/>
    </w:p>
    <w:p w14:paraId="5BCBE593" w14:textId="77777777" w:rsidR="008756AB" w:rsidRDefault="00000000">
      <w:pPr>
        <w:pStyle w:val="Heading2"/>
      </w:pPr>
      <w:r>
        <w:t>What persists and what changes across technologies</w:t>
      </w:r>
    </w:p>
    <w:p w14:paraId="383311B8" w14:textId="77777777" w:rsidR="008756AB" w:rsidRDefault="00000000">
      <w:r>
        <w:t>The clean energy transition does not reproduce inequality in the same way across technologies. Storage is the clearest case: the deepest disparities in the study, stable across every specification in the model series, and the only outcome whose race coefficients survive a fully stacked specification, a specification curve and a spatial error model alike. Rooftop solar shows racial and socioeconomic patterning that housing composition substantially, though not entirely, explains, and whose surviving component is carried by Asian share rather than by Black share.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actually use.</w:t>
      </w:r>
    </w:p>
    <w:p w14:paraId="1A3B871A" w14:textId="77777777" w:rsidR="008756AB" w:rsidRDefault="00000000">
      <w:pPr>
        <w:pStyle w:val="Heading2"/>
      </w:pPr>
      <w:r>
        <w:t>Plausible mechanisms</w:t>
      </w:r>
    </w:p>
    <w:p w14:paraId="78BAC051" w14:textId="77777777" w:rsidR="008756AB" w:rsidRDefault="00000000">
      <w:r>
        <w:t>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14:paraId="2F70D565" w14:textId="77777777" w:rsidR="008756AB" w:rsidRDefault="00000000">
      <w:r>
        <w:t xml:space="preserve">One result runs against the expected direction and deserves its own explanation. Adding the full confounder set does not shrink the PV income coefficient; it increases it. Education, housing value, structure, tenure and </w:t>
      </w:r>
      <w:r>
        <w:lastRenderedPageBreak/>
        <w:t>geography together leave the income gradient in rooftop solar larger than the core specification implies, which is 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14:paraId="16B741CF" w14:textId="77777777" w:rsidR="008756AB" w:rsidRDefault="00000000">
      <w:r>
        <w:t>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14:paraId="0F646BEF" w14:textId="77777777" w:rsidR="008756AB" w:rsidRDefault="00000000">
      <w:pPr>
        <w:pStyle w:val="Heading2"/>
      </w:pPr>
      <w:r>
        <w:t>Implications for how equity is measured</w:t>
      </w:r>
    </w:p>
    <w:p w14:paraId="1A8D591D" w14:textId="77777777" w:rsidR="008756AB" w:rsidRDefault="00000000">
      <w:r>
        <w:t>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14:paraId="3BA0643C" w14:textId="77777777" w:rsidR="008756AB" w:rsidRDefault="00000000">
      <w:r>
        <w:t>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behavior, but eligibility rules are themselves written at area level.</w:t>
      </w:r>
    </w:p>
    <w:p w14:paraId="13321C34" w14:textId="77777777" w:rsidR="008756AB" w:rsidRDefault="00000000">
      <w:pPr>
        <w:pStyle w:val="Heading2"/>
      </w:pPr>
      <w:r>
        <w:t>Policy levers differ by technology</w:t>
      </w:r>
    </w:p>
    <w:p w14:paraId="0470B888" w14:textId="77777777" w:rsidR="008756AB" w:rsidRDefault="00000000">
      <w:r>
        <w:t>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14:paraId="7363F160" w14:textId="0365DEEF" w:rsidR="008756AB" w:rsidRDefault="00000000">
      <w:r>
        <w:t xml:space="preserve">Two further levers sit outside consumer programs. Adoption is partly gated by hosting-capacity and interconnection frictions that are themselves socially patterned [11][12];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w:t>
      </w:r>
      <w:r>
        <w:lastRenderedPageBreak/>
        <w:t>incentives for renters — that third-party ownership, on-bill and inclusive financing, and community solar-plus-storage can address where subsidies alone do not.</w:t>
      </w:r>
    </w:p>
    <w:p w14:paraId="5C2FE403" w14:textId="77777777" w:rsidR="008756AB" w:rsidRDefault="00000000">
      <w:r>
        <w:t>California is both an empirical case and an early warning. As decarbonization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w14:paraId="344B35C3" w14:textId="77777777" w:rsidR="00091F08" w:rsidRDefault="00091F08" w:rsidP="00091F08">
      <w:pPr>
        <w:pStyle w:val="Heading1"/>
        <w:numPr>
          <w:ilvl w:val="0"/>
          <w:numId w:val="11"/>
        </w:numPr>
      </w:pPr>
      <w:bookmarkStart w:id="14" w:name="_Ref_sec_methods"/>
      <w:r>
        <w:t>Methods</w:t>
      </w:r>
      <w:bookmarkEnd w:id="14"/>
    </w:p>
    <w:p w14:paraId="445A382E" w14:textId="77777777" w:rsidR="00091F08" w:rsidRDefault="00091F08" w:rsidP="00091F08">
      <w:pPr>
        <w:pStyle w:val="Heading2"/>
        <w:numPr>
          <w:ilvl w:val="1"/>
          <w:numId w:val="11"/>
        </w:numPr>
      </w:pPr>
      <w:r>
        <w:t>Empirical Approach</w:t>
      </w:r>
    </w:p>
    <w:p w14:paraId="542A1B58" w14:textId="77777777" w:rsidR="00091F08" w:rsidRDefault="00091F08" w:rsidP="00091F08">
      <w:r>
        <w:t>This paper uses a cross-sectional regression framework to examine whether racial/ethnic and socioeconomic differences are associated with distributed energy resource deployment intensity across California 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series makes the results easier to interpret because changes in the coefficients of interest can be linked to specific added controls rather than to one opaque saturated specification. The Methods state the baseline equation and define each rung of the cumulative ladder, and Figure 2 shows the resulting coefficient paths. It also supports direct comparison across technologies, which is central to the paper’s multi-DER framing.</w:t>
      </w:r>
      <w:r>
        <w:fldChar w:fldCharType="begin"/>
      </w:r>
      <w:r>
        <w:instrText xml:space="preserve"> REF _Ref_sec_m_baseline \r \h </w:instrText>
      </w:r>
      <w:r>
        <w:fldChar w:fldCharType="separate"/>
      </w:r>
      <w:r>
        <w:fldChar w:fldCharType="end"/>
      </w:r>
      <w:r>
        <w:fldChar w:fldCharType="begin"/>
      </w:r>
      <w:r>
        <w:instrText xml:space="preserve"> REF _Ref_sec_modelseries \r \h </w:instrText>
      </w:r>
      <w:r>
        <w:fldChar w:fldCharType="separate"/>
      </w:r>
      <w:r>
        <w:fldChar w:fldCharType="end"/>
      </w:r>
      <w:r>
        <w:fldChar w:fldCharType="begin"/>
      </w:r>
      <w:r>
        <w:instrText xml:space="preserve"> REF _Ref_fig4 \h </w:instrText>
      </w:r>
      <w:r>
        <w:fldChar w:fldCharType="separate"/>
      </w:r>
      <w:r>
        <w:fldChar w:fldCharType="end"/>
      </w:r>
    </w:p>
    <w:p w14:paraId="6E67E89D"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353D396" w14:textId="77777777" w:rsidR="00091F08" w:rsidRDefault="00091F08" w:rsidP="00091F08">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61E8E167"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3E1C2A4C" w14:textId="77777777" w:rsidR="0019795D" w:rsidRDefault="0019795D" w:rsidP="0019795D">
      <w:pPr>
        <w:pStyle w:val="Heading2"/>
        <w:numPr>
          <w:ilvl w:val="1"/>
          <w:numId w:val="11"/>
        </w:numPr>
      </w:pPr>
      <w:r>
        <w:lastRenderedPageBreak/>
        <w:t>Data and Measures</w:t>
      </w:r>
    </w:p>
    <w:p w14:paraId="598F8571" w14:textId="77777777" w:rsidR="00B86A12" w:rsidRDefault="00000000" w:rsidP="0019795D">
      <w:pPr>
        <w:pStyle w:val="Heading3"/>
        <w:numPr>
          <w:ilvl w:val="2"/>
          <w:numId w:val="11"/>
        </w:numPr>
      </w:pPr>
      <w:r>
        <w:rPr>
          <w:rStyle w:val="Heading2Char"/>
          <w:b/>
          <w:bCs/>
        </w:rPr>
        <w:t>Unit of analysis</w:t>
      </w:r>
    </w:p>
    <w:p w14:paraId="71FF261A" w14:textId="77777777" w:rsidR="00B86A12" w:rsidRDefault="00000000">
      <w:r>
        <w:t xml:space="preserve">The unit of analysis is the ZIP-code level, implemented using Census ZIP Code Tabulation Areas (ZCTAs),  which are geographic entities defined by the U.S. Census Bureau to approximate ZIP code service areas. ZCTA geography is the most practical common denominator across the DER, demographic, and contextual assembled source files.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64659C6B" w14:textId="77777777" w:rsidR="00B86A12" w:rsidRDefault="00000000" w:rsidP="0019795D">
      <w:pPr>
        <w:pStyle w:val="Heading3"/>
        <w:numPr>
          <w:ilvl w:val="2"/>
          <w:numId w:val="11"/>
        </w:numPr>
      </w:pPr>
      <w:r>
        <w:t>Descriptive distributions</w:t>
      </w:r>
    </w:p>
    <w:p w14:paraId="292EA125"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Supplementary Fig. S8</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7CE8CDF9" w14:textId="77777777" w:rsidR="00091F08" w:rsidRDefault="00091F08" w:rsidP="00091F08">
      <w:pPr>
        <w:pStyle w:val="Heading2"/>
        <w:numPr>
          <w:ilvl w:val="1"/>
          <w:numId w:val="11"/>
        </w:numPr>
      </w:pPr>
      <w:bookmarkStart w:id="15" w:name="_Ref_sec_m_data"/>
      <w:r>
        <w:t>Dataset Construction and Sample</w:t>
      </w:r>
      <w:bookmarkEnd w:id="15"/>
    </w:p>
    <w:p w14:paraId="0A32B8E1" w14:textId="77777777" w:rsidR="008756AB" w:rsidRDefault="00000000">
      <w:r>
        <w:t>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utility, so the behind-the-meter reading of the storage results is supported by the source. A sensitivity excluding non-residential records is reported in Supplementary Table S16.</w:t>
      </w:r>
    </w:p>
    <w:p w14:paraId="56EB471C" w14:textId="77777777" w:rsidR="00091F08" w:rsidRDefault="00091F08" w:rsidP="00091F08">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sidR="00B908F0" w:rsidRPr="00CB6459">
          <w:rPr>
            <w:rStyle w:val="Hyperlink"/>
          </w:rPr>
          <w:t>https://github.com/vineetjnair9/distributed-energy-resources-equity-CA</w:t>
        </w:r>
      </w:hyperlink>
      <w:r w:rsidR="00B908F0">
        <w:t xml:space="preserve"> </w:t>
      </w:r>
      <w:r>
        <w:t>under the MIT License. The harmonized ZCTA analysis file will be deposited as a separate Zenodo record under CC-BY-4.0.</w:t>
      </w:r>
    </w:p>
    <w:p w14:paraId="1B13DFEE" w14:textId="77777777" w:rsidR="00091F08" w:rsidRDefault="00091F08" w:rsidP="00091F08">
      <w:r>
        <w:t>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and also makes clear that some ZCTAs are absent because the underlying merged sample is incomplete in those places.</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r>
        <w:fldChar w:fldCharType="begin"/>
      </w:r>
      <w:r>
        <w:instrText xml:space="preserve"> REF _Ref_fig1 \h </w:instrText>
      </w:r>
      <w:r>
        <w:fldChar w:fldCharType="separate"/>
      </w:r>
      <w:r>
        <w:fldChar w:fldCharType="end"/>
      </w:r>
    </w:p>
    <w:p w14:paraId="6482705F" w14:textId="3BA62B21" w:rsidR="00091F08" w:rsidRDefault="00091F08" w:rsidP="00091F08">
      <w:r>
        <w:lastRenderedPageBreak/>
        <w:t>After source-specific cleaning, the DER measures are merged with contextual predictors. Demographic and socioeconomic variables come from the 2023 American Community Survey 5-year estimates</w:t>
      </w:r>
      <w:r w:rsidR="00FF44A5">
        <w:t xml:space="preserve"> </w:t>
      </w:r>
      <w:r>
        <w:t>[25]. Housing structure uses every category in ACS B25024: single-family, multifamily, mobile-home, and boat/RV/van/other shares sum to one. Tenure uses B25003 owner occupancy, with renter occupancy as its complement. Climate and renewable-resource controls come from NASA POWER</w:t>
      </w:r>
      <w:r w:rsidR="00FF44A5">
        <w:t xml:space="preserve"> </w:t>
      </w:r>
      <w:r>
        <w:t>[27]; utility territory uses a ZIP-to-utility spatial crosswalk; and annualized utility usage provides the electricity-demand proxy</w:t>
      </w:r>
      <w:r w:rsidR="00FF44A5">
        <w:t xml:space="preserve"> </w:t>
      </w:r>
      <w:r>
        <w:t>[29].</w:t>
      </w:r>
      <w:hyperlink w:anchor="_Ref_src32" w:history="1"/>
      <w:hyperlink w:anchor="_Ref_src34" w:history="1"/>
      <w:hyperlink w:anchor="_Ref_src36" w:history="1"/>
    </w:p>
    <w:p w14:paraId="7B1DCE37" w14:textId="77777777" w:rsidR="00091F08" w:rsidRDefault="00091F08" w:rsidP="00091F08">
      <w:r>
        <w:t xml:space="preserve">The unit of analysis is the ZCTA. We use ZCTAs because they provide the most practical common geography across the available DER and demographic sources. The study is designed as a 2023 cross-sectional snapshot, using the most recent data aligned as closely as possible to that year.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417D0ECA" w14:textId="77777777" w:rsidR="00091F08" w:rsidRDefault="00091F08" w:rsidP="00091F08">
      <w:pPr>
        <w:pStyle w:val="Heading2"/>
        <w:numPr>
          <w:ilvl w:val="1"/>
          <w:numId w:val="11"/>
        </w:numPr>
      </w:pPr>
      <w:bookmarkStart w:id="16" w:name="_Ref_sec_m_outcomes"/>
      <w:r>
        <w:t>Outcome Variables</w:t>
      </w:r>
      <w:bookmarkEnd w:id="16"/>
    </w:p>
    <w:p w14:paraId="75AD2A21"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0F363086" w14:textId="77777777" w:rsidR="001F19B7" w:rsidRDefault="00091F08" w:rsidP="001F19B7">
      <w:r>
        <w:t>For EV charging:</w:t>
      </w:r>
    </w:p>
    <w:p w14:paraId="2CF033D0" w14:textId="77777777"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16006FB5" w14:textId="77777777" w:rsidR="00091F08" w:rsidRDefault="00091F08" w:rsidP="00091F08">
      <w:r>
        <w:t>For solar PV:</w:t>
      </w:r>
    </w:p>
    <w:p w14:paraId="29CA2EA0"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4C6B689F" w14:textId="77777777" w:rsidR="00091F08" w:rsidRDefault="00091F08" w:rsidP="00091F08">
      <w:r>
        <w:t>For battery storage:</w:t>
      </w:r>
    </w:p>
    <w:p w14:paraId="4F9973F4"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D022976" w14:textId="77777777"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66FD7B31" w14:textId="77777777" w:rsidR="008756AB" w:rsidRDefault="00000000">
      <w:r>
        <w:t>Deployment is zero in a non-trivial share of ZCTAs, and the share differs sharply by technology: 5.3 percent for PV, 6.6 for storage, 19.0 for aggregate charging, 22.3 for Level 2 and 44.2 for DC fast, but 97.8 percent for Level 1 and 97.5 percent for wind capacity (Supplementary Table S17). Level 1 charging and wind are therefore too sparse to support a coefficient at this geography and are reported descriptively rather than modeled in the main text.</w:t>
      </w:r>
    </w:p>
    <w:p w14:paraId="256BF326" w14:textId="77777777" w:rsidR="00091F08" w:rsidRDefault="00091F08" w:rsidP="00091F08">
      <w:pPr>
        <w:pStyle w:val="Heading2"/>
        <w:numPr>
          <w:ilvl w:val="1"/>
          <w:numId w:val="11"/>
        </w:numPr>
      </w:pPr>
      <w:bookmarkStart w:id="20" w:name="_Ref_sec_m_predictors"/>
      <w:r>
        <w:t>Key Explanatory Variables</w:t>
      </w:r>
      <w:bookmarkEnd w:id="20"/>
    </w:p>
    <w:p w14:paraId="395BC54F" w14:textId="77777777" w:rsidR="00091F08" w:rsidRDefault="00091F08" w:rsidP="00091F08">
      <w:r>
        <w:t xml:space="preserve">The main explanatory variables fall into two groups: racial/ethnic composition and socioeconomic status. The race/ethnicity variables are 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w:t>
      </w:r>
      <w:r>
        <w:lastRenderedPageBreak/>
        <w:t>summarize these patterns using a combined non-white share, but the regressions keep the disaggregated race variables to avoid collapsing distinct demographic patterns into one coefficient.</w:t>
      </w:r>
    </w:p>
    <w:p w14:paraId="10AD2CA3"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5E9620E3"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0787CBB" w14:textId="77777777" w:rsidR="00091F08" w:rsidRDefault="0014223F" w:rsidP="00091F08">
      <w:pPr>
        <w:pStyle w:val="Heading2"/>
        <w:numPr>
          <w:ilvl w:val="1"/>
          <w:numId w:val="11"/>
        </w:numPr>
      </w:pPr>
      <w:bookmarkStart w:id="21" w:name="_Ref_sec_m_controls"/>
      <w:r>
        <w:t>Contextual Controls</w:t>
      </w:r>
      <w:bookmarkEnd w:id="21"/>
    </w:p>
    <w:p w14:paraId="6955EAB9" w14:textId="7777777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201A9E6A" w14:textId="77777777"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383C0EDE" w14:textId="77777777"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ZCTA contributes an independent disturbance.</w:t>
      </w:r>
    </w:p>
    <w:p w14:paraId="731323A0" w14:textId="77777777"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404AAE2E" w14:textId="77777777" w:rsidR="008756AB" w:rsidRDefault="00000000">
      <w:r>
        <w:t>The resource control differs by outcome by design rather than by oversight. Each technology takes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0C08FAB3" w14:textId="77777777" w:rsidR="00091F08" w:rsidRDefault="00F51C53" w:rsidP="00091F08">
      <w:pPr>
        <w:pStyle w:val="Heading2"/>
        <w:numPr>
          <w:ilvl w:val="1"/>
          <w:numId w:val="11"/>
        </w:numPr>
      </w:pPr>
      <w:bookmarkStart w:id="22" w:name="_Ref_sec_m_baseline"/>
      <w:r>
        <w:t>Baseline Regression Specification</w:t>
      </w:r>
      <w:bookmarkEnd w:id="22"/>
    </w:p>
    <w:p w14:paraId="4F864C4A" w14:textId="77777777" w:rsidR="00091F08" w:rsidRDefault="00091F08" w:rsidP="00091F08">
      <w:r>
        <w:t>The main estimation approach is ordinary least squares regression using the transformed ZCTA-level deployment outcomes. The baseline specification is:</w:t>
      </w:r>
    </w:p>
    <w:p w14:paraId="6E29939D" w14:textId="77777777" w:rsidR="00091F08" w:rsidRDefault="00191111" w:rsidP="3DC018EE">
      <w:pPr>
        <w:tabs>
          <w:tab w:val="right" w:pos="10080"/>
        </w:tabs>
        <w:jc w:val="center"/>
      </w:pPr>
      <w:r>
        <w:rPr>
          <w:rFonts w:ascii="Cambria Math" w:hAnsi="Cambria Math"/>
          <w:sz w:val="18"/>
        </w:rPr>
        <w:lastRenderedPageBreak/>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23"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23"/>
    </w:p>
    <w:p w14:paraId="4C10DAFB" w14:textId="77777777" w:rsidR="00091F08" w:rsidRDefault="00091F08" w:rsidP="00091F08">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w14:paraId="3DADAD12" w14:textId="77777777" w:rsidR="00091F08" w:rsidRDefault="00091F08" w:rsidP="00091F08">
      <w:r>
        <w:t>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r>
        <w:fldChar w:fldCharType="begin"/>
      </w:r>
      <w:r>
        <w:instrText xml:space="preserve"> REF _Ref_tbl_conley \h </w:instrText>
      </w:r>
      <w:r>
        <w:fldChar w:fldCharType="separate"/>
      </w:r>
      <w:r>
        <w:fldChar w:fldCharType="end"/>
      </w:r>
    </w:p>
    <w:p w14:paraId="4AD555DE" w14:textId="77777777" w:rsidR="00091F08" w:rsidRDefault="00091F08" w:rsidP="00091F08">
      <w:r>
        <w:t xml:space="preserve">Rather than relying on one preferred specification, </w:t>
      </w:r>
      <w:r w:rsidR="001F19B7">
        <w:t>we</w:t>
      </w:r>
      <w:r>
        <w:t xml:space="preserve"> estimate a model series. This matters because the paper is not only asking whether disparities appear in one model, but whether they persist as progressively richer controls are introduced. The modeling objective is therefore coefficient stability and interpretability across related specifications, not selection of a single best predictive model.</w:t>
      </w:r>
    </w:p>
    <w:p w14:paraId="754C06AD" w14:textId="77777777" w:rsidR="008756AB" w:rsidRDefault="00000000">
      <w:pPr>
        <w:pStyle w:val="Heading2"/>
      </w:pPr>
      <w:r>
        <w:t>Model series and nested cumulative ladder</w:t>
      </w:r>
    </w:p>
    <w:p w14:paraId="00A923AC" w14:textId="77777777" w:rsidR="008756AB" w:rsidRDefault="00000000">
      <w:r>
        <w:t>We estimate two complementary families of specifications. The first is a model series: each specification varies exactly one control block against a fixed core of income, race and ethnicity shares, poverty rate and the outcome-specific resource control. The blocks are education, housing value, housing structure, tenure, alternative climate and resource measures, centered income-by-race interactions, utility fixed effects, geographic controls, infrastructure context and an electricity-demand proxy. These are siblings rather than rungs — some swap a control rather than adding one — so the series answers which single block moves which coefficient, not whether the blocks jointly absorb an effect. Full specifications and coefficient tables are in Supplementary Table S18.</w:t>
      </w:r>
    </w:p>
    <w:p w14:paraId="73CA2485" w14:textId="77777777" w:rsidR="008756AB" w:rsidRDefault="00000000">
      <w:r>
        <w:t>The second is a genuinely nested cumulative ladder in which each rung is a strict superset of the last: C1 adds nothing to the core; C2 adds educational attainment and median housing value; C3 adds ACS B25024 housing structure and B25003 tenure; C4 adds utility fixed effects; and C5 adds county fixed effects with county-clustered standard errors, dropping the ZCTA-level climate control that county fixed effects very nearly absorb. County and utility fixed effects are not stacked with climate in one design matrix. All rungs are fitted on one intersected, listwise-deleted sample — rows non-missing on every variable used anywhere in the ladder, plus the minimum cluster-size filter — so N and cluster count are identical at every rung and coefficient movement reflects controls alone. A separate model adds the electricity-demand proxy and infrastructure capacity; these sit on the causal path from income and race to adoption, so conditioning on them estimates a direct rather than a total effect and it is reported only as a conservative lower bound. Interactions are kept out of the cumulative ladder.</w:t>
      </w:r>
    </w:p>
    <w:p w14:paraId="2CE7F483" w14:textId="77777777" w:rsidR="008756AB" w:rsidRDefault="00000000">
      <w:r>
        <w:t>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R²max set to 1.3 times the saturated R², capped at one; δ is reported only where adding controls attenuates the coefficient, since the bound is not interpretable otherwise.</w:t>
      </w:r>
    </w:p>
    <w:p w14:paraId="599BFDB6" w14:textId="77777777" w:rsidR="00091F08" w:rsidRDefault="0042424C" w:rsidP="00091F08">
      <w:pPr>
        <w:pStyle w:val="Heading2"/>
        <w:numPr>
          <w:ilvl w:val="1"/>
          <w:numId w:val="11"/>
        </w:numPr>
      </w:pPr>
      <w:bookmarkStart w:id="24" w:name="_Ref_sec_m_estimation"/>
      <w:r>
        <w:lastRenderedPageBreak/>
        <w:t>Estimation and Inference</w:t>
      </w:r>
      <w:bookmarkEnd w:id="24"/>
    </w:p>
    <w:p w14:paraId="50610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35E94D72" w14:textId="77777777" w:rsidR="00091F08" w:rsidRDefault="0042424C" w:rsidP="0019795D">
      <w:pPr>
        <w:pStyle w:val="Heading2"/>
        <w:numPr>
          <w:ilvl w:val="1"/>
          <w:numId w:val="11"/>
        </w:numPr>
        <w:ind w:hanging="540"/>
      </w:pPr>
      <w:bookmarkStart w:id="25" w:name="_Ref_sec_m_robustness"/>
      <w:r>
        <w:t>Robustness and Diagnostic Checks</w:t>
      </w:r>
      <w:bookmarkEnd w:id="25"/>
    </w:p>
    <w:p w14:paraId="524CCD81" w14:textId="77777777"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Supplementary Table S17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Supplementary Fig. S8</w:t>
      </w:r>
      <w:r>
        <w:fldChar w:fldCharType="end"/>
      </w:r>
      <w:r>
        <w:t xml:space="preserve">, and </w:t>
      </w:r>
      <w:r>
        <w:fldChar w:fldCharType="begin"/>
      </w:r>
      <w:r>
        <w:instrText xml:space="preserve"> REF _Ref_fig4 \h </w:instrText>
      </w:r>
      <w:r>
        <w:fldChar w:fldCharType="separate"/>
      </w:r>
      <w:r>
        <w:t>Figure 2</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Supplementary Table S18</w:t>
      </w:r>
      <w:r>
        <w:fldChar w:fldCharType="end"/>
      </w:r>
      <w:r>
        <w:t xml:space="preserve"> and </w:t>
      </w:r>
      <w:r>
        <w:fldChar w:fldCharType="begin"/>
      </w:r>
      <w:r>
        <w:instrText xml:space="preserve"> REF _Ref_tbl_conley \h </w:instrText>
      </w:r>
      <w:r>
        <w:fldChar w:fldCharType="separate"/>
      </w:r>
      <w:r>
        <w:t>Supplementary Table S19</w:t>
      </w:r>
      <w:r>
        <w:fldChar w:fldCharType="end"/>
      </w:r>
      <w:r>
        <w:t>).</w:t>
      </w:r>
    </w:p>
    <w:p w14:paraId="6774A574"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00FC39F2" w14:textId="7777777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Supplementary Fig. S14</w:t>
      </w:r>
      <w:r>
        <w:fldChar w:fldCharType="end"/>
      </w:r>
      <w:r>
        <w:t xml:space="preserve">, </w:t>
      </w:r>
      <w:r>
        <w:fldChar w:fldCharType="begin"/>
      </w:r>
      <w:r>
        <w:instrText xml:space="preserve"> REF _Ref_fig18 \h </w:instrText>
      </w:r>
      <w:r>
        <w:fldChar w:fldCharType="separate"/>
      </w:r>
      <w:r>
        <w:t>Supplementary Fig. S15</w:t>
      </w:r>
      <w:r>
        <w:fldChar w:fldCharType="end"/>
      </w:r>
      <w:r>
        <w:t xml:space="preserve">, and </w:t>
      </w:r>
      <w:r>
        <w:fldChar w:fldCharType="begin"/>
      </w:r>
      <w:r>
        <w:instrText xml:space="preserve"> REF _Ref_fig20 \h </w:instrText>
      </w:r>
      <w:r>
        <w:fldChar w:fldCharType="separate"/>
      </w:r>
      <w:r>
        <w:t>Supplementary Fig. S16</w:t>
      </w:r>
      <w:r>
        <w:fldChar w:fldCharType="end"/>
      </w:r>
      <w:r>
        <w:t>). These models are not the basis for the paper’s main claims. Instead, they serve as a diagnostic check on whether simple linear models are missing strong nonlinear structure. The substantive conclusions remain grounded in the interpretable OLS results.</w:t>
      </w:r>
    </w:p>
    <w:p w14:paraId="6747B47B" w14:textId="77777777" w:rsidR="008756AB" w:rsidRDefault="00000000">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44E3BC09" w14:textId="77777777" w:rsidR="008756AB" w:rsidRDefault="00000000">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S12. Mean energy burden in the matched sample is </w:t>
      </w:r>
      <w:r>
        <w:lastRenderedPageBreak/>
        <w:t>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6FB1730B" w14:textId="77777777" w:rsidR="00091F08" w:rsidRDefault="00D32F87" w:rsidP="0019795D">
      <w:pPr>
        <w:pStyle w:val="Heading2"/>
        <w:numPr>
          <w:ilvl w:val="1"/>
          <w:numId w:val="11"/>
        </w:numPr>
        <w:ind w:hanging="540"/>
        <w:jc w:val="both"/>
      </w:pPr>
      <w:bookmarkStart w:id="26" w:name="_Ref_sec_limitations"/>
      <w:r>
        <w:t>Methodological Limitations</w:t>
      </w:r>
      <w:bookmarkEnd w:id="26"/>
    </w:p>
    <w:p w14:paraId="05975BAB" w14:textId="77777777" w:rsidR="00B86A12" w:rsidRDefault="00000000">
      <w:r>
        <w:t>This study identifies area-level conditional associations, not causal effects (Methods). Area-level housing structure and tenure are observed in Models 2C and 2D, but unmeasured confounding may remain around household tenancy, roof suitability, installer availability, local permitting, program participation, and technology-specific incentive access.</w:t>
      </w:r>
    </w:p>
    <w:p w14:paraId="1AA46D8A" w14:textId="77777777" w:rsidR="00B86A12" w:rsidRDefault="00000000">
      <w:r>
        <w:t>The use of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fldChar w:fldCharType="end"/>
      </w:r>
    </w:p>
    <w:p w14:paraId="310B0660" w14:textId="77777777" w:rsidR="00B86A12" w:rsidRDefault="00000000">
      <w:r>
        <w:t>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0F00500B"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1A0B6E32" w14:textId="77777777" w:rsidR="008756AB" w:rsidRDefault="00000000">
      <w:r>
        <w:t>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 Note S3 the specification curve (Supplementary Fig. S5); Note S4 the Oster bounds (Supplementary Table S7); and Note S5 the alternative functional form, weighting and spatial specifications (Supplementary Table S9). Note S6 reports the housing-attenuation coefficients,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 and summary statistics (Supplementary Tables S12 to S15).</w:t>
      </w:r>
    </w:p>
    <w:p w14:paraId="438F307B" w14:textId="77777777" w:rsidR="008756AB" w:rsidRDefault="00000000">
      <w:pPr>
        <w:pStyle w:val="Heading1"/>
      </w:pPr>
      <w:r>
        <w:t>Data availability</w:t>
      </w:r>
    </w:p>
    <w:p w14:paraId="6743C0FD" w14:textId="77777777" w:rsidR="008756AB" w:rsidRDefault="00000000">
      <w:r>
        <w:t>The harmonized ZCTA analysis dataset is deposited at Zenodo under CC-BY-4.0 [DOI to be inserted before submission]. All underlying sources are public and are listed in the Supplementary Information.</w:t>
      </w:r>
    </w:p>
    <w:p w14:paraId="2D4F8FBD" w14:textId="77777777" w:rsidR="008756AB" w:rsidRDefault="00000000">
      <w:pPr>
        <w:pStyle w:val="Heading1"/>
      </w:pPr>
      <w:r>
        <w:lastRenderedPageBreak/>
        <w:t>Code availability</w:t>
      </w:r>
    </w:p>
    <w:p w14:paraId="604A19BA" w14:textId="77777777" w:rsidR="008756AB" w:rsidRDefault="00000000">
      <w:r>
        <w:t>Data-construction and analysis code is available at https://github.com/vineetjnair9/distributed-energy-resources-equity-CA under the MIT License.</w:t>
      </w:r>
    </w:p>
    <w:p w14:paraId="15C9ED22" w14:textId="77777777" w:rsidR="008756AB" w:rsidRDefault="00000000">
      <w:pPr>
        <w:pStyle w:val="Heading1"/>
      </w:pPr>
      <w:r>
        <w:t>Author contributions</w:t>
      </w:r>
    </w:p>
    <w:p w14:paraId="7E9AEECA" w14:textId="77777777" w:rsidR="008756AB" w:rsidRDefault="00000000">
      <w:r>
        <w:t>[To be completed.]</w:t>
      </w:r>
    </w:p>
    <w:p w14:paraId="18C7B97D" w14:textId="77777777" w:rsidR="008756AB" w:rsidRDefault="00000000">
      <w:pPr>
        <w:pStyle w:val="Heading1"/>
      </w:pPr>
      <w:r>
        <w:t>Competing interests</w:t>
      </w:r>
    </w:p>
    <w:p w14:paraId="4123BEDC" w14:textId="77777777" w:rsidR="008756AB" w:rsidRDefault="00000000">
      <w:r>
        <w:t>The authors declare no competing interests.</w:t>
      </w:r>
    </w:p>
    <w:p w14:paraId="135DDE95" w14:textId="77777777" w:rsidR="008756AB" w:rsidRDefault="00000000">
      <w:pPr>
        <w:pStyle w:val="Heading1"/>
      </w:pPr>
      <w:r>
        <w:t>Acknowledgements</w:t>
      </w:r>
    </w:p>
    <w:p w14:paraId="1330B9BF" w14:textId="77777777" w:rsidR="008756AB" w:rsidRDefault="00000000">
      <w:r>
        <w:t>[To be completed.]</w:t>
      </w:r>
    </w:p>
    <w:p w14:paraId="4F529007" w14:textId="77777777" w:rsidR="00B86A12" w:rsidRDefault="00000000">
      <w:pPr>
        <w:pStyle w:val="Heading1"/>
      </w:pPr>
      <w:r>
        <w:t>References</w:t>
      </w:r>
    </w:p>
    <w:sdt>
      <w:sdtPr>
        <w:rPr>
          <w:rFonts w:cs="Times New Roman"/>
          <w:color w:val="000000"/>
        </w:rPr>
        <w:tag w:val="MENDELEY_BIBLIOGRAPHY"/>
        <w:id w:val="-1455015959"/>
      </w:sdtPr>
      <w:sdtContent>
        <w:p w14:paraId="2D6C4CDD"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[1]B. R. Lukanov and E. M. Krieger, “Distributed solar and environmental justice: Exploring the demographic and socio-economic trends of residential PV adoption in California,” Energy Policy, vol. 134, 2019, doi:10.1016/j.enpol.2019.110935.</w:t>
          </w:r>
          <w:r w:rsidRPr="005C73E3">
            <w:rPr>
              <w:rFonts w:eastAsia="Times New Roman" w:cs="Times New Roman"/>
              <w:color w:val="000000"/>
            </w:rPr>
            <w:tab/>
          </w:r>
          <w:hyperlink r:id="rId16" w:history="1"/>
        </w:p>
        <w:p w14:paraId="2ECD787A" w14:textId="77777777" w:rsidR="005C73E3" w:rsidRPr="005C73E3" w:rsidRDefault="005C73E3">
          <w:pPr>
            <w:autoSpaceDE w:val="0"/>
            <w:autoSpaceDN w:val="0"/>
            <w:ind w:hanging="640"/>
            <w:divId w:val="832456146"/>
            <w:rPr>
              <w:rFonts w:eastAsia="Times New Roman" w:cs="Times New Roman"/>
              <w:color w:val="000000"/>
            </w:rPr>
          </w:pPr>
          <w:bookmarkStart w:id="27" w:name="_Ref_bib2"/>
          <w:r w:rsidRPr="005C73E3">
            <w:rPr>
              <w:rFonts w:eastAsia="Times New Roman" w:cs="Times New Roman"/>
              <w:color w:val="000000"/>
            </w:rPr>
            <w:t>[2]D. A. Sunter, S. Castellanos, and D. M. Kammen, “Disparities in rooftop photovoltaics deployment in the United States by race and ethnicity,” Nat. Sustain., vol. 2, no. 1, pp. 71–76, Jan. 2019, doi:10.1038/s41893-018-0204-z.</w:t>
          </w:r>
          <w:r w:rsidRPr="005C73E3">
            <w:rPr>
              <w:rFonts w:eastAsia="Times New Roman" w:cs="Times New Roman"/>
              <w:color w:val="000000"/>
            </w:rPr>
            <w:tab/>
          </w:r>
          <w:hyperlink r:id="rId17" w:history="1"/>
          <w:bookmarkEnd w:id="27"/>
        </w:p>
        <w:p w14:paraId="1B93B105" w14:textId="77777777" w:rsidR="005C73E3" w:rsidRPr="005C73E3" w:rsidRDefault="005C73E3">
          <w:pPr>
            <w:autoSpaceDE w:val="0"/>
            <w:autoSpaceDN w:val="0"/>
            <w:ind w:hanging="640"/>
            <w:divId w:val="246692011"/>
            <w:rPr>
              <w:rFonts w:eastAsia="Times New Roman" w:cs="Times New Roman"/>
              <w:color w:val="000000"/>
            </w:rPr>
          </w:pPr>
          <w:bookmarkStart w:id="28" w:name="_Ref_bib3"/>
          <w:r w:rsidRPr="005C73E3">
            <w:rPr>
              <w:rFonts w:eastAsia="Times New Roman" w:cs="Times New Roman"/>
              <w:color w:val="000000"/>
            </w:rPr>
            <w:t>[3]L. Kurdgelashvili, C. H. Shih, F. Yang, and M. Garg, “An empirical analysis of county-level residential PV adoption in California,” Technol. Forecast. Soc. Change, vol. 139, 2019, doi:10.1016/j.techfore.2018.11.021.</w:t>
          </w:r>
          <w:r w:rsidRPr="005C73E3">
            <w:rPr>
              <w:rFonts w:eastAsia="Times New Roman" w:cs="Times New Roman"/>
              <w:color w:val="000000"/>
            </w:rPr>
            <w:tab/>
          </w:r>
          <w:hyperlink r:id="rId18" w:history="1"/>
          <w:bookmarkEnd w:id="28"/>
        </w:p>
        <w:p w14:paraId="0BFAD859" w14:textId="77777777" w:rsidR="005C73E3" w:rsidRPr="005C73E3" w:rsidRDefault="005C73E3">
          <w:pPr>
            <w:autoSpaceDE w:val="0"/>
            <w:autoSpaceDN w:val="0"/>
            <w:ind w:hanging="640"/>
            <w:divId w:val="65810408"/>
            <w:rPr>
              <w:rFonts w:eastAsia="Times New Roman" w:cs="Times New Roman"/>
              <w:color w:val="000000"/>
            </w:rPr>
          </w:pPr>
          <w:bookmarkStart w:id="29" w:name="_Ref_bib4"/>
          <w:r w:rsidRPr="005C73E3">
            <w:rPr>
              <w:rFonts w:eastAsia="Times New Roman" w:cs="Times New Roman"/>
              <w:color w:val="000000"/>
            </w:rPr>
            <w:t>[4]T. G. Reames, “Distributional disparities in residential rooftop solar potential and penetration in four cities in the United States,” Energy Res. Soc. Sci., vol. 69, p. 101612, Nov. 2020, doi:10.1016/J.ERSS.2020.101612.</w:t>
          </w:r>
          <w:r w:rsidRPr="005C73E3">
            <w:rPr>
              <w:rFonts w:eastAsia="Times New Roman" w:cs="Times New Roman"/>
              <w:color w:val="000000"/>
            </w:rPr>
            <w:tab/>
          </w:r>
          <w:hyperlink r:id="rId19" w:history="1"/>
          <w:bookmarkEnd w:id="29"/>
        </w:p>
        <w:p w14:paraId="314A8568" w14:textId="77777777" w:rsidR="005C73E3" w:rsidRPr="005C73E3" w:rsidRDefault="005C73E3">
          <w:pPr>
            <w:autoSpaceDE w:val="0"/>
            <w:autoSpaceDN w:val="0"/>
            <w:ind w:hanging="640"/>
            <w:divId w:val="177813034"/>
            <w:rPr>
              <w:rFonts w:eastAsia="Times New Roman" w:cs="Times New Roman"/>
              <w:color w:val="000000"/>
            </w:rPr>
          </w:pPr>
          <w:bookmarkStart w:id="30" w:name="_Ref_bib5"/>
          <w:r w:rsidRPr="005C73E3">
            <w:rPr>
              <w:rFonts w:eastAsia="Times New Roman" w:cs="Times New Roman"/>
              <w:color w:val="000000"/>
            </w:rPr>
            <w:t>[5]N. R. Darghouth, E. O’Shaughnessy, S. Forrester, and G. Barbose, “Characterizing local rooftop solar adoption inequity in the US,” Environmental Research Letters, vol. 17, no. 3, p. 034028, Feb. 2022, doi:10.1088/1748-9326/AC4FDC.</w:t>
          </w:r>
          <w:r w:rsidRPr="005C73E3">
            <w:rPr>
              <w:rFonts w:eastAsia="Times New Roman" w:cs="Times New Roman"/>
              <w:color w:val="000000"/>
            </w:rPr>
            <w:tab/>
          </w:r>
          <w:hyperlink r:id="rId20" w:history="1"/>
          <w:bookmarkEnd w:id="30"/>
        </w:p>
        <w:p w14:paraId="12ECADAB" w14:textId="77777777" w:rsidR="005C73E3" w:rsidRPr="005C73E3" w:rsidRDefault="005C73E3">
          <w:pPr>
            <w:autoSpaceDE w:val="0"/>
            <w:autoSpaceDN w:val="0"/>
            <w:ind w:hanging="640"/>
            <w:divId w:val="512375084"/>
            <w:rPr>
              <w:rFonts w:eastAsia="Times New Roman" w:cs="Times New Roman"/>
              <w:color w:val="000000"/>
            </w:rPr>
          </w:pPr>
          <w:bookmarkStart w:id="31" w:name="_Ref_bib6"/>
          <w:r w:rsidRPr="005C73E3">
            <w:rPr>
              <w:rFonts w:eastAsia="Times New Roman" w:cs="Times New Roman"/>
              <w:color w:val="000000"/>
            </w:rPr>
            <w:t>[6]C. Sigrist, A. Lechowicz, J. Champ, N. Bashir, and M. Hajiesmaili, “Lost in Siting: The Hidden Carbon Cost of Inequitable Residential Solar Installations,” Jan. 2025, [Online]. Available:http://arxiv.org/abs/2501.13868</w:t>
          </w:r>
          <w:r w:rsidRPr="005C73E3">
            <w:rPr>
              <w:rFonts w:eastAsia="Times New Roman" w:cs="Times New Roman"/>
              <w:color w:val="000000"/>
            </w:rPr>
            <w:tab/>
          </w:r>
          <w:hyperlink r:id="rId21" w:history="1"/>
          <w:bookmarkEnd w:id="31"/>
        </w:p>
        <w:p w14:paraId="1CCF2628" w14:textId="77777777" w:rsidR="005C73E3" w:rsidRPr="005C73E3" w:rsidRDefault="005C73E3">
          <w:pPr>
            <w:autoSpaceDE w:val="0"/>
            <w:autoSpaceDN w:val="0"/>
            <w:ind w:hanging="640"/>
            <w:divId w:val="332071241"/>
            <w:rPr>
              <w:rFonts w:eastAsia="Times New Roman" w:cs="Times New Roman"/>
              <w:color w:val="000000"/>
            </w:rPr>
          </w:pPr>
          <w:bookmarkStart w:id="32" w:name="_Ref_bib7"/>
          <w:r w:rsidRPr="005C73E3">
            <w:rPr>
              <w:rFonts w:eastAsia="Times New Roman" w:cs="Times New Roman"/>
              <w:color w:val="000000"/>
            </w:rPr>
            <w:t>[7]A.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r>
          <w:bookmarkEnd w:id="32"/>
        </w:p>
        <w:p w14:paraId="51F78660" w14:textId="77777777" w:rsidR="005C73E3" w:rsidRPr="005C73E3" w:rsidRDefault="005C73E3">
          <w:pPr>
            <w:autoSpaceDE w:val="0"/>
            <w:autoSpaceDN w:val="0"/>
            <w:ind w:hanging="640"/>
            <w:divId w:val="977800147"/>
            <w:rPr>
              <w:rFonts w:eastAsia="Times New Roman" w:cs="Times New Roman"/>
              <w:color w:val="000000"/>
            </w:rPr>
          </w:pPr>
          <w:bookmarkStart w:id="33" w:name="_Ref_bib8"/>
          <w:r w:rsidRPr="005C73E3">
            <w:rPr>
              <w:rFonts w:eastAsia="Times New Roman" w:cs="Times New Roman"/>
              <w:color w:val="000000"/>
            </w:rPr>
            <w:t>[8]The Greenlining Institute, “Demystifying Equity in California’s Energy Grid Transition,” Jul. 25, 2024. [Online]. Available:https://greenlining.org/2024/demystifying-equity-in-californias-energy-grid-transition/</w:t>
          </w:r>
          <w:r w:rsidRPr="005C73E3">
            <w:rPr>
              <w:rFonts w:eastAsia="Times New Roman" w:cs="Times New Roman"/>
              <w:color w:val="000000"/>
            </w:rPr>
            <w:tab/>
          </w:r>
          <w:hyperlink r:id="rId22" w:history="1"/>
          <w:bookmarkEnd w:id="33"/>
        </w:p>
        <w:p w14:paraId="1FEAF368" w14:textId="77777777" w:rsidR="005C73E3" w:rsidRPr="005C73E3" w:rsidRDefault="005C73E3">
          <w:pPr>
            <w:autoSpaceDE w:val="0"/>
            <w:autoSpaceDN w:val="0"/>
            <w:ind w:hanging="640"/>
            <w:divId w:val="7680994"/>
            <w:rPr>
              <w:rFonts w:eastAsia="Times New Roman" w:cs="Times New Roman"/>
              <w:color w:val="000000"/>
            </w:rPr>
          </w:pPr>
          <w:bookmarkStart w:id="34" w:name="_Ref_bib9"/>
          <w:r w:rsidRPr="005C73E3">
            <w:rPr>
              <w:rFonts w:eastAsia="Times New Roman" w:cs="Times New Roman"/>
              <w:color w:val="000000"/>
            </w:rPr>
            <w:lastRenderedPageBreak/>
            <w:t>[9]T.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r>
          <w:hyperlink r:id="rId23" w:history="1"/>
          <w:bookmarkEnd w:id="34"/>
        </w:p>
        <w:p w14:paraId="1388B127" w14:textId="77777777" w:rsidR="005C73E3" w:rsidRPr="005C73E3" w:rsidRDefault="005C73E3">
          <w:pPr>
            <w:autoSpaceDE w:val="0"/>
            <w:autoSpaceDN w:val="0"/>
            <w:ind w:hanging="640"/>
            <w:divId w:val="1398741142"/>
            <w:rPr>
              <w:rFonts w:eastAsia="Times New Roman" w:cs="Times New Roman"/>
              <w:color w:val="000000"/>
            </w:rPr>
          </w:pPr>
          <w:bookmarkStart w:id="35" w:name="_Ref_bib10"/>
          <w:r w:rsidRPr="005C73E3">
            <w:rPr>
              <w:rFonts w:eastAsia="Times New Roman" w:cs="Times New Roman"/>
              <w:color w:val="000000"/>
            </w:rPr>
            <w:t>[10]S. P. Forrester, C. C. Montañés, E. O’Shaughnessy, and G. Barbose,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r>
          <w:hyperlink r:id="rId24" w:history="1"/>
          <w:bookmarkEnd w:id="35"/>
        </w:p>
        <w:p w14:paraId="7E00ECDF" w14:textId="77777777" w:rsidR="005C73E3" w:rsidRPr="005C73E3" w:rsidRDefault="005C73E3">
          <w:pPr>
            <w:autoSpaceDE w:val="0"/>
            <w:autoSpaceDN w:val="0"/>
            <w:ind w:hanging="640"/>
            <w:divId w:val="205682073"/>
            <w:rPr>
              <w:rFonts w:eastAsia="Times New Roman" w:cs="Times New Roman"/>
              <w:color w:val="000000"/>
            </w:rPr>
          </w:pPr>
          <w:bookmarkStart w:id="36" w:name="_Ref_bib11"/>
          <w:r w:rsidRPr="005C73E3">
            <w:rPr>
              <w:rFonts w:eastAsia="Times New Roman" w:cs="Times New Roman"/>
              <w:color w:val="000000"/>
            </w:rPr>
            <w:t>[11]A.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r>
          <w:hyperlink r:id="rId25" w:history="1"/>
          <w:bookmarkEnd w:id="36"/>
        </w:p>
        <w:p w14:paraId="048C20B3" w14:textId="77777777" w:rsidR="005C73E3" w:rsidRPr="005C73E3" w:rsidRDefault="005C73E3">
          <w:pPr>
            <w:autoSpaceDE w:val="0"/>
            <w:autoSpaceDN w:val="0"/>
            <w:ind w:hanging="640"/>
            <w:divId w:val="1253735744"/>
            <w:rPr>
              <w:rFonts w:eastAsia="Times New Roman" w:cs="Times New Roman"/>
              <w:color w:val="000000"/>
            </w:rPr>
          </w:pPr>
          <w:bookmarkStart w:id="37" w:name="_Ref_bib15"/>
          <w:r w:rsidRPr="005C73E3">
            <w:rPr>
              <w:rFonts w:eastAsia="Times New Roman" w:cs="Times New Roman"/>
              <w:color w:val="000000"/>
            </w:rPr>
            <w:t>[12]B. Aydin, R. Holt, and M. Almassalkhi, “Fairness-aware Dynamic Hosting Capacity and the Impacts of Strategic Solar PV Curtailment,” Apr. 2025, [Online]. Available:http://arxiv.org/abs/2504.18905</w:t>
          </w:r>
          <w:r w:rsidRPr="005C73E3">
            <w:rPr>
              <w:rFonts w:eastAsia="Times New Roman" w:cs="Times New Roman"/>
              <w:color w:val="000000"/>
            </w:rPr>
            <w:tab/>
          </w:r>
          <w:hyperlink r:id="rId26" w:history="1"/>
          <w:bookmarkEnd w:id="37"/>
        </w:p>
        <w:p w14:paraId="0ECF25E8" w14:textId="77777777" w:rsidR="005C73E3" w:rsidRPr="005C73E3" w:rsidRDefault="005C73E3">
          <w:pPr>
            <w:autoSpaceDE w:val="0"/>
            <w:autoSpaceDN w:val="0"/>
            <w:ind w:hanging="640"/>
            <w:divId w:val="511528959"/>
            <w:rPr>
              <w:rFonts w:eastAsia="Times New Roman" w:cs="Times New Roman"/>
              <w:color w:val="000000"/>
            </w:rPr>
          </w:pPr>
          <w:bookmarkStart w:id="38" w:name="_Ref_bib16"/>
          <w:r w:rsidRPr="005C73E3">
            <w:rPr>
              <w:rFonts w:eastAsia="Times New Roman" w:cs="Times New Roman"/>
              <w:color w:val="000000"/>
            </w:rPr>
            <w:t>[13]U.S. Department of Energy, “Distributed energy resource interconnection roadmap,” i2X initiative, 2023. [Online]. Available: https://www.energy.gov/eere/i2x</w:t>
          </w:r>
          <w:r w:rsidRPr="005C73E3">
            <w:rPr>
              <w:rFonts w:eastAsia="Times New Roman" w:cs="Times New Roman"/>
              <w:color w:val="000000"/>
            </w:rPr>
            <w:tab/>
          </w:r>
          <w:bookmarkEnd w:id="38"/>
        </w:p>
        <w:p w14:paraId="3BEDF592" w14:textId="77777777" w:rsidR="005C73E3" w:rsidRPr="005C73E3" w:rsidRDefault="005C73E3">
          <w:pPr>
            <w:autoSpaceDE w:val="0"/>
            <w:autoSpaceDN w:val="0"/>
            <w:ind w:hanging="640"/>
            <w:divId w:val="1284649049"/>
            <w:rPr>
              <w:rFonts w:eastAsia="Times New Roman" w:cs="Times New Roman"/>
              <w:color w:val="000000"/>
            </w:rPr>
          </w:pPr>
          <w:bookmarkStart w:id="39" w:name="_Ref_bib17"/>
          <w:r w:rsidRPr="005C73E3">
            <w:rPr>
              <w:rFonts w:eastAsia="Times New Roman" w:cs="Times New Roman"/>
              <w:color w:val="000000"/>
            </w:rPr>
            <w:t>[14]B. Tarekegne, R. O’Neil, and J. Twitchell, “Energy Storage as an Equity Asset,” 2021. doi:10.1007/s40518-021-00184-6.</w:t>
          </w:r>
          <w:r w:rsidRPr="005C73E3">
            <w:rPr>
              <w:rFonts w:eastAsia="Times New Roman" w:cs="Times New Roman"/>
              <w:color w:val="000000"/>
            </w:rPr>
            <w:tab/>
          </w:r>
          <w:hyperlink r:id="rId27" w:history="1"/>
          <w:bookmarkEnd w:id="39"/>
        </w:p>
        <w:p w14:paraId="32F2B609" w14:textId="77777777" w:rsidR="005C73E3" w:rsidRPr="005C73E3" w:rsidRDefault="005C73E3">
          <w:pPr>
            <w:autoSpaceDE w:val="0"/>
            <w:autoSpaceDN w:val="0"/>
            <w:ind w:hanging="640"/>
            <w:divId w:val="1907180809"/>
            <w:rPr>
              <w:rFonts w:eastAsia="Times New Roman" w:cs="Times New Roman"/>
              <w:color w:val="000000"/>
            </w:rPr>
          </w:pPr>
          <w:bookmarkStart w:id="40" w:name="_Ref_bib22"/>
          <w:r w:rsidRPr="005C73E3">
            <w:rPr>
              <w:rFonts w:eastAsia="Times New Roman" w:cs="Times New Roman"/>
              <w:color w:val="000000"/>
            </w:rPr>
            <w:t>[15]M. Alipour, E. Irannezhad, R. A. Stewart, and O. Sahin, “Exploring residential solar PV and battery energy storage adoption motivations and barriers in a mature PV market,” Renew. Energy, vol. 190, 2022, doi:10.1016/j.renene.2022.03.040.</w:t>
          </w:r>
          <w:r w:rsidRPr="005C73E3">
            <w:rPr>
              <w:rFonts w:eastAsia="Times New Roman" w:cs="Times New Roman"/>
              <w:color w:val="000000"/>
            </w:rPr>
            <w:tab/>
          </w:r>
          <w:hyperlink r:id="rId28" w:history="1"/>
          <w:bookmarkEnd w:id="40"/>
        </w:p>
        <w:p w14:paraId="243E4280" w14:textId="77777777" w:rsidR="005C73E3" w:rsidRPr="005C73E3" w:rsidRDefault="005C73E3">
          <w:pPr>
            <w:autoSpaceDE w:val="0"/>
            <w:autoSpaceDN w:val="0"/>
            <w:ind w:hanging="640"/>
            <w:divId w:val="3824811"/>
            <w:rPr>
              <w:rFonts w:eastAsia="Times New Roman" w:cs="Times New Roman"/>
              <w:color w:val="000000"/>
            </w:rPr>
          </w:pPr>
          <w:bookmarkStart w:id="41" w:name="_Ref_bib23"/>
          <w:r w:rsidRPr="005C73E3">
            <w:rPr>
              <w:rFonts w:eastAsia="Times New Roman" w:cs="Times New Roman"/>
              <w:color w:val="000000"/>
            </w:rPr>
            <w:t>[16]R.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r>
          <w:hyperlink r:id="rId29" w:history="1"/>
          <w:bookmarkEnd w:id="41"/>
        </w:p>
        <w:p w14:paraId="0389EA11" w14:textId="77777777" w:rsidR="005C73E3" w:rsidRPr="005C73E3" w:rsidRDefault="005C73E3">
          <w:pPr>
            <w:autoSpaceDE w:val="0"/>
            <w:autoSpaceDN w:val="0"/>
            <w:ind w:hanging="640"/>
            <w:divId w:val="1290358837"/>
            <w:rPr>
              <w:rFonts w:eastAsia="Times New Roman" w:cs="Times New Roman"/>
              <w:color w:val="000000"/>
            </w:rPr>
          </w:pPr>
          <w:bookmarkStart w:id="42" w:name="_Ref_bib24"/>
          <w:r w:rsidRPr="005C73E3">
            <w:rPr>
              <w:rFonts w:eastAsia="Times New Roman" w:cs="Times New Roman"/>
              <w:color w:val="000000"/>
            </w:rPr>
            <w:t>[17]L. Ge, T. Du, C. Li, Y. Li, J. Yan, and M. U. Rafiq, “Virtual Collection for Distributed Photovoltaic Data: Challenges, Methodologies, and Applications,” 2022. doi:10.3390/en15238783.</w:t>
          </w:r>
          <w:r w:rsidRPr="005C73E3">
            <w:rPr>
              <w:rFonts w:eastAsia="Times New Roman" w:cs="Times New Roman"/>
              <w:color w:val="000000"/>
            </w:rPr>
            <w:tab/>
          </w:r>
          <w:hyperlink r:id="rId30" w:history="1"/>
          <w:bookmarkEnd w:id="42"/>
        </w:p>
        <w:p w14:paraId="5CE53F2D" w14:textId="77777777" w:rsidR="00C82ADA" w:rsidRDefault="005C73E3" w:rsidP="00BE0E1E">
          <w:r w:rsidRPr="005C73E3">
            <w:rPr>
              <w:rFonts w:eastAsia="Times New Roman" w:cs="Times New Roman"/>
              <w:color w:val="000000"/>
            </w:rPr>
            <w:t> </w:t>
          </w:r>
        </w:p>
      </w:sdtContent>
    </w:sdt>
    <w:p w14:paraId="61B5999B" w14:textId="77777777" w:rsidR="00E133AE" w:rsidRDefault="00000000">
      <w:pPr>
        <w:autoSpaceDE w:val="0"/>
        <w:autoSpaceDN w:val="0"/>
        <w:ind w:hanging="640"/>
      </w:pPr>
      <w:bookmarkStart w:id="43" w:name="_Ref_src25"/>
      <w:r>
        <w:rPr>
          <w:rFonts w:eastAsia="Times New Roman" w:cs="Times New Roman"/>
          <w:color w:val="000000"/>
        </w:rPr>
        <w:t>[18]T. G. Conley, "GMM estimation with cross sectional dependence," Journal of Econometrics, vol. 92, no. 1, pp. 1-45, Sep. 1999, doi: 10.1016/S0304-4076(98)00084-0.</w:t>
      </w:r>
      <w:r>
        <w:rPr>
          <w:rFonts w:eastAsia="Times New Roman" w:cs="Times New Roman"/>
          <w:color w:val="000000"/>
        </w:rPr>
        <w:tab/>
      </w:r>
      <w:hyperlink r:id="rId31" w:history="1"/>
      <w:bookmarkEnd w:id="43"/>
    </w:p>
    <w:p w14:paraId="0ED2BD9B" w14:textId="77777777" w:rsidR="00E133AE" w:rsidRDefault="00000000">
      <w:pPr>
        <w:autoSpaceDE w:val="0"/>
        <w:autoSpaceDN w:val="0"/>
        <w:ind w:hanging="640"/>
      </w:pPr>
      <w:bookmarkStart w:id="44" w:name="_Ref_src26"/>
      <w:r>
        <w:rPr>
          <w:rFonts w:eastAsia="Times New Roman" w:cs="Times New Roman"/>
          <w:color w:val="000000"/>
        </w:rPr>
        <w:t>[19]Lawrence Berkeley National Laboratory, "Tracking the Sun: public data file," 2024. [Online]. Available: https://emp.lbl.gov/tracking-the-sun</w:t>
      </w:r>
      <w:r>
        <w:rPr>
          <w:rFonts w:eastAsia="Times New Roman" w:cs="Times New Roman"/>
          <w:color w:val="000000"/>
        </w:rPr>
        <w:tab/>
      </w:r>
      <w:hyperlink r:id="rId32" w:history="1"/>
      <w:bookmarkEnd w:id="44"/>
    </w:p>
    <w:p w14:paraId="45C0A52C" w14:textId="77777777" w:rsidR="00E133AE" w:rsidRDefault="00000000">
      <w:pPr>
        <w:autoSpaceDE w:val="0"/>
        <w:autoSpaceDN w:val="0"/>
        <w:ind w:hanging="640"/>
      </w:pPr>
      <w:bookmarkStart w:id="45" w:name="_Ref_src27"/>
      <w:r>
        <w:rPr>
          <w:rFonts w:eastAsia="Times New Roman" w:cs="Times New Roman"/>
          <w:color w:val="000000"/>
        </w:rPr>
        <w:t>[20]California Distributed Generation Statistics, "Interconnected project sites report, 31 December 2023," 2023. [Online]. Available: https://www.californiadgstats.ca.gov/downloads/</w:t>
      </w:r>
      <w:r>
        <w:rPr>
          <w:rFonts w:eastAsia="Times New Roman" w:cs="Times New Roman"/>
          <w:color w:val="000000"/>
        </w:rPr>
        <w:tab/>
      </w:r>
      <w:hyperlink r:id="rId33" w:history="1"/>
      <w:bookmarkEnd w:id="45"/>
    </w:p>
    <w:p w14:paraId="0A8D55DD" w14:textId="77777777" w:rsidR="00E133AE" w:rsidRDefault="00000000">
      <w:pPr>
        <w:autoSpaceDE w:val="0"/>
        <w:autoSpaceDN w:val="0"/>
        <w:ind w:hanging="640"/>
      </w:pPr>
      <w:bookmarkStart w:id="46" w:name="_Ref_src28"/>
      <w:r>
        <w:rPr>
          <w:rFonts w:eastAsia="Times New Roman" w:cs="Times New Roman"/>
          <w:color w:val="000000"/>
        </w:rPr>
        <w:t>[21]California Energy Commission, "California energy storage system survey," 2024. [Online]. Available: https://www.energy.ca.gov/data-reports/energy-almanac/california-electricity-data/california-energy-storage-system-survey</w:t>
      </w:r>
      <w:r>
        <w:rPr>
          <w:rFonts w:eastAsia="Times New Roman" w:cs="Times New Roman"/>
          <w:color w:val="000000"/>
        </w:rPr>
        <w:tab/>
      </w:r>
      <w:hyperlink r:id="rId34" w:history="1"/>
      <w:bookmarkEnd w:id="46"/>
    </w:p>
    <w:p w14:paraId="6B23C0B2" w14:textId="77777777" w:rsidR="00E133AE" w:rsidRDefault="00000000">
      <w:pPr>
        <w:autoSpaceDE w:val="0"/>
        <w:autoSpaceDN w:val="0"/>
        <w:ind w:hanging="640"/>
      </w:pPr>
      <w:bookmarkStart w:id="47" w:name="_Ref_src29"/>
      <w:r>
        <w:rPr>
          <w:rFonts w:eastAsia="Times New Roman" w:cs="Times New Roman"/>
          <w:color w:val="000000"/>
        </w:rPr>
        <w:t>[22]California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r>
      <w:hyperlink r:id="rId35" w:history="1"/>
      <w:bookmarkEnd w:id="47"/>
    </w:p>
    <w:p w14:paraId="55A45C75" w14:textId="77777777" w:rsidR="00E133AE" w:rsidRDefault="00000000">
      <w:pPr>
        <w:autoSpaceDE w:val="0"/>
        <w:autoSpaceDN w:val="0"/>
        <w:ind w:hanging="640"/>
      </w:pPr>
      <w:bookmarkStart w:id="48" w:name="_Ref_src30"/>
      <w:r>
        <w:rPr>
          <w:rFonts w:eastAsia="Times New Roman" w:cs="Times New Roman"/>
          <w:color w:val="000000"/>
        </w:rPr>
        <w:t>[23]B. D. Hoen, J. E. Diffendorfer, J. T. Rand, L. A. Kramer, C. P. Garrity, and H. E. Hunt, "United States wind turbine database," U.S. Geological Survey data release, 2018, doi: 10.5066/F7TX3DN0.</w:t>
      </w:r>
      <w:r>
        <w:rPr>
          <w:rFonts w:eastAsia="Times New Roman" w:cs="Times New Roman"/>
          <w:color w:val="000000"/>
        </w:rPr>
        <w:tab/>
      </w:r>
      <w:hyperlink r:id="rId36" w:history="1"/>
      <w:bookmarkEnd w:id="48"/>
    </w:p>
    <w:p w14:paraId="1D7BCEA5" w14:textId="77777777" w:rsidR="00E133AE" w:rsidRDefault="00000000">
      <w:pPr>
        <w:autoSpaceDE w:val="0"/>
        <w:autoSpaceDN w:val="0"/>
        <w:ind w:hanging="640"/>
      </w:pPr>
      <w:bookmarkStart w:id="49" w:name="_Ref_src31"/>
      <w:r>
        <w:rPr>
          <w:rFonts w:eastAsia="Times New Roman" w:cs="Times New Roman"/>
          <w:color w:val="000000"/>
        </w:rPr>
        <w:lastRenderedPageBreak/>
        <w:t>[24]U.S. Energy Information Administration, "Power plants," 2023. [Online]. Available: https://atlas.eia.gov/datasets/eia::power-plants/explore</w:t>
      </w:r>
      <w:r>
        <w:rPr>
          <w:rFonts w:eastAsia="Times New Roman" w:cs="Times New Roman"/>
          <w:color w:val="000000"/>
        </w:rPr>
        <w:tab/>
      </w:r>
      <w:hyperlink r:id="rId37" w:history="1"/>
      <w:bookmarkEnd w:id="49"/>
    </w:p>
    <w:p w14:paraId="31B35720" w14:textId="77777777" w:rsidR="00E133AE" w:rsidRDefault="00000000">
      <w:pPr>
        <w:autoSpaceDE w:val="0"/>
        <w:autoSpaceDN w:val="0"/>
        <w:ind w:hanging="640"/>
      </w:pPr>
      <w:bookmarkStart w:id="50" w:name="_Ref_src32"/>
      <w:r>
        <w:rPr>
          <w:rFonts w:eastAsia="Times New Roman" w:cs="Times New Roman"/>
          <w:color w:val="000000"/>
        </w:rPr>
        <w:t>[25]U.S. Census Bureau, "American Community Survey 5-year estimates, detailed tables," 2023. [Online]. Available: https://api.census.gov/data/2023/acs/acs5</w:t>
      </w:r>
      <w:r>
        <w:rPr>
          <w:rFonts w:eastAsia="Times New Roman" w:cs="Times New Roman"/>
          <w:color w:val="000000"/>
        </w:rPr>
        <w:tab/>
      </w:r>
      <w:hyperlink r:id="rId38" w:history="1"/>
      <w:bookmarkEnd w:id="50"/>
    </w:p>
    <w:p w14:paraId="48222F88" w14:textId="77777777" w:rsidR="00E133AE" w:rsidRDefault="00000000">
      <w:pPr>
        <w:autoSpaceDE w:val="0"/>
        <w:autoSpaceDN w:val="0"/>
        <w:ind w:hanging="640"/>
      </w:pPr>
      <w:bookmarkStart w:id="51" w:name="_Ref_src33"/>
      <w:r>
        <w:rPr>
          <w:rFonts w:eastAsia="Times New Roman" w:cs="Times New Roman"/>
          <w:color w:val="000000"/>
        </w:rPr>
        <w:t>[26]U.S. Census Bureau, "TIGER/Line shapefiles," 2023. [Online]. Available: https://www.census.gov/geographies/mapping-files/time-series/geo/tiger-line-file.html</w:t>
      </w:r>
      <w:r>
        <w:rPr>
          <w:rFonts w:eastAsia="Times New Roman" w:cs="Times New Roman"/>
          <w:color w:val="000000"/>
        </w:rPr>
        <w:tab/>
      </w:r>
      <w:hyperlink r:id="rId39" w:history="1"/>
      <w:bookmarkEnd w:id="51"/>
    </w:p>
    <w:p w14:paraId="62864421" w14:textId="77777777" w:rsidR="00E133AE" w:rsidRDefault="00000000">
      <w:pPr>
        <w:autoSpaceDE w:val="0"/>
        <w:autoSpaceDN w:val="0"/>
        <w:ind w:hanging="640"/>
      </w:pPr>
      <w:bookmarkStart w:id="52" w:name="_Ref_src34"/>
      <w:r>
        <w:rPr>
          <w:rFonts w:eastAsia="Times New Roman" w:cs="Times New Roman"/>
          <w:color w:val="000000"/>
        </w:rPr>
        <w:t>[27]NASA Langley Research Center, "Prediction of Worldwide Energy Resources (POWER)," 2023. [Online]. Available: https://power.larc.nasa.gov/</w:t>
      </w:r>
      <w:r>
        <w:rPr>
          <w:rFonts w:eastAsia="Times New Roman" w:cs="Times New Roman"/>
          <w:color w:val="000000"/>
        </w:rPr>
        <w:tab/>
      </w:r>
      <w:hyperlink r:id="rId40" w:history="1"/>
      <w:bookmarkEnd w:id="52"/>
    </w:p>
    <w:p w14:paraId="53F08A04" w14:textId="77777777" w:rsidR="00E133AE" w:rsidRDefault="00000000">
      <w:pPr>
        <w:autoSpaceDE w:val="0"/>
        <w:autoSpaceDN w:val="0"/>
        <w:ind w:hanging="640"/>
      </w:pPr>
      <w:bookmarkStart w:id="53" w:name="_Ref_src35"/>
      <w:r>
        <w:rPr>
          <w:rFonts w:eastAsia="Times New Roman" w:cs="Times New Roman"/>
          <w:color w:val="000000"/>
        </w:rPr>
        <w:t>[28]California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r>
      <w:hyperlink r:id="rId41" w:history="1"/>
      <w:bookmarkEnd w:id="53"/>
    </w:p>
    <w:p w14:paraId="4DEBA819" w14:textId="77777777" w:rsidR="00E133AE" w:rsidRDefault="00000000">
      <w:pPr>
        <w:autoSpaceDE w:val="0"/>
        <w:autoSpaceDN w:val="0"/>
        <w:ind w:hanging="640"/>
      </w:pPr>
      <w:bookmarkStart w:id="54" w:name="_Ref_src36"/>
      <w:r>
        <w:rPr>
          <w:rFonts w:eastAsia="Times New Roman" w:cs="Times New Roman"/>
          <w:color w:val="000000"/>
        </w:rPr>
        <w:t>[29]Pacific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r>
      <w:hyperlink r:id="rId42" w:history="1"/>
      <w:bookmarkEnd w:id="54"/>
    </w:p>
    <w:sectPr w:rsidR="00E133AE"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5566D52" w14:textId="77777777" w:rsidR="0097386F" w:rsidRDefault="0097386F"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3513FA01" w14:textId="77777777" w:rsidR="0097386F" w:rsidRDefault="0097386F" w:rsidP="0097386F">
      <w:r>
        <w:rPr>
          <w:rStyle w:val="CommentReference"/>
        </w:rPr>
        <w:annotationRef/>
      </w:r>
      <w:r>
        <w:rPr>
          <w:sz w:val="20"/>
          <w:szCs w:val="20"/>
        </w:rPr>
        <w:t>but hispanic also crosses zero for solar/storage?</w:t>
      </w:r>
    </w:p>
  </w:comment>
  <w:comment w:id="6" w:author="Vineet Jagadeesan Nair" w:date="2026-09-02T15:22:00Z" w:initials="VJN">
    <w:p w14:paraId="645FDF5B" w14:textId="77777777" w:rsidR="0097386F" w:rsidRDefault="0097386F" w:rsidP="0097386F">
      <w:r>
        <w:rPr>
          <w:rStyle w:val="CommentReference"/>
        </w:rPr>
        <w:annotationRef/>
      </w:r>
      <w:r>
        <w:rPr>
          <w:sz w:val="20"/>
          <w:szCs w:val="20"/>
        </w:rPr>
        <w:t>Need to refer to Fig. 3 too</w:t>
      </w:r>
    </w:p>
  </w:comment>
  <w:comment w:id="9" w:author="Vineet Jagadeesan Nair" w:date="2026-09-02T15:25:00Z" w:initials="VJN">
    <w:p w14:paraId="0EEFD446" w14:textId="77777777" w:rsidR="0097386F" w:rsidRDefault="0097386F" w:rsidP="0097386F">
      <w:r>
        <w:rPr>
          <w:rStyle w:val="CommentReference"/>
        </w:rPr>
        <w:annotationRef/>
      </w:r>
      <w:r>
        <w:rPr>
          <w:sz w:val="20"/>
          <w:szCs w:val="20"/>
        </w:rPr>
        <w:t>Should be referring to Note S4</w:t>
      </w:r>
    </w:p>
  </w:comment>
  <w:comment w:id="10" w:author="Vineet Jagadeesan Nair" w:date="2026-09-02T15:33:00Z" w:initials="VJN">
    <w:p w14:paraId="755AE233" w14:textId="77777777" w:rsidR="00FF44A5" w:rsidRDefault="00FF44A5" w:rsidP="00FF44A5">
      <w:r>
        <w:rPr>
          <w:rStyle w:val="CommentReference"/>
        </w:rPr>
        <w:annotationRef/>
      </w:r>
      <w:r>
        <w:rPr>
          <w:sz w:val="20"/>
          <w:szCs w:val="20"/>
        </w:rPr>
        <w:t>reduce unnecessary jargon</w:t>
      </w:r>
    </w:p>
  </w:comment>
  <w:comment w:id="11" w:author="Vineet Jagadeesan Nair" w:date="2026-09-02T15:33:00Z" w:initials="VJN">
    <w:p w14:paraId="5EACDD98" w14:textId="77777777" w:rsidR="00FF44A5" w:rsidRDefault="00FF44A5" w:rsidP="00FF44A5">
      <w:r>
        <w:rPr>
          <w:rStyle w:val="CommentReference"/>
        </w:rPr>
        <w:annotationRef/>
      </w:r>
      <w:r>
        <w:rPr>
          <w:sz w:val="20"/>
          <w:szCs w:val="20"/>
        </w:rPr>
        <w:t>fix</w:t>
      </w:r>
    </w:p>
  </w:comment>
  <w:comment w:id="12" w:author="Vineet Jagadeesan Nair" w:date="2026-09-02T15:37:00Z" w:initials="VJN">
    <w:p w14:paraId="01C845A3" w14:textId="77777777" w:rsidR="001232F2" w:rsidRDefault="001232F2" w:rsidP="001232F2">
      <w:r>
        <w:rPr>
          <w:rStyle w:val="CommentReference"/>
        </w:rPr>
        <w:annotationRef/>
      </w:r>
      <w:r>
        <w:rPr>
          <w:sz w:val="20"/>
          <w:szCs w:val="20"/>
        </w:rPr>
        <w:t>Refer to supplementary note S2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5566D52" w15:done="0"/>
  <w15:commentEx w15:paraId="3513FA01" w15:done="0"/>
  <w15:commentEx w15:paraId="645FDF5B" w15:done="0"/>
  <w15:commentEx w15:paraId="0EEFD446" w15:done="0"/>
  <w15:commentEx w15:paraId="755AE233" w15:done="0"/>
  <w15:commentEx w15:paraId="5EACDD98" w15:done="0"/>
  <w15:commentEx w15:paraId="01C845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5566D52" w16cid:durableId="06CAA9E9"/>
  <w16cid:commentId w16cid:paraId="3513FA01" w16cid:durableId="206963D5"/>
  <w16cid:commentId w16cid:paraId="645FDF5B" w16cid:durableId="2698D22E"/>
  <w16cid:commentId w16cid:paraId="0EEFD446" w16cid:durableId="01812446"/>
  <w16cid:commentId w16cid:paraId="755AE233" w16cid:durableId="5F9988DC"/>
  <w16cid:commentId w16cid:paraId="5EACDD98" w16cid:durableId="37A69DE0"/>
  <w16cid:commentId w16cid:paraId="01C845A3" w16cid:durableId="556252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5324"/>
    <w:rsid w:val="000E0BF8"/>
    <w:rsid w:val="000F22ED"/>
    <w:rsid w:val="00100D1E"/>
    <w:rsid w:val="00106056"/>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16/j" TargetMode="External"/><Relationship Id="rId26" Type="http://schemas.openxmlformats.org/officeDocument/2006/relationships/hyperlink" Target="http://arxiv.org/abs/2504.18905" TargetMode="External"/><Relationship Id="rId39" Type="http://schemas.openxmlformats.org/officeDocument/2006/relationships/hyperlink" Target="https://www.census.gov/geographies/mapping-files/time-series/geo/tiger-line-file.html" TargetMode="External"/><Relationship Id="rId21" Type="http://schemas.openxmlformats.org/officeDocument/2006/relationships/hyperlink" Target="http://arxiv.org/abs/2501.13868" TargetMode="External"/><Relationship Id="rId34" Type="http://schemas.openxmlformats.org/officeDocument/2006/relationships/hyperlink" Target="https://www.energy.ca.gov/data-reports/energy-almanac/california-electricity-data/california-energy-storage-system-survey" TargetMode="External"/><Relationship Id="rId42" Type="http://schemas.openxmlformats.org/officeDocument/2006/relationships/hyperlink" Target="https://pge-energydatarequest.com/public_datasets"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doi.org/10.1016/j" TargetMode="External"/><Relationship Id="rId29" Type="http://schemas.openxmlformats.org/officeDocument/2006/relationships/hyperlink" Target="https://doi.org/10.1145/3599733"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1038/s41467-024-48967-x" TargetMode="External"/><Relationship Id="rId32" Type="http://schemas.openxmlformats.org/officeDocument/2006/relationships/hyperlink" Target="https://emp.lbl.gov/tracking-the-sun" TargetMode="External"/><Relationship Id="rId37" Type="http://schemas.openxmlformats.org/officeDocument/2006/relationships/hyperlink" Target="https://atlas.eia.gov/datasets/eia::power-plants/explore" TargetMode="External"/><Relationship Id="rId40" Type="http://schemas.openxmlformats.org/officeDocument/2006/relationships/hyperlink" Target="https://power.larc.nasa.gov/"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doi.org/10.38126/jspg200106" TargetMode="External"/><Relationship Id="rId28" Type="http://schemas.openxmlformats.org/officeDocument/2006/relationships/hyperlink" Target="https://doi.org/10.1016/j" TargetMode="External"/><Relationship Id="rId36" Type="http://schemas.openxmlformats.org/officeDocument/2006/relationships/hyperlink" Target="https://doi.org/10.5066/F7TX3DN0"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1016/S0304-4076(98)00084-0"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s://greenlining.org/2024/demystifying-equity-in-californias-energy-grid-transition/" TargetMode="External"/><Relationship Id="rId27" Type="http://schemas.openxmlformats.org/officeDocument/2006/relationships/hyperlink" Target="https://doi.org/10.1007/s40518-021-00184-6" TargetMode="External"/><Relationship Id="rId30" Type="http://schemas.openxmlformats.org/officeDocument/2006/relationships/hyperlink" Target="https://doi.org/10.3390/en15238783" TargetMode="External"/><Relationship Id="rId35" Type="http://schemas.openxmlformats.org/officeDocument/2006/relationships/hyperlink" Target="https://www.energy.ca.gov/data-reports/energy-almanac/zero-emission-vehicle-and-infrastructure-statistics-collection/electric"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38/s41893-018-0204-z" TargetMode="External"/><Relationship Id="rId25" Type="http://schemas.openxmlformats.org/officeDocument/2006/relationships/hyperlink" Target="https://doi.org/10.1038/s41560-021-00887-6" TargetMode="External"/><Relationship Id="rId33" Type="http://schemas.openxmlformats.org/officeDocument/2006/relationships/hyperlink" Target="https://www.californiadgstats.ca.gov/downloads/" TargetMode="External"/><Relationship Id="rId38" Type="http://schemas.openxmlformats.org/officeDocument/2006/relationships/hyperlink" Target="https://api.census.gov/data/2023/acs/acs5" TargetMode="External"/><Relationship Id="rId20" Type="http://schemas.openxmlformats.org/officeDocument/2006/relationships/hyperlink" Target="https://doi.org/10.1088/1748-9326/AC4FDC" TargetMode="External"/><Relationship Id="rId41" Type="http://schemas.openxmlformats.org/officeDocument/2006/relationships/hyperlink" Target="https://www.energy.ca.gov/data-reports/data-exploration-tools/energy-equity-indicators-dashboard-collection/deep-dive-ener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19</Pages>
  <Words>9445</Words>
  <Characters>53842</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11</cp:revision>
  <dcterms:created xsi:type="dcterms:W3CDTF">2026-06-27T02:50:00Z</dcterms:created>
  <dcterms:modified xsi:type="dcterms:W3CDTF">2026-09-02T22:38:00Z</dcterms:modified>
  <cp:category/>
</cp:coreProperties>
</file>