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803B8" w14:textId="2AD0BB59" w:rsidR="003D485F" w:rsidRDefault="00DC78C8" w:rsidP="00880690">
      <w:pPr>
        <w:pStyle w:val="Title"/>
        <w:rPr>
          <w:b/>
          <w:bCs/>
        </w:rPr>
      </w:pPr>
      <w:r>
        <w:t xml:space="preserve"> </w:t>
      </w:r>
      <w:commentRangeStart w:id="0"/>
      <w:r w:rsidR="003D485F">
        <w:t>The Unequal Energy Transition: Racial and Socioeconomic Disparities in Distributed Energy Resource Adoption Across California</w:t>
      </w:r>
      <w:commentRangeEnd w:id="0"/>
      <w:r w:rsidR="00E92A9C">
        <w:rPr>
          <w:rStyle w:val="CommentReference"/>
          <w:b/>
          <w:bCs/>
          <w:sz w:val="52"/>
          <w:szCs w:val="52"/>
        </w:rPr>
        <w:commentReference w:id="0"/>
      </w:r>
    </w:p>
    <w:p w14:paraId="364370A7" w14: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w14:paraId="474F4A6E" w14:textId="77777777" w:rsidR="007F6C74" w:rsidRDefault="007F6C74" w:rsidP="007F6C74">
      <w:bookmarkStart w:id="3" w:name="OLE_LINK14"/>
      <w:r>
        <w:t xml:space="preserve">As rooftop solar, battery storage, and electric vehicle (EV) charging become more central to decarbonization, resilience, and electrification planning, the benefits these distributed energy resources (DERs) deliver are not guaranteed to be shared evenly. Prior work on rooftop PV shows that adoption can remain stratified by race and ethnicity even after accounting for income. We ask whether that pattern repeats across DER types or each carries its own form of exclusion. Our dataset covers 1,390 California ZIP Code Tabulation Areas, integrating all three technologies with American Community Survey demographics, climate and resource data, utility territory, and electricity demand under a consistent model ladder. The technologies do not share a disparity pattern. Neighborhoods with larger Black and Asian population shares have less rooftop solar and less storage after accounting for income and poverty, with deeper inequities in storage than in solar. Census measures of housing type and homeownership narrow these gaps by 32 to 53 percent, so much of the disparity tracks the housing stock. A significant remainder does not. EV charging differs. Charger counts rise with neighborhood poverty (2.00, p &lt; 0.001), but the association is absent for Level 1 units at household outlets and concentrated in faster Level 2 units at workplaces and commercial locations (2.24, p &lt; 0.001). Charging differences are thus driven by transportation infrastructure rather than race or income, so counts measure infrastructure rather than usable access. These results support a race-aware interpretation of DER equity and challenge the assumption that race-neutral planning frameworks are sufficient for equitable clean energy deployment. </w:t>
      </w:r>
    </w:p>
    <w:p w14:paraId="09C3140D" w14:textId="77777777" w:rsidR="00B86A12" w:rsidRDefault="00000000">
      <w:pPr>
        <w:pStyle w:val="Heading1"/>
        <w:numPr>
          <w:ilvl w:val="0"/>
          <w:numId w:val="11"/>
        </w:numPr>
      </w:pPr>
      <w:bookmarkStart w:id="4" w:name="_Ref_sec_intro"/>
      <w:bookmarkEnd w:id="3"/>
      <w:r>
        <w:t>Introduction</w:t>
      </w:r>
      <w:bookmarkEnd w:id="4"/>
    </w:p>
    <w:p w14:paraId="1BE4F285" w14:textId="77777777" w:rsidR="00B86A12" w:rsidRDefault="00000000">
      <w:pPr>
        <w:pStyle w:val="Heading2"/>
        <w:numPr>
          <w:ilvl w:val="1"/>
          <w:numId w:val="11"/>
        </w:numPr>
      </w:pPr>
      <w:r>
        <w:t>Motivation and problem</w:t>
      </w:r>
    </w:p>
    <w:p w14:paraId="393889D8" w14:textId="77777777"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490CFFC8" w14:textId="77777777" w:rsidR="00B86A12" w:rsidRDefault="00000000">
      <w:pPr>
        <w:pStyle w:val="Heading2"/>
        <w:numPr>
          <w:ilvl w:val="1"/>
          <w:numId w:val="11"/>
        </w:numPr>
      </w:pPr>
      <w:r>
        <w:lastRenderedPageBreak/>
        <w:t>Research question</w:t>
      </w:r>
    </w:p>
    <w:p w14:paraId="12BD6D1B" w14:textId="77777777" w:rsidR="00B86A12" w:rsidRDefault="00000000">
      <w:r>
        <w:t xml:space="preserve">The central research question is: </w:t>
      </w:r>
      <w:r w:rsidRPr="3DC018EE">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w:t>
      </w:r>
      <w:r w:rsidRPr="00A604E6">
        <w:rPr>
          <w:i/>
          <w:iCs/>
        </w:rPr>
        <w:t>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r>
        <w:t xml:space="preserve"> The rest of the paper is structured as follows. Section </w:t>
      </w:r>
      <w:r>
        <w:fldChar w:fldCharType="begin"/>
      </w:r>
      <w:r>
        <w:instrText xml:space="preserve"> REF _Ref_sec_background \r \h </w:instrText>
      </w:r>
      <w:r>
        <w:fldChar w:fldCharType="separate"/>
      </w:r>
      <w:r>
        <w:t>2</w:t>
      </w:r>
      <w:r>
        <w:fldChar w:fldCharType="end"/>
      </w:r>
      <w:r>
        <w:t xml:space="preserve"> reviews the prior literature and states the gap this paper addresses, and Section </w:t>
      </w:r>
      <w:r>
        <w:fldChar w:fldCharType="begin"/>
      </w:r>
      <w:r>
        <w:instrText xml:space="preserve"> REF _Ref_sec_data \r \h </w:instrText>
      </w:r>
      <w:r>
        <w:fldChar w:fldCharType="separate"/>
      </w:r>
      <w:r>
        <w:t>3</w:t>
      </w:r>
      <w:r>
        <w:fldChar w:fldCharType="end"/>
      </w:r>
      <w:r>
        <w:t xml:space="preserve"> describes the data and measures. Section </w:t>
      </w:r>
      <w:r>
        <w:fldChar w:fldCharType="begin"/>
      </w:r>
      <w:r>
        <w:instrText xml:space="preserve"> REF _Ref_sec_results \r \h </w:instrText>
      </w:r>
      <w:r>
        <w:fldChar w:fldCharType="separate"/>
      </w:r>
      <w:r>
        <w:t>4</w:t>
      </w:r>
      <w:r>
        <w:fldChar w:fldCharType="end"/>
      </w:r>
      <w:r>
        <w:t xml:space="preserve"> reports the results, Section </w:t>
      </w:r>
      <w:r>
        <w:fldChar w:fldCharType="begin"/>
      </w:r>
      <w:r>
        <w:instrText xml:space="preserve"> REF _Ref_sec_discussion \r \h </w:instrText>
      </w:r>
      <w:r>
        <w:fldChar w:fldCharType="separate"/>
      </w:r>
      <w:r>
        <w:t>5</w:t>
      </w:r>
      <w:r>
        <w:fldChar w:fldCharType="end"/>
      </w:r>
      <w:r>
        <w:t xml:space="preserve"> discusses mechanisms and policy implications, and Section </w:t>
      </w:r>
      <w:r>
        <w:fldChar w:fldCharType="begin"/>
      </w:r>
      <w:r>
        <w:instrText xml:space="preserve"> REF _Ref_sec_methods \r \h </w:instrText>
      </w:r>
      <w:r>
        <w:fldChar w:fldCharType="separate"/>
      </w:r>
      <w:r>
        <w:t>6</w:t>
      </w:r>
      <w:r>
        <w:fldChar w:fldCharType="end"/>
      </w:r>
      <w:r>
        <w:t xml:space="preserve"> sets out the empirical strategy and the full model ladder. Section </w:t>
      </w:r>
      <w:r>
        <w:fldChar w:fldCharType="begin"/>
      </w:r>
      <w:r>
        <w:instrText xml:space="preserve"> REF _Ref_sec_limitations \r \h </w:instrText>
      </w:r>
      <w:r>
        <w:fldChar w:fldCharType="separate"/>
      </w:r>
      <w:r>
        <w:t>7</w:t>
      </w:r>
      <w:r>
        <w:fldChar w:fldCharType="end"/>
      </w:r>
      <w:r>
        <w:t xml:space="preserve"> states the limitations and Section </w:t>
      </w:r>
      <w:r>
        <w:fldChar w:fldCharType="begin"/>
      </w:r>
      <w:r>
        <w:instrText xml:space="preserve"> REF _Ref_sec_conclusion \r \h </w:instrText>
      </w:r>
      <w:r>
        <w:fldChar w:fldCharType="separate"/>
      </w:r>
      <w:r>
        <w:t>8</w:t>
      </w:r>
      <w:r>
        <w:fldChar w:fldCharType="end"/>
      </w:r>
      <w:r>
        <w:t xml:space="preserve"> concludes. Supporting robustness visuals and statistical diagnostics are collected in </w:t>
      </w:r>
      <w:r>
        <w:fldChar w:fldCharType="begin"/>
      </w:r>
      <w:r>
        <w:instrText xml:space="preserve"> REF _Ref_sec_appendix \h </w:instrText>
      </w:r>
      <w:r>
        <w:fldChar w:fldCharType="separate"/>
      </w:r>
      <w:r>
        <w:t>Appendix: Additional Robustness Visuals</w:t>
      </w:r>
      <w:r>
        <w:fldChar w:fldCharType="end"/>
      </w:r>
      <w:r>
        <w:t>.</w:t>
      </w:r>
    </w:p>
    <w:p w14:paraId="080F694C" w14:textId="77777777" w:rsidR="00B86A12" w:rsidRDefault="00000000">
      <w:pPr>
        <w:pStyle w:val="Heading1"/>
        <w:numPr>
          <w:ilvl w:val="0"/>
          <w:numId w:val="11"/>
        </w:numPr>
      </w:pPr>
      <w:bookmarkStart w:id="5" w:name="_Ref233983716"/>
      <w:bookmarkStart w:id="6" w:name="_Ref_sec_background"/>
      <w:r>
        <w:t>Background and Prior Work</w:t>
      </w:r>
      <w:bookmarkEnd w:id="5"/>
      <w:bookmarkEnd w:id="6"/>
    </w:p>
    <w:p w14:paraId="52473CD5" w14:textId="77777777" w:rsidR="00B86A12" w:rsidRDefault="00000000">
      <w:pPr>
        <w:pStyle w:val="Heading2"/>
        <w:numPr>
          <w:ilvl w:val="1"/>
          <w:numId w:val="11"/>
        </w:numPr>
      </w:pPr>
      <w:r>
        <w:t>Foundational DER and PV adoption work</w:t>
      </w:r>
    </w:p>
    <w:p w14:paraId="11F5A860" w14:textId="7F68CE19"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r w:rsidR="005C73E3" w:rsidRPr="005C73E3">
            <w:rPr>
              <w:rFonts w:cs="Times New Roman"/>
              <w:color w:val="000000"/>
            </w:rPr>
            <w:t>[1]</w:t>
          </w:r>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r w:rsidR="005C73E3" w:rsidRPr="005C73E3">
            <w:rPr>
              <w:rFonts w:cs="Times New Roman"/>
              <w:color w:val="000000"/>
            </w:rPr>
            <w:t>[2]</w:t>
          </w:r>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r w:rsidR="005C73E3" w:rsidRPr="005C73E3">
            <w:rPr>
              <w:rFonts w:cs="Times New Roman"/>
              <w:color w:val="000000"/>
            </w:rPr>
            <w:t>[3]</w:t>
          </w:r>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r w:rsidR="005C73E3" w:rsidRPr="005C73E3">
            <w:rPr>
              <w:rFonts w:cs="Times New Roman"/>
              <w:color w:val="000000"/>
            </w:rPr>
            <w:t>[4], [5], [6]</w:t>
          </w:r>
        </w:sdtContent>
      </w:sdt>
      <w:r>
        <w:t>. Together, these studies provide the methodological starting point for the present paper.</w:t>
      </w:r>
    </w:p>
    <w:p w14:paraId="18491B0F" w14:textId="77777777" w:rsidR="00663EFC" w:rsidRDefault="00663EFC" w:rsidP="00663EFC">
      <w:pPr>
        <w:pStyle w:val="Heading2"/>
        <w:numPr>
          <w:ilvl w:val="1"/>
          <w:numId w:val="11"/>
        </w:numPr>
      </w:pPr>
      <w:r>
        <w:t>Why the equity lens needs to extend beyond PV</w:t>
      </w:r>
    </w:p>
    <w:p w14:paraId="479FBA0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55B1A059"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1A615A70"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lastRenderedPageBreak/>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23D747F1" w14:textId="77777777" w:rsidR="00B86A12" w:rsidRDefault="00000000" w:rsidP="0032353E">
      <w:pPr>
        <w:pStyle w:val="Heading2"/>
        <w:numPr>
          <w:ilvl w:val="1"/>
          <w:numId w:val="11"/>
        </w:numPr>
      </w:pPr>
      <w:r>
        <w:t>Race, energy burden, and race-neutral policy critiques</w:t>
      </w:r>
    </w:p>
    <w:p w14:paraId="14EFA672" w14:textId="3562BD04"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r w:rsidR="005C73E3" w:rsidRPr="005C73E3">
            <w:rPr>
              <w:rFonts w:cs="Times New Roman"/>
              <w:color w:val="000000"/>
            </w:rPr>
            <w:t>[7]</w:t>
          </w:r>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
          <w:id w:val="-1296830105"/>
          <w:placeholder>
            <w:docPart w:val="DefaultPlaceholder_-1854013440"/>
          </w:placeholder>
        </w:sdtPr>
        <w:sdtContent>
          <w:r w:rsidR="005C73E3" w:rsidRPr="005C73E3">
            <w:rPr>
              <w:rFonts w:cs="Times New Roman"/>
              <w:color w:val="000000"/>
            </w:rPr>
            <w:t>[8]</w:t>
          </w:r>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r w:rsidR="005C73E3" w:rsidRPr="005C73E3">
            <w:rPr>
              <w:rFonts w:cs="Times New Roman"/>
              <w:color w:val="000000"/>
            </w:rPr>
            <w:t>[9]</w:t>
          </w:r>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
          <w:id w:val="-701471147"/>
          <w:placeholder>
            <w:docPart w:val="DefaultPlaceholder_-1854013440"/>
          </w:placeholder>
        </w:sdtPr>
        <w:sdtContent>
          <w:r w:rsidR="005C73E3" w:rsidRPr="005C73E3">
            <w:rPr>
              <w:rFonts w:cs="Times New Roman"/>
              <w:color w:val="000000"/>
            </w:rPr>
            <w:t>[10]</w:t>
          </w:r>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48D1183D" w14:textId="77777777" w:rsidR="00B86A12" w:rsidRDefault="00000000">
      <w:pPr>
        <w:pStyle w:val="Heading2"/>
        <w:numPr>
          <w:ilvl w:val="1"/>
          <w:numId w:val="11"/>
        </w:numPr>
      </w:pPr>
      <w:r>
        <w:t>Infrastructure constraints and technical limits</w:t>
      </w:r>
    </w:p>
    <w:p w14:paraId="189BB82D" w14:textId="31CB323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
          <w:id w:val="110953687"/>
          <w:placeholder>
            <w:docPart w:val="DefaultPlaceholder_-1854013440"/>
          </w:placeholder>
        </w:sdtPr>
        <w:sdtContent>
          <w:r w:rsidR="005C73E3" w:rsidRPr="005C73E3">
            <w:rPr>
              <w:rFonts w:cs="Times New Roman"/>
              <w:color w:val="000000"/>
            </w:rPr>
            <w:t>[11]</w:t>
          </w:r>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r w:rsidR="005C73E3" w:rsidRPr="005C73E3">
            <w:rPr>
              <w:rFonts w:cs="Times New Roman"/>
              <w:color w:val="000000"/>
            </w:rPr>
            <w:t>[12]</w:t>
          </w:r>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
          <w:id w:val="-1225070529"/>
          <w:placeholder>
            <w:docPart w:val="DefaultPlaceholder_-1854013440"/>
          </w:placeholder>
        </w:sdtPr>
        <w:sdtContent>
          <w:r w:rsidR="005C73E3" w:rsidRPr="005C73E3">
            <w:rPr>
              <w:rFonts w:cs="Times New Roman"/>
              <w:color w:val="000000"/>
            </w:rPr>
            <w:t>[13]</w:t>
          </w:r>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r w:rsidR="005C73E3" w:rsidRPr="005C73E3">
            <w:rPr>
              <w:rFonts w:cs="Times New Roman"/>
              <w:color w:val="000000"/>
            </w:rPr>
            <w:t>[14]</w:t>
          </w:r>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r w:rsidR="005C73E3" w:rsidRPr="005C73E3">
            <w:rPr>
              <w:rFonts w:cs="Times New Roman"/>
              <w:color w:val="000000"/>
            </w:rPr>
            <w:t>[15]</w:t>
          </w:r>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r w:rsidR="005C73E3" w:rsidRPr="005C73E3">
            <w:rPr>
              <w:rFonts w:cs="Times New Roman"/>
              <w:color w:val="000000"/>
            </w:rPr>
            <w:t>[16]</w:t>
          </w:r>
        </w:sdtContent>
      </w:sdt>
      <w:r>
        <w:t>. Taken together, these sources suggest that DER inequity should be understood as both a social and grid-infrastructure problem.</w:t>
      </w:r>
    </w:p>
    <w:p w14:paraId="28F54BEC" w14:textId="77777777" w:rsidR="00B86A12" w:rsidRDefault="00000000">
      <w:pPr>
        <w:pStyle w:val="Heading2"/>
        <w:numPr>
          <w:ilvl w:val="1"/>
          <w:numId w:val="11"/>
        </w:numPr>
      </w:pPr>
      <w:r>
        <w:t>Other DERs, storage, flexible loads, and planning frameworks</w:t>
      </w:r>
    </w:p>
    <w:p w14:paraId="656E71B3" w14:textId="248CDBBC" w:rsidR="00B86A12" w:rsidRDefault="00000000" w:rsidP="00C4201B">
      <w:r>
        <w:t xml:space="preserve">Recent work also encourages expanding the equity conversation beyond solar PV alone. Tarekegne et al.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r w:rsidR="005C73E3" w:rsidRPr="005C73E3">
            <w:rPr>
              <w:rFonts w:cs="Times New Roman"/>
              <w:color w:val="000000"/>
            </w:rPr>
            <w:t>[17]</w:t>
          </w:r>
        </w:sdtContent>
      </w:sdt>
      <w:r>
        <w:t xml:space="preserve">. Flexible-DER coordination work at NREL and related DOE planning studies shows how equity concerns can be embedded into operational and planning frameworks rather than treated as separate from system design. Stokes and Warshaw (2017), Borenstein and Bushnell (2015),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
          <w:id w:val="-729917231"/>
          <w:placeholder>
            <w:docPart w:val="DefaultPlaceholder_-1854013440"/>
          </w:placeholder>
        </w:sdtPr>
        <w:sdtContent>
          <w:r w:rsidR="005C73E3" w:rsidRPr="005C73E3">
            <w:rPr>
              <w:rFonts w:cs="Times New Roman"/>
              <w:color w:val="000000"/>
            </w:rPr>
            <w:t>[18], [19], [20], [21]</w:t>
          </w:r>
        </w:sdtContent>
      </w:sdt>
      <w:r>
        <w:rPr>
          <w:rFonts w:cs="Times New Roman"/>
          <w:color w:val="000000"/>
        </w:rPr>
        <w:t xml:space="preserve">. Storage and paired solar-storage systems also require separate attention because their adoption is shaped by resilience value, rebate design, and household capacity to finance </w:t>
      </w:r>
      <w:r>
        <w:rPr>
          <w:rFonts w:cs="Times New Roman"/>
          <w:color w:val="000000"/>
        </w:rPr>
        <w:lastRenderedPageBreak/>
        <w:t xml:space="preserve">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r w:rsidR="005C73E3" w:rsidRPr="005C73E3">
            <w:rPr>
              <w:rFonts w:cs="Times New Roman"/>
              <w:color w:val="000000"/>
            </w:rPr>
            <w:t>[22]</w:t>
          </w:r>
        </w:sdtContent>
      </w:sdt>
      <w:r>
        <w:rPr>
          <w:rFonts w:cs="Times New Roman"/>
          <w:color w:val="000000"/>
        </w:rPr>
        <w:t>.</w:t>
      </w:r>
    </w:p>
    <w:p w14:paraId="590CDF7B" w14:textId="77777777" w:rsidR="00B86A12" w:rsidRDefault="00000000">
      <w:pPr>
        <w:pStyle w:val="Heading2"/>
        <w:numPr>
          <w:ilvl w:val="1"/>
          <w:numId w:val="11"/>
        </w:numPr>
      </w:pPr>
      <w:r>
        <w:t>Gap and novel contribution</w:t>
      </w:r>
    </w:p>
    <w:p w14:paraId="5DE64A66" w14:textId="4AD68A45"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t>
      </w:r>
      <w:r w:rsidR="001F19B7">
        <w:t>we</w:t>
      </w:r>
      <w:r>
        <w:t xml:space="preserve"> do not know whether inequity is a property of solar adoption or a general feature of the DER transition. Second, work that looks beyond PV, such as storage as an equity asset (Tarekegne et al.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
          <w:id w:val="-1737225882"/>
          <w:placeholder>
            <w:docPart w:val="DefaultPlaceholder_-1854013440"/>
          </w:placeholder>
        </w:sdtPr>
        <w:sdtContent>
          <w:r w:rsidR="005C73E3" w:rsidRPr="005C73E3">
            <w:rPr>
              <w:rFonts w:cs="Times New Roman"/>
              <w:color w:val="000000"/>
            </w:rPr>
            <w:t>[23]</w:t>
          </w:r>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r w:rsidR="005C73E3" w:rsidRPr="005C73E3">
            <w:rPr>
              <w:rFonts w:cs="Times New Roman"/>
              <w:color w:val="000000"/>
            </w:rPr>
            <w:t>[24]</w:t>
          </w:r>
        </w:sdtContent>
      </w:sdt>
      <w:r>
        <w:t>.</w:t>
      </w:r>
    </w:p>
    <w:p w14:paraId="66C1074A" w14:textId="77777777" w:rsidR="00663EFC" w:rsidRDefault="00000000" w:rsidP="004A7202">
      <w:r>
        <w:t>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14:paraId="164192BA" w14:textId="77777777"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6CA6B22C" w14:textId="77777777" w:rsidR="009B78FE" w:rsidRDefault="00000000" w:rsidP="003C3701">
      <w:pPr>
        <w:pStyle w:val="Heading1"/>
        <w:numPr>
          <w:ilvl w:val="0"/>
          <w:numId w:val="11"/>
        </w:numPr>
      </w:pPr>
      <w:bookmarkStart w:id="7" w:name="_Ref_sec_data"/>
      <w:commentRangeStart w:id="8"/>
      <w:r>
        <w:t>Data and Measures</w:t>
      </w:r>
      <w:bookmarkEnd w:id="7"/>
      <w:commentRangeEnd w:id="8"/>
      <w:r w:rsidR="00D57483">
        <w:rPr>
          <w:rStyle w:val="CommentReference"/>
          <w:sz w:val="28"/>
          <w:szCs w:val="28"/>
        </w:rPr>
        <w:commentReference w:id="8"/>
      </w:r>
    </w:p>
    <w:p w14:paraId="520E428F" w14:textId="77777777" w:rsidR="009B78FE" w:rsidRDefault="009B78FE" w:rsidP="009B78FE">
      <w:pPr>
        <w:pStyle w:val="Caption"/>
        <w:keepNext/>
      </w:pPr>
      <w:bookmarkStart w:id="9" w:name="_Ref_tbl1"/>
      <w:r>
        <w:t xml:space="preserve">Table </w:t>
      </w:r>
      <w:r>
        <w:fldChar w:fldCharType="begin"/>
      </w:r>
      <w:r>
        <w:instrText xml:space="preserve"> SEQ Table \* ARABIC </w:instrText>
      </w:r>
      <w:r>
        <w:fldChar w:fldCharType="separate"/>
      </w:r>
      <w:r>
        <w:t>1</w:t>
      </w:r>
      <w:r>
        <w:fldChar w:fldCharType="end"/>
      </w:r>
      <w:bookmarkEnd w:id="9"/>
      <w:r>
        <w:t>: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59"/>
        <w:gridCol w:w="3354"/>
        <w:gridCol w:w="3357"/>
      </w:tblGrid>
      <w:tr w:rsidR="009B78FE" w14:paraId="59BDDCBB" w14:textId="77777777" w:rsidTr="000A7270">
        <w:trPr>
          <w:tblHeader/>
        </w:trPr>
        <w:tc>
          <w:tcPr>
            <w:tcW w:w="3360" w:type="dxa"/>
            <w:tcBorders>
              <w:bottom w:val="single" w:sz="6" w:space="0" w:color="auto"/>
            </w:tcBorders>
            <w:shd w:val="clear" w:color="auto" w:fill="F2EFE7"/>
          </w:tcPr>
          <w:p w14:paraId="081C5C77" w14:textId="77777777" w:rsidR="009B78FE" w:rsidRDefault="009B78FE" w:rsidP="000A7270">
            <w:r>
              <w:rPr>
                <w:b/>
              </w:rPr>
              <w:t>Variable</w:t>
            </w:r>
          </w:p>
        </w:tc>
        <w:tc>
          <w:tcPr>
            <w:tcW w:w="3360" w:type="dxa"/>
            <w:tcBorders>
              <w:bottom w:val="single" w:sz="6" w:space="0" w:color="auto"/>
            </w:tcBorders>
            <w:shd w:val="clear" w:color="auto" w:fill="F2EFE7"/>
          </w:tcPr>
          <w:p w14:paraId="43140604" w14:textId="77777777" w:rsidR="009B78FE" w:rsidRDefault="009B78FE" w:rsidP="000A7270">
            <w:r>
              <w:rPr>
                <w:b/>
              </w:rPr>
              <w:t>Meaning</w:t>
            </w:r>
          </w:p>
        </w:tc>
        <w:tc>
          <w:tcPr>
            <w:tcW w:w="3360" w:type="dxa"/>
            <w:tcBorders>
              <w:bottom w:val="single" w:sz="6" w:space="0" w:color="auto"/>
            </w:tcBorders>
            <w:shd w:val="clear" w:color="auto" w:fill="F2EFE7"/>
          </w:tcPr>
          <w:p w14:paraId="7237978C" w14:textId="77777777" w:rsidR="009B78FE" w:rsidRDefault="009B78FE" w:rsidP="000A7270">
            <w:r>
              <w:rPr>
                <w:b/>
              </w:rPr>
              <w:t>Scale / notes</w:t>
            </w:r>
          </w:p>
        </w:tc>
      </w:tr>
      <w:tr w:rsidR="009B78FE" w14:paraId="5D5B6199" w14:textId="77777777" w:rsidTr="000A7270">
        <w:tc>
          <w:tcPr>
            <w:tcW w:w="3360" w:type="dxa"/>
          </w:tcPr>
          <w:p w14:paraId="63C9C9F9" w14:textId="77777777" w:rsidR="009B78FE" w:rsidRDefault="009B78FE" w:rsidP="000A7270">
            <w:r>
              <w:rPr>
                <w:rFonts w:ascii="Courier New" w:hAnsi="Courier New"/>
                <w:sz w:val="18"/>
              </w:rPr>
              <w:t>y_pv</w:t>
            </w:r>
          </w:p>
        </w:tc>
        <w:tc>
          <w:tcPr>
            <w:tcW w:w="3360" w:type="dxa"/>
          </w:tcPr>
          <w:p w14:paraId="4F563FB4" w14:textId="77777777" w:rsidR="009B78FE" w:rsidRDefault="009B78FE" w:rsidP="000A7270">
            <w:r>
              <w:t>Solar PV deployment intensity</w:t>
            </w:r>
          </w:p>
        </w:tc>
        <w:tc>
          <w:tcPr>
            <w:tcW w:w="3360" w:type="dxa"/>
          </w:tcPr>
          <w:p w14:paraId="3AD6CBF6" w14:textId="77777777" w:rsidR="009B78FE" w:rsidRDefault="009B78FE" w:rsidP="000A7270">
            <w:r>
              <w:rPr>
                <w:rFonts w:ascii="Courier New" w:hAnsi="Courier New"/>
                <w:sz w:val="18"/>
              </w:rPr>
              <w:t>log(1 + PV kW DC per 1,000 residents)</w:t>
            </w:r>
          </w:p>
        </w:tc>
      </w:tr>
      <w:tr w:rsidR="009B78FE" w14:paraId="5EE7C891" w14:textId="77777777" w:rsidTr="000A7270">
        <w:tc>
          <w:tcPr>
            <w:tcW w:w="3360" w:type="dxa"/>
          </w:tcPr>
          <w:p w14:paraId="15BC247E" w14:textId="77777777" w:rsidR="009B78FE" w:rsidRDefault="009B78FE" w:rsidP="000A7270">
            <w:r>
              <w:rPr>
                <w:rFonts w:ascii="Courier New" w:hAnsi="Courier New"/>
                <w:sz w:val="18"/>
              </w:rPr>
              <w:t>y_storage</w:t>
            </w:r>
          </w:p>
        </w:tc>
        <w:tc>
          <w:tcPr>
            <w:tcW w:w="3360" w:type="dxa"/>
          </w:tcPr>
          <w:p w14:paraId="6DD0BD8D" w14:textId="77777777" w:rsidR="009B78FE" w:rsidRDefault="009B78FE" w:rsidP="000A7270">
            <w:r>
              <w:t>Battery storage deployment intensity</w:t>
            </w:r>
          </w:p>
        </w:tc>
        <w:tc>
          <w:tcPr>
            <w:tcW w:w="3360" w:type="dxa"/>
          </w:tcPr>
          <w:p w14:paraId="7C04CADF" w14:textId="77777777" w:rsidR="009B78FE" w:rsidRDefault="009B78FE" w:rsidP="000A7270">
            <w:r>
              <w:rPr>
                <w:rFonts w:ascii="Courier New" w:hAnsi="Courier New"/>
                <w:sz w:val="18"/>
              </w:rPr>
              <w:t>log(1 + storage MW per 100,000 residents)</w:t>
            </w:r>
          </w:p>
        </w:tc>
      </w:tr>
      <w:tr w:rsidR="009B78FE" w14:paraId="31DC2100" w14:textId="77777777" w:rsidTr="000A7270">
        <w:tc>
          <w:tcPr>
            <w:tcW w:w="3360" w:type="dxa"/>
          </w:tcPr>
          <w:p w14:paraId="7D0650BE" w14:textId="77777777" w:rsidR="009B78FE" w:rsidRDefault="009B78FE" w:rsidP="000A7270">
            <w:r>
              <w:rPr>
                <w:rFonts w:ascii="Courier New" w:hAnsi="Courier New"/>
                <w:sz w:val="18"/>
              </w:rPr>
              <w:t>y_chargers</w:t>
            </w:r>
          </w:p>
        </w:tc>
        <w:tc>
          <w:tcPr>
            <w:tcW w:w="3360" w:type="dxa"/>
          </w:tcPr>
          <w:p w14:paraId="765482B4" w14:textId="77777777" w:rsidR="009B78FE" w:rsidRDefault="009B78FE" w:rsidP="000A7270">
            <w:r>
              <w:t>EV charging availability</w:t>
            </w:r>
          </w:p>
        </w:tc>
        <w:tc>
          <w:tcPr>
            <w:tcW w:w="3360" w:type="dxa"/>
          </w:tcPr>
          <w:p w14:paraId="232732FF" w14:textId="77777777" w:rsidR="009B78FE" w:rsidRDefault="009B78FE" w:rsidP="000A7270">
            <w:r>
              <w:rPr>
                <w:rFonts w:ascii="Courier New" w:hAnsi="Courier New"/>
                <w:sz w:val="18"/>
              </w:rPr>
              <w:t>log(1 + total chargers per 1,000 residents)</w:t>
            </w:r>
          </w:p>
        </w:tc>
      </w:tr>
      <w:tr w:rsidR="009B78FE" w14:paraId="1F4918D8" w14:textId="77777777" w:rsidTr="000A7270">
        <w:tc>
          <w:tcPr>
            <w:tcW w:w="3360" w:type="dxa"/>
          </w:tcPr>
          <w:p w14:paraId="64EAD7F6" w14:textId="77777777" w:rsidR="009B78FE" w:rsidRDefault="009B78FE" w:rsidP="000A7270">
            <w:r>
              <w:rPr>
                <w:rFonts w:ascii="Courier New" w:hAnsi="Courier New"/>
                <w:sz w:val="18"/>
              </w:rPr>
              <w:t>pct_black</w:t>
            </w:r>
          </w:p>
        </w:tc>
        <w:tc>
          <w:tcPr>
            <w:tcW w:w="3360" w:type="dxa"/>
          </w:tcPr>
          <w:p w14:paraId="206BE5D7" w14:textId="77777777" w:rsidR="009B78FE" w:rsidRDefault="009B78FE" w:rsidP="000A7270">
            <w:r>
              <w:t>Share of ZIP/ZCTA population identifying as Black</w:t>
            </w:r>
          </w:p>
        </w:tc>
        <w:tc>
          <w:tcPr>
            <w:tcW w:w="3360" w:type="dxa"/>
          </w:tcPr>
          <w:p w14:paraId="665D2B0A" w14:textId="77777777" w:rsidR="009B78FE" w:rsidRDefault="009B78FE" w:rsidP="000A7270">
            <w:r>
              <w:t>ACS 2023 5-year estimate</w:t>
            </w:r>
          </w:p>
        </w:tc>
      </w:tr>
      <w:tr w:rsidR="009B78FE" w14:paraId="59EB47E3" w14:textId="77777777" w:rsidTr="000A7270">
        <w:tc>
          <w:tcPr>
            <w:tcW w:w="3360" w:type="dxa"/>
          </w:tcPr>
          <w:p w14:paraId="524AD3C2" w14:textId="77777777" w:rsidR="009B78FE" w:rsidRDefault="009B78FE" w:rsidP="000A7270">
            <w:r>
              <w:rPr>
                <w:rFonts w:ascii="Courier New" w:hAnsi="Courier New"/>
                <w:sz w:val="18"/>
              </w:rPr>
              <w:t>pct_hispanic</w:t>
            </w:r>
          </w:p>
        </w:tc>
        <w:tc>
          <w:tcPr>
            <w:tcW w:w="3360" w:type="dxa"/>
          </w:tcPr>
          <w:p w14:paraId="1BAAA9A6" w14:textId="77777777" w:rsidR="009B78FE" w:rsidRDefault="009B78FE" w:rsidP="000A7270">
            <w:r>
              <w:t>Share of ZIP/ZCTA population identifying as Hispanic or Latino</w:t>
            </w:r>
          </w:p>
        </w:tc>
        <w:tc>
          <w:tcPr>
            <w:tcW w:w="3360" w:type="dxa"/>
          </w:tcPr>
          <w:p w14:paraId="7D3AF58E" w14:textId="77777777" w:rsidR="009B78FE" w:rsidRDefault="009B78FE" w:rsidP="000A7270">
            <w:r>
              <w:t>ACS 2023 5-year estimate</w:t>
            </w:r>
          </w:p>
        </w:tc>
      </w:tr>
      <w:tr w:rsidR="009B78FE" w14:paraId="55B63963" w14:textId="77777777" w:rsidTr="000A7270">
        <w:tc>
          <w:tcPr>
            <w:tcW w:w="3360" w:type="dxa"/>
          </w:tcPr>
          <w:p w14:paraId="3231C0AF" w14:textId="77777777" w:rsidR="009B78FE" w:rsidRDefault="009B78FE" w:rsidP="000A7270">
            <w:r>
              <w:rPr>
                <w:rFonts w:ascii="Courier New" w:hAnsi="Courier New"/>
                <w:sz w:val="18"/>
              </w:rPr>
              <w:t>pct_asian</w:t>
            </w:r>
          </w:p>
        </w:tc>
        <w:tc>
          <w:tcPr>
            <w:tcW w:w="3360" w:type="dxa"/>
          </w:tcPr>
          <w:p w14:paraId="39B9BEA9" w14:textId="77777777" w:rsidR="009B78FE" w:rsidRDefault="009B78FE" w:rsidP="000A7270">
            <w:r>
              <w:t>Share of ZIP/ZCTA population identifying as Asian</w:t>
            </w:r>
          </w:p>
        </w:tc>
        <w:tc>
          <w:tcPr>
            <w:tcW w:w="3360" w:type="dxa"/>
          </w:tcPr>
          <w:p w14:paraId="25D41F01" w14:textId="77777777" w:rsidR="009B78FE" w:rsidRDefault="009B78FE" w:rsidP="000A7270">
            <w:r>
              <w:t>ACS 2023 5-year estimate</w:t>
            </w:r>
          </w:p>
        </w:tc>
      </w:tr>
      <w:tr w:rsidR="009B78FE" w14:paraId="6B5CE2E3" w14:textId="77777777" w:rsidTr="000A7270">
        <w:tc>
          <w:tcPr>
            <w:tcW w:w="3360" w:type="dxa"/>
          </w:tcPr>
          <w:p w14:paraId="4AC46481" w14:textId="77777777" w:rsidR="009B78FE" w:rsidRDefault="009B78FE" w:rsidP="000A7270">
            <w:r>
              <w:rPr>
                <w:rFonts w:ascii="Courier New" w:hAnsi="Courier New"/>
                <w:sz w:val="18"/>
              </w:rPr>
              <w:t>log_median_household_income</w:t>
            </w:r>
          </w:p>
        </w:tc>
        <w:tc>
          <w:tcPr>
            <w:tcW w:w="3360" w:type="dxa"/>
          </w:tcPr>
          <w:p w14:paraId="6B508506" w14:textId="77777777" w:rsidR="009B78FE" w:rsidRDefault="009B78FE" w:rsidP="000A7270">
            <w:r>
              <w:t>Logged median household income</w:t>
            </w:r>
          </w:p>
        </w:tc>
        <w:tc>
          <w:tcPr>
            <w:tcW w:w="3360" w:type="dxa"/>
          </w:tcPr>
          <w:p w14:paraId="0B0C210F" w14:textId="77777777" w:rsidR="009B78FE" w:rsidRDefault="009B78FE" w:rsidP="000A7270">
            <w:r>
              <w:t>Socioeconomic/adoption-capacity proxy</w:t>
            </w:r>
          </w:p>
        </w:tc>
      </w:tr>
      <w:tr w:rsidR="009B78FE" w14:paraId="568A27FB" w14:textId="77777777" w:rsidTr="000A7270">
        <w:tc>
          <w:tcPr>
            <w:tcW w:w="3360" w:type="dxa"/>
          </w:tcPr>
          <w:p w14:paraId="6578FF45" w14:textId="77777777" w:rsidR="009B78FE" w:rsidRDefault="009B78FE" w:rsidP="000A7270">
            <w:r>
              <w:rPr>
                <w:rFonts w:ascii="Courier New" w:hAnsi="Courier New"/>
                <w:sz w:val="18"/>
              </w:rPr>
              <w:t>poverty_rate</w:t>
            </w:r>
          </w:p>
        </w:tc>
        <w:tc>
          <w:tcPr>
            <w:tcW w:w="3360" w:type="dxa"/>
          </w:tcPr>
          <w:p w14:paraId="6DE5EDFA" w14:textId="77777777" w:rsidR="009B78FE" w:rsidRDefault="009B78FE" w:rsidP="000A7270">
            <w:r>
              <w:t>Share of residents below the poverty line</w:t>
            </w:r>
          </w:p>
        </w:tc>
        <w:tc>
          <w:tcPr>
            <w:tcW w:w="3360" w:type="dxa"/>
          </w:tcPr>
          <w:p w14:paraId="28E78FF3" w14:textId="77777777" w:rsidR="009B78FE" w:rsidRDefault="009B78FE" w:rsidP="000A7270">
            <w:r>
              <w:t>Socioeconomic control</w:t>
            </w:r>
          </w:p>
        </w:tc>
      </w:tr>
      <w:tr w:rsidR="009B78FE" w14:paraId="6B2E6FA7" w14:textId="77777777" w:rsidTr="000A7270">
        <w:tc>
          <w:tcPr>
            <w:tcW w:w="3360" w:type="dxa"/>
          </w:tcPr>
          <w:p w14:paraId="0D2CA5B3" w14:textId="77777777" w:rsidR="009B78FE" w:rsidRDefault="009B78FE" w:rsidP="000A7270">
            <w:r>
              <w:rPr>
                <w:rFonts w:ascii="Courier New" w:hAnsi="Courier New"/>
                <w:sz w:val="18"/>
              </w:rPr>
              <w:lastRenderedPageBreak/>
              <w:t>pct_bachelors_plus</w:t>
            </w:r>
          </w:p>
        </w:tc>
        <w:tc>
          <w:tcPr>
            <w:tcW w:w="3360" w:type="dxa"/>
          </w:tcPr>
          <w:p w14:paraId="04DD6B85" w14:textId="77777777" w:rsidR="009B78FE" w:rsidRDefault="009B78FE" w:rsidP="000A7270">
            <w:r>
              <w:t>Share of adults with a bachelor’s degree or higher</w:t>
            </w:r>
          </w:p>
        </w:tc>
        <w:tc>
          <w:tcPr>
            <w:tcW w:w="3360" w:type="dxa"/>
          </w:tcPr>
          <w:p w14:paraId="3D72763A" w14:textId="77777777" w:rsidR="009B78FE" w:rsidRDefault="009B78FE" w:rsidP="000A7270">
            <w:r>
              <w:t>Education and adoption-capacity control</w:t>
            </w:r>
          </w:p>
        </w:tc>
      </w:tr>
      <w:tr w:rsidR="009B78FE" w14:paraId="0B9C4B01" w14:textId="77777777" w:rsidTr="000A7270">
        <w:tc>
          <w:tcPr>
            <w:tcW w:w="3360" w:type="dxa"/>
          </w:tcPr>
          <w:p w14:paraId="6F7E38AD" w14:textId="77777777" w:rsidR="009B78FE" w:rsidRDefault="009B78FE" w:rsidP="000A7270">
            <w:r>
              <w:rPr>
                <w:rFonts w:ascii="Courier New" w:hAnsi="Courier New"/>
                <w:sz w:val="18"/>
              </w:rPr>
              <w:t>ghi_mean_kwh_m2_day_2023</w:t>
            </w:r>
          </w:p>
        </w:tc>
        <w:tc>
          <w:tcPr>
            <w:tcW w:w="3360" w:type="dxa"/>
          </w:tcPr>
          <w:p w14:paraId="58512AF9" w14:textId="77777777" w:rsidR="009B78FE" w:rsidRDefault="009B78FE" w:rsidP="000A7270">
            <w:r>
              <w:t>Mean daily global horizontal irradiance</w:t>
            </w:r>
          </w:p>
        </w:tc>
        <w:tc>
          <w:tcPr>
            <w:tcW w:w="3360" w:type="dxa"/>
          </w:tcPr>
          <w:p w14:paraId="3CEA827A" w14:textId="77777777" w:rsidR="009B78FE" w:rsidRDefault="009B78FE" w:rsidP="000A7270">
            <w:r>
              <w:t>Solar resource / physical suitability control</w:t>
            </w:r>
          </w:p>
        </w:tc>
      </w:tr>
      <w:tr w:rsidR="009B78FE" w14:paraId="07CF63AD" w14:textId="77777777" w:rsidTr="000A7270">
        <w:tc>
          <w:tcPr>
            <w:tcW w:w="3360" w:type="dxa"/>
          </w:tcPr>
          <w:p w14:paraId="05F62030" w14:textId="77777777" w:rsidR="009B78FE" w:rsidRDefault="009B78FE" w:rsidP="000A7270">
            <w:r>
              <w:rPr>
                <w:rFonts w:ascii="Courier New" w:hAnsi="Courier New"/>
                <w:sz w:val="18"/>
              </w:rPr>
              <w:t>cdd65_2023</w:t>
            </w:r>
          </w:p>
        </w:tc>
        <w:tc>
          <w:tcPr>
            <w:tcW w:w="3360" w:type="dxa"/>
          </w:tcPr>
          <w:p w14:paraId="4E3D751A" w14:textId="77777777" w:rsidR="009B78FE" w:rsidRDefault="009B78FE" w:rsidP="000A7270">
            <w:r>
              <w:t>Cooling degree days relative to 65°F</w:t>
            </w:r>
          </w:p>
        </w:tc>
        <w:tc>
          <w:tcPr>
            <w:tcW w:w="3360" w:type="dxa"/>
          </w:tcPr>
          <w:p w14:paraId="26C251F8" w14:textId="77777777" w:rsidR="009B78FE" w:rsidRDefault="009B78FE" w:rsidP="000A7270">
            <w:r>
              <w:t>Climate control</w:t>
            </w:r>
          </w:p>
        </w:tc>
      </w:tr>
      <w:tr w:rsidR="009B78FE" w14:paraId="5F4AC281" w14:textId="77777777" w:rsidTr="000A7270">
        <w:tc>
          <w:tcPr>
            <w:tcW w:w="3360" w:type="dxa"/>
          </w:tcPr>
          <w:p w14:paraId="3A2F8963" w14:textId="77777777" w:rsidR="009B78FE" w:rsidRDefault="009B78FE" w:rsidP="000A7270">
            <w:r>
              <w:rPr>
                <w:rFonts w:ascii="Courier New" w:hAnsi="Courier New"/>
                <w:sz w:val="18"/>
              </w:rPr>
              <w:t>hdd65_2023</w:t>
            </w:r>
          </w:p>
        </w:tc>
        <w:tc>
          <w:tcPr>
            <w:tcW w:w="3360" w:type="dxa"/>
          </w:tcPr>
          <w:p w14:paraId="4CB674E1" w14:textId="77777777" w:rsidR="009B78FE" w:rsidRDefault="009B78FE" w:rsidP="000A7270">
            <w:r>
              <w:t>Heating degree days relative to 65°F</w:t>
            </w:r>
          </w:p>
        </w:tc>
        <w:tc>
          <w:tcPr>
            <w:tcW w:w="3360" w:type="dxa"/>
          </w:tcPr>
          <w:p w14:paraId="0EAEB462" w14:textId="77777777" w:rsidR="009B78FE" w:rsidRDefault="009B78FE" w:rsidP="000A7270">
            <w:r>
              <w:t>Climate control</w:t>
            </w:r>
          </w:p>
        </w:tc>
      </w:tr>
      <w:tr w:rsidR="009B78FE" w14:paraId="3AA69085" w14:textId="77777777" w:rsidTr="000A7270">
        <w:tc>
          <w:tcPr>
            <w:tcW w:w="3360" w:type="dxa"/>
          </w:tcPr>
          <w:p w14:paraId="5214C3D3" w14:textId="77777777" w:rsidR="009B78FE" w:rsidRDefault="009B78FE" w:rsidP="000A7270">
            <w:r>
              <w:rPr>
                <w:rFonts w:ascii="Courier New" w:hAnsi="Courier New"/>
                <w:sz w:val="18"/>
              </w:rPr>
              <w:t>log_kwh</w:t>
            </w:r>
          </w:p>
        </w:tc>
        <w:tc>
          <w:tcPr>
            <w:tcW w:w="3360" w:type="dxa"/>
          </w:tcPr>
          <w:p w14:paraId="01A96440" w14:textId="77777777" w:rsidR="009B78FE" w:rsidRDefault="009B78FE" w:rsidP="000A7270">
            <w:r>
              <w:t>Logged annual electricity consumption</w:t>
            </w:r>
          </w:p>
        </w:tc>
        <w:tc>
          <w:tcPr>
            <w:tcW w:w="3360" w:type="dxa"/>
          </w:tcPr>
          <w:p w14:paraId="5A77A29F" w14:textId="77777777" w:rsidR="009B78FE" w:rsidRDefault="009B78FE" w:rsidP="000A7270">
            <w:r>
              <w:t>Demand/load proxy</w:t>
            </w:r>
          </w:p>
        </w:tc>
      </w:tr>
      <w:tr w:rsidR="009B78FE" w14:paraId="4078055C" w14:textId="77777777" w:rsidTr="000A7270">
        <w:tc>
          <w:tcPr>
            <w:tcW w:w="3360" w:type="dxa"/>
          </w:tcPr>
          <w:p w14:paraId="23030CB2"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70ABBFD" w14:textId="77777777" w:rsidR="009B78FE" w:rsidRDefault="009B78FE" w:rsidP="000A7270">
            <w:r>
              <w:t>Household energy burden</w:t>
            </w:r>
          </w:p>
        </w:tc>
        <w:tc>
          <w:tcPr>
            <w:tcW w:w="3360" w:type="dxa"/>
          </w:tcPr>
          <w:p w14:paraId="01DAC303" w14:textId="77777777" w:rsidR="009B78FE" w:rsidRDefault="009B78FE" w:rsidP="000A7270">
            <w:r>
              <w:t>ZIP-level energy costs as a share of income; used in the energy-burden outcome model</w:t>
            </w:r>
          </w:p>
        </w:tc>
      </w:tr>
      <w:tr w:rsidR="009B78FE" w14:paraId="0BB823E4" w14:textId="77777777" w:rsidTr="000A7270">
        <w:tc>
          <w:tcPr>
            <w:tcW w:w="3360" w:type="dxa"/>
          </w:tcPr>
          <w:p w14:paraId="577267E6"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5B08CC5A" w14:textId="77777777" w:rsidR="009B78FE" w:rsidRDefault="009B78FE" w:rsidP="000A7270">
            <w:r>
              <w:t>Logged per-capita energy affordability gap</w:t>
            </w:r>
          </w:p>
        </w:tc>
        <w:tc>
          <w:tcPr>
            <w:tcW w:w="3360" w:type="dxa"/>
          </w:tcPr>
          <w:p w14:paraId="7B9484D0" w14:textId="77777777" w:rsidR="009B78FE" w:rsidRDefault="009B78FE" w:rsidP="000A7270">
            <w:r>
              <w:t>Scale-adjusted burden-gap measure used alongside energy_burden_pct</w:t>
            </w:r>
          </w:p>
        </w:tc>
      </w:tr>
    </w:tbl>
    <w:p w14:paraId="32458CC3" w14:textId="77777777" w:rsidR="00B86A12" w:rsidRDefault="00000000" w:rsidP="003C3701">
      <w:pPr>
        <w:pStyle w:val="Heading2"/>
        <w:numPr>
          <w:ilvl w:val="1"/>
          <w:numId w:val="11"/>
        </w:numPr>
      </w:pPr>
      <w:r>
        <w:rPr>
          <w:rStyle w:val="Heading2Char"/>
          <w:b/>
          <w:bCs/>
        </w:rPr>
        <w:t>Unit of analysis</w:t>
      </w:r>
    </w:p>
    <w:p w14:paraId="3135F1C1" w14:textId="77777777" w:rsidR="00B86A12" w:rsidRDefault="00000000">
      <w:r>
        <w:t xml:space="preserve">The unit of analysis is the ZIP-code level, implemented using Census ZIP Code Tabulation Areas (ZCTAs),  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7D883594" w14:textId="77777777" w:rsidR="00B86A12" w:rsidRDefault="00000000">
      <w:pPr>
        <w:pStyle w:val="Heading2"/>
        <w:numPr>
          <w:ilvl w:val="1"/>
          <w:numId w:val="11"/>
        </w:numPr>
      </w:pPr>
      <w:r>
        <w:t>Outcomes</w:t>
      </w:r>
    </w:p>
    <w:p w14:paraId="6D7C5F01" w14:textId="77777777" w:rsidR="00B86A12" w:rsidRDefault="00000000">
      <w:bookmarkStart w:id="10" w:name="OLE_LINK1"/>
      <w:r>
        <w:t>To make outcomes comparable across technologies, each DER measure is converted into a population-normalized intensity metric and then transformed using</w:t>
      </w:r>
      <w:r>
        <w:rPr>
          <w:rFonts w:ascii="Courier New" w:hAnsi="Courier New"/>
        </w:rPr>
        <w:t xml:space="preserve">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1+rate</m:t>
                </m:r>
              </m:e>
            </m:d>
          </m:e>
        </m:func>
      </m:oMath>
      <w:r>
        <w:rPr>
          <w:rFonts w:ascii="Courier New" w:hAnsi="Courier New"/>
        </w:rPr>
        <w:t xml:space="preserve"> </w:t>
      </w:r>
      <w:r>
        <w:rPr>
          <w:rFonts w:cs="Times New Roman"/>
        </w:rPr>
        <w:t xml:space="preserve">where </w:t>
      </w:r>
      <m:oMath>
        <m:r>
          <w:rPr>
            <w:rFonts w:ascii="Cambria Math" w:hAnsi="Cambria Math" w:cs="Times New Roman"/>
            <w:sz w:val="14"/>
            <w:szCs w:val="14"/>
          </w:rPr>
          <m:t>rate</m:t>
        </m:r>
      </m:oMath>
      <w:r>
        <w:t xml:space="preserve"> is the per-capita DER deployment metric.</w:t>
      </w:r>
      <w:bookmarkEnd w:id="10"/>
      <w:r>
        <w:t xml:space="preserve"> The three primary outcomes, defined alongside the full variable list in </w:t>
      </w:r>
      <w:r>
        <w:fldChar w:fldCharType="begin"/>
      </w:r>
      <w:r>
        <w:instrText xml:space="preserve"> REF _Ref_tbl1 \h </w:instrText>
      </w:r>
      <w:r>
        <w:fldChar w:fldCharType="separate"/>
      </w:r>
      <w:r>
        <w:t>Table 1</w:t>
      </w:r>
      <w:r>
        <w:fldChar w:fldCharType="end"/>
      </w:r>
      <w:r>
        <w:t xml:space="preserve">, are </w:t>
      </w:r>
      <w:r w:rsidRPr="3DC018EE">
        <w:rPr>
          <w:rFonts w:ascii="Courier New" w:hAnsi="Courier New"/>
          <w:sz w:val="18"/>
          <w:szCs w:val="18"/>
        </w:rPr>
        <w:t>y_chargers</w:t>
      </w:r>
      <w:r>
        <w:t>, based on total chargers per 1,000 residents;</w:t>
      </w:r>
      <w:r w:rsidRPr="3DC018EE">
        <w:rPr>
          <w:rFonts w:ascii="Courier New" w:hAnsi="Courier New"/>
          <w:sz w:val="18"/>
          <w:szCs w:val="18"/>
        </w:rPr>
        <w:t xml:space="preserve"> y_pv</w:t>
      </w:r>
      <w:r>
        <w:t>, based on PV system size in kW DC per 1,000 residents; and</w:t>
      </w:r>
      <w:r w:rsidRPr="3DC018EE">
        <w:rPr>
          <w:rFonts w:ascii="Courier New" w:hAnsi="Courier New"/>
          <w:sz w:val="18"/>
          <w:szCs w:val="18"/>
        </w:rPr>
        <w:t xml:space="preserve"> y_storage</w:t>
      </w:r>
      <w:r>
        <w:t xml:space="preserve">, based on storage capacity in MW per 100,000 residents. Supplementary analysis also examines charger subtypes and a wind-capacity outcome used as contextual evidence rather than as a headline policy result. Section </w:t>
      </w:r>
      <w:r>
        <w:fldChar w:fldCharType="begin"/>
      </w:r>
      <w:r>
        <w:instrText xml:space="preserve"> REF _Ref_sec_m_outcomes \r \h </w:instrText>
      </w:r>
      <w:r>
        <w:fldChar w:fldCharType="separate"/>
      </w:r>
      <w:r>
        <w:t>6.3</w:t>
      </w:r>
      <w:r>
        <w:fldChar w:fldCharType="end"/>
      </w:r>
      <w:r>
        <w:t xml:space="preserve"> gives the exact construction of each outcome in Equations </w:t>
      </w:r>
      <w:r>
        <w:fldChar w:fldCharType="begin"/>
      </w:r>
      <w:r>
        <w:instrText xml:space="preserve"> REF _Ref_eq_chargers \h </w:instrText>
      </w:r>
      <w:r>
        <w:fldChar w:fldCharType="separate"/>
      </w:r>
      <w:r>
        <w:t>(1)</w:t>
      </w:r>
      <w:r>
        <w:fldChar w:fldCharType="end"/>
      </w:r>
      <w:r>
        <w:t xml:space="preserve">, </w:t>
      </w:r>
      <w:r>
        <w:fldChar w:fldCharType="begin"/>
      </w:r>
      <w:r>
        <w:instrText xml:space="preserve"> REF _Ref_eq_pv \h </w:instrText>
      </w:r>
      <w:r>
        <w:fldChar w:fldCharType="separate"/>
      </w:r>
      <w:r>
        <w:t>(2)</w:t>
      </w:r>
      <w:r>
        <w:fldChar w:fldCharType="end"/>
      </w:r>
      <w:r>
        <w:t xml:space="preserve"> and </w:t>
      </w:r>
      <w:r>
        <w:fldChar w:fldCharType="begin"/>
      </w:r>
      <w:r>
        <w:instrText xml:space="preserve"> REF _Ref_eq_storage \h </w:instrText>
      </w:r>
      <w:r>
        <w:fldChar w:fldCharType="separate"/>
      </w:r>
      <w:r>
        <w:t>(3)</w:t>
      </w:r>
      <w:r>
        <w:fldChar w:fldCharType="end"/>
      </w:r>
      <w:r>
        <w:t xml:space="preserve">, and Section </w:t>
      </w:r>
      <w:r>
        <w:fldChar w:fldCharType="begin"/>
      </w:r>
      <w:r>
        <w:instrText xml:space="preserve"> REF _Ref_sec_r_wind \r \h </w:instrText>
      </w:r>
      <w:r>
        <w:fldChar w:fldCharType="separate"/>
      </w:r>
      <w:r>
        <w:t>4.8</w:t>
      </w:r>
      <w:r>
        <w:fldChar w:fldCharType="end"/>
      </w:r>
      <w:r>
        <w:t xml:space="preserve"> reports the wind results.</w:t>
      </w:r>
    </w:p>
    <w:p w14:paraId="5755AD50" w14:textId="77777777" w:rsidR="00B86A12" w:rsidRDefault="00000000">
      <w:pPr>
        <w:pStyle w:val="Heading2"/>
        <w:numPr>
          <w:ilvl w:val="1"/>
          <w:numId w:val="11"/>
        </w:numPr>
      </w:pPr>
      <w:r>
        <w:t>Key predictors</w:t>
      </w:r>
    </w:p>
    <w:p w14:paraId="0CE6AAF6" w14:textId="2E0F980E" w:rsidR="00B86A12" w:rsidRDefault="00000000">
      <w:r>
        <w:t>The main explanatory variables fall into two categories. The first is racial and ethnic composition, measured using ZIP/ZCTA population shares such as</w:t>
      </w:r>
      <w:r w:rsidRPr="3DC018EE">
        <w:rPr>
          <w:rFonts w:ascii="Courier New" w:hAnsi="Courier New"/>
          <w:sz w:val="18"/>
          <w:szCs w:val="18"/>
        </w:rPr>
        <w:t xml:space="preserve"> pct_black</w:t>
      </w:r>
      <w:r>
        <w:t>,</w:t>
      </w:r>
      <w:r w:rsidRPr="3DC018EE">
        <w:rPr>
          <w:rFonts w:ascii="Courier New" w:hAnsi="Courier New"/>
          <w:sz w:val="18"/>
          <w:szCs w:val="18"/>
        </w:rPr>
        <w:t xml:space="preserve"> pct_hispanic</w:t>
      </w:r>
      <w:r>
        <w:t>, and</w:t>
      </w:r>
      <w:r w:rsidRPr="3DC018EE">
        <w:rPr>
          <w:rFonts w:ascii="Courier New" w:hAnsi="Courier New"/>
          <w:sz w:val="18"/>
          <w:szCs w:val="18"/>
        </w:rPr>
        <w:t xml:space="preserve"> pct_asian</w:t>
      </w:r>
      <w:r>
        <w:t>. The second is socioeconomic status, including</w:t>
      </w:r>
      <w:r w:rsidRPr="3DC018EE">
        <w:rPr>
          <w:rFonts w:ascii="Courier New" w:hAnsi="Courier New"/>
          <w:sz w:val="18"/>
          <w:szCs w:val="18"/>
        </w:rPr>
        <w:t xml:space="preserve"> log_median_household_income</w:t>
      </w:r>
      <w:r>
        <w:t>,</w:t>
      </w:r>
      <w:r w:rsidRPr="3DC018EE">
        <w:rPr>
          <w:rFonts w:ascii="Courier New" w:hAnsi="Courier New"/>
          <w:sz w:val="18"/>
          <w:szCs w:val="18"/>
        </w:rPr>
        <w:t xml:space="preserve"> poverty_rate</w:t>
      </w:r>
      <w:r>
        <w:t xml:space="preserve">, and in expanded specifications variables such as educational attainment and housing value. For descriptive smoothing plots, </w:t>
      </w:r>
      <w:r w:rsidR="001F19B7">
        <w:t>we</w:t>
      </w:r>
      <w:r>
        <w:t xml:space="preserve"> also use a combined non-white share equal to the sum of the Black, Hispanic, and Asian shares in the merged ACS export. Those plots are shown in </w:t>
      </w:r>
      <w:r>
        <w:fldChar w:fldCharType="begin"/>
      </w:r>
      <w:r>
        <w:instrText xml:space="preserve"> REF _Ref_fig10 \h </w:instrText>
      </w:r>
      <w:r>
        <w:fldChar w:fldCharType="separate"/>
      </w:r>
      <w:r>
        <w:t>Figure 13</w:t>
      </w:r>
      <w:r>
        <w:fldChar w:fldCharType="end"/>
      </w:r>
      <w:r>
        <w:t xml:space="preserve"> and </w:t>
      </w:r>
      <w:r>
        <w:fldChar w:fldCharType="begin"/>
      </w:r>
      <w:r>
        <w:instrText xml:space="preserve"> REF _Ref_fig11 \h </w:instrText>
      </w:r>
      <w:r>
        <w:fldChar w:fldCharType="separate"/>
      </w:r>
      <w:r>
        <w:t>Figure 14</w:t>
      </w:r>
      <w:r>
        <w:fldChar w:fldCharType="end"/>
      </w:r>
      <w:r>
        <w:t xml:space="preserve"> and discussed in Section </w:t>
      </w:r>
      <w:r>
        <w:fldChar w:fldCharType="begin"/>
      </w:r>
      <w:r>
        <w:instrText xml:space="preserve"> REF _Ref_sec_r_lowess \r \h </w:instrText>
      </w:r>
      <w:r>
        <w:fldChar w:fldCharType="separate"/>
      </w:r>
      <w:r>
        <w:t>4.6</w:t>
      </w:r>
      <w:r>
        <w:fldChar w:fldCharType="end"/>
      </w:r>
      <w:r>
        <w:t xml:space="preserve">; Section </w:t>
      </w:r>
      <w:r>
        <w:fldChar w:fldCharType="begin"/>
      </w:r>
      <w:r>
        <w:instrText xml:space="preserve"> REF _Ref_sec_m_predictors \r \h </w:instrText>
      </w:r>
      <w:r>
        <w:fldChar w:fldCharType="separate"/>
      </w:r>
      <w:r>
        <w:t>6.4</w:t>
      </w:r>
      <w:r>
        <w:fldChar w:fldCharType="end"/>
      </w:r>
      <w:r>
        <w:t xml:space="preserve"> gives the full definitions.</w:t>
      </w:r>
    </w:p>
    <w:p w14:paraId="08394B21" w14:textId="77777777" w:rsidR="00B86A12" w:rsidRDefault="00000000">
      <w:pPr>
        <w:pStyle w:val="Heading2"/>
        <w:numPr>
          <w:ilvl w:val="1"/>
          <w:numId w:val="11"/>
        </w:numPr>
      </w:pPr>
      <w:r>
        <w:t>Controls</w:t>
      </w:r>
    </w:p>
    <w:p w14:paraId="1903E777" w14:textId="77777777"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 The study’s conceptual framing treats DERs as behind-the-meter resources with capacities below 5 MW, but several source-</w:t>
      </w:r>
      <w:r>
        <w:lastRenderedPageBreak/>
        <w:t xml:space="preserve">specific cleaning steps use tighter thresholds in the code. The empirical analysis, therefore, uses the processed dataset built by the workflow rather than applying a different threshold to each raw source. Section </w:t>
      </w:r>
      <w:r>
        <w:fldChar w:fldCharType="begin"/>
      </w:r>
      <w:r>
        <w:instrText xml:space="preserve"> REF _Ref_sec_m_controls \r \h </w:instrText>
      </w:r>
      <w:r>
        <w:fldChar w:fldCharType="separate"/>
      </w:r>
      <w:r>
        <w:t>6.5</w:t>
      </w:r>
      <w:r>
        <w:fldChar w:fldCharType="end"/>
      </w:r>
      <w:r>
        <w:t xml:space="preserve"> lists the control blocks in full, and </w:t>
      </w:r>
      <w:r>
        <w:fldChar w:fldCharType="begin"/>
      </w:r>
      <w:r>
        <w:instrText xml:space="preserve"> REF _Ref_tbl1 \h </w:instrText>
      </w:r>
      <w:r>
        <w:fldChar w:fldCharType="separate"/>
      </w:r>
      <w:r>
        <w:t>Table 1</w:t>
      </w:r>
      <w:r>
        <w:fldChar w:fldCharType="end"/>
      </w:r>
      <w:r>
        <w:t xml:space="preserve"> defines each control variable.</w:t>
      </w:r>
    </w:p>
    <w:p w14:paraId="45D375BB" w14:textId="77777777" w:rsidR="00F121D0" w:rsidRDefault="009611E9" w:rsidP="00F121D0">
      <w:pPr>
        <w:keepNext/>
        <w:jc w:val="center"/>
      </w:pPr>
      <w:r>
        <w:rPr>
          <w:noProof/>
        </w:rPr>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10"/>
                    <a:stretch>
                      <a:fillRect/>
                    </a:stretch>
                  </pic:blipFill>
                  <pic:spPr>
                    <a:xfrm>
                      <a:off x="0" y="0"/>
                      <a:ext cx="5622640" cy="3917999"/>
                    </a:xfrm>
                    <a:prstGeom prst="rect">
                      <a:avLst/>
                    </a:prstGeom>
                  </pic:spPr>
                </pic:pic>
              </a:graphicData>
            </a:graphic>
          </wp:inline>
        </w:drawing>
      </w:r>
    </w:p>
    <w:p w14:paraId="5C5854EF" w14:textId="53DEB6F2" w:rsidR="00B86A12" w:rsidRDefault="00F121D0" w:rsidP="00F121D0">
      <w:pPr>
        <w:pStyle w:val="Caption"/>
        <w:jc w:val="center"/>
      </w:pPr>
      <w:bookmarkStart w:id="11" w:name="_Ref_fig1"/>
      <w:r>
        <w:t xml:space="preserve">Figure </w:t>
      </w:r>
      <w:r>
        <w:fldChar w:fldCharType="begin"/>
      </w:r>
      <w:r>
        <w:instrText xml:space="preserve"> SEQ Figure \* ARABIC </w:instrText>
      </w:r>
      <w:r>
        <w:fldChar w:fldCharType="separate"/>
      </w:r>
      <w:r w:rsidR="008A7C5A">
        <w:rPr>
          <w:noProof/>
        </w:rPr>
        <w:t>1</w:t>
      </w:r>
      <w:r>
        <w:rPr>
          <w:noProof/>
        </w:rPr>
        <w:fldChar w:fldCharType="end"/>
      </w:r>
      <w:bookmarkEnd w:id="11"/>
      <w:r>
        <w:t>: Baseline California ZIP/ZCTA geography for rooftop PV, storage, and aggregate EV charging. As shown here, deployment is spatially uneven before any regression adjustments are introduced. Blank areas indicate missing or excluded observations.</w:t>
      </w:r>
    </w:p>
    <w:p w14:paraId="43BF3209" w14:textId="77777777" w:rsidR="00B86A12" w:rsidRDefault="00000000">
      <w:pPr>
        <w:pStyle w:val="Heading2"/>
        <w:numPr>
          <w:ilvl w:val="1"/>
          <w:numId w:val="11"/>
        </w:numPr>
      </w:pPr>
      <w:r>
        <w:t>Descriptive distributions</w:t>
      </w:r>
    </w:p>
    <w:p w14:paraId="18EF5B9D"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319A4F6E"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1"/>
                    <a:stretch>
                      <a:fillRect/>
                    </a:stretch>
                  </pic:blipFill>
                  <pic:spPr>
                    <a:xfrm>
                      <a:off x="0" y="0"/>
                      <a:ext cx="6400800" cy="3474720"/>
                    </a:xfrm>
                    <a:prstGeom prst="rect">
                      <a:avLst/>
                    </a:prstGeom>
                  </pic:spPr>
                </pic:pic>
              </a:graphicData>
            </a:graphic>
          </wp:inline>
        </w:drawing>
      </w:r>
    </w:p>
    <w:p w14:paraId="07E60E0C" w14:textId="3E83E7E6" w:rsidR="00EF7D9A" w:rsidRDefault="00F121D0" w:rsidP="009B78FE">
      <w:pPr>
        <w:pStyle w:val="Caption"/>
        <w:jc w:val="center"/>
      </w:pPr>
      <w:bookmarkStart w:id="12" w:name="_Ref_fig2"/>
      <w:r>
        <w:t xml:space="preserve">Figure </w:t>
      </w:r>
      <w:r>
        <w:fldChar w:fldCharType="begin"/>
      </w:r>
      <w:r>
        <w:instrText xml:space="preserve"> SEQ Figure \* ARABIC </w:instrText>
      </w:r>
      <w:r>
        <w:fldChar w:fldCharType="separate"/>
      </w:r>
      <w:r w:rsidR="008A7C5A">
        <w:rPr>
          <w:noProof/>
        </w:rPr>
        <w:t>2</w:t>
      </w:r>
      <w:r>
        <w:rPr>
          <w:noProof/>
        </w:rPr>
        <w:fldChar w:fldCharType="end"/>
      </w:r>
      <w:bookmarkEnd w:id="12"/>
      <w:r>
        <w:t>: Descriptive distributions for raw DER deployment rates together with median household income and poverty rate. The figure is included as an EDA bridge so readers can see the underlying spread in deployment and neighborhood conditions.</w:t>
      </w:r>
    </w:p>
    <w:p w14:paraId="1FB5A918" w14:textId="77777777" w:rsidR="00F121D0" w:rsidRDefault="00F121D0" w:rsidP="00F121D0">
      <w:pPr>
        <w:pStyle w:val="Caption"/>
        <w:keepNext/>
      </w:pPr>
      <w:bookmarkStart w:id="13" w:name="_Ref_tbl2"/>
      <w:r>
        <w:t xml:space="preserve">Table </w:t>
      </w:r>
      <w:r>
        <w:fldChar w:fldCharType="begin"/>
      </w:r>
      <w:r>
        <w:instrText xml:space="preserve"> SEQ Table \* ARABIC </w:instrText>
      </w:r>
      <w:r>
        <w:fldChar w:fldCharType="separate"/>
      </w:r>
      <w:r>
        <w:t>2</w:t>
      </w:r>
      <w:r>
        <w:fldChar w:fldCharType="end"/>
      </w:r>
      <w:bookmarkEnd w:id="13"/>
      <w:r>
        <w:t>: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49"/>
        <w:gridCol w:w="1387"/>
        <w:gridCol w:w="1427"/>
        <w:gridCol w:w="1387"/>
        <w:gridCol w:w="1387"/>
      </w:tblGrid>
      <w:tr w:rsidR="00B86A12" w14:paraId="0C1B6B7B" w14:textId="77777777" w:rsidTr="3DC018EE">
        <w:trPr>
          <w:tblHeader/>
        </w:trPr>
        <w:tc>
          <w:tcPr>
            <w:tcW w:w="1680" w:type="dxa"/>
            <w:tcBorders>
              <w:bottom w:val="single" w:sz="6" w:space="0" w:color="auto"/>
            </w:tcBorders>
            <w:shd w:val="clear" w:color="auto" w:fill="F2EFE7"/>
          </w:tcPr>
          <w:p w14:paraId="1724C32E" w14:textId="77777777" w:rsidR="00B86A12" w:rsidRDefault="00000000">
            <w:r>
              <w:rPr>
                <w:b/>
              </w:rPr>
              <w:t>Variable</w:t>
            </w:r>
          </w:p>
        </w:tc>
        <w:tc>
          <w:tcPr>
            <w:tcW w:w="1680" w:type="dxa"/>
            <w:tcBorders>
              <w:bottom w:val="single" w:sz="6" w:space="0" w:color="auto"/>
            </w:tcBorders>
            <w:shd w:val="clear" w:color="auto" w:fill="F2EFE7"/>
          </w:tcPr>
          <w:p w14:paraId="78607DCB" w14:textId="77777777" w:rsidR="00B86A12" w:rsidRDefault="00000000">
            <w:r>
              <w:rPr>
                <w:b/>
              </w:rPr>
              <w:t>N</w:t>
            </w:r>
          </w:p>
        </w:tc>
        <w:tc>
          <w:tcPr>
            <w:tcW w:w="1680" w:type="dxa"/>
            <w:tcBorders>
              <w:bottom w:val="single" w:sz="6" w:space="0" w:color="auto"/>
            </w:tcBorders>
            <w:shd w:val="clear" w:color="auto" w:fill="F2EFE7"/>
          </w:tcPr>
          <w:p w14:paraId="28C6DCE4" w14:textId="77777777" w:rsidR="00B86A12" w:rsidRDefault="00000000">
            <w:r>
              <w:rPr>
                <w:b/>
              </w:rPr>
              <w:t>Mean</w:t>
            </w:r>
          </w:p>
        </w:tc>
        <w:tc>
          <w:tcPr>
            <w:tcW w:w="1680" w:type="dxa"/>
            <w:tcBorders>
              <w:bottom w:val="single" w:sz="6" w:space="0" w:color="auto"/>
            </w:tcBorders>
            <w:shd w:val="clear" w:color="auto" w:fill="F2EFE7"/>
          </w:tcPr>
          <w:p w14:paraId="7014F250" w14:textId="77777777" w:rsidR="00B86A12" w:rsidRDefault="00000000">
            <w:r>
              <w:rPr>
                <w:b/>
              </w:rPr>
              <w:t>Median</w:t>
            </w:r>
          </w:p>
        </w:tc>
        <w:tc>
          <w:tcPr>
            <w:tcW w:w="1680" w:type="dxa"/>
            <w:tcBorders>
              <w:bottom w:val="single" w:sz="6" w:space="0" w:color="auto"/>
            </w:tcBorders>
            <w:shd w:val="clear" w:color="auto" w:fill="F2EFE7"/>
          </w:tcPr>
          <w:p w14:paraId="6EA0DEF2" w14:textId="77777777" w:rsidR="00B86A12" w:rsidRDefault="00000000">
            <w:r>
              <w:rPr>
                <w:b/>
              </w:rPr>
              <w:t>P25</w:t>
            </w:r>
          </w:p>
        </w:tc>
        <w:tc>
          <w:tcPr>
            <w:tcW w:w="1680" w:type="dxa"/>
            <w:tcBorders>
              <w:bottom w:val="single" w:sz="6" w:space="0" w:color="auto"/>
            </w:tcBorders>
            <w:shd w:val="clear" w:color="auto" w:fill="F2EFE7"/>
          </w:tcPr>
          <w:p w14:paraId="2C95DBBB" w14:textId="77777777" w:rsidR="00B86A12" w:rsidRDefault="00000000">
            <w:r>
              <w:rPr>
                <w:b/>
              </w:rPr>
              <w:t>P75</w:t>
            </w:r>
          </w:p>
        </w:tc>
      </w:tr>
      <w:tr w:rsidR="00B86A12" w14:paraId="01ADA509" w14:textId="77777777" w:rsidTr="3DC018EE">
        <w:tc>
          <w:tcPr>
            <w:tcW w:w="1680" w:type="dxa"/>
          </w:tcPr>
          <w:p w14:paraId="12F6F94C"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27C68126" w14:textId="77777777" w:rsidR="00184A8A" w:rsidRDefault="00000000">
            <w:r>
              <w:t>1,390</w:t>
            </w:r>
          </w:p>
        </w:tc>
        <w:tc>
          <w:tcPr>
            <w:tcW w:w="1680" w:type="dxa"/>
          </w:tcPr>
          <w:p w14:paraId="05554C8D" w14:textId="77777777" w:rsidR="00184A8A" w:rsidRDefault="00000000">
            <w:r>
              <w:t>0.392</w:t>
            </w:r>
          </w:p>
        </w:tc>
        <w:tc>
          <w:tcPr>
            <w:tcW w:w="1680" w:type="dxa"/>
          </w:tcPr>
          <w:p w14:paraId="3466641D" w14:textId="77777777" w:rsidR="00184A8A" w:rsidRDefault="00000000">
            <w:r>
              <w:t>0.326</w:t>
            </w:r>
          </w:p>
        </w:tc>
        <w:tc>
          <w:tcPr>
            <w:tcW w:w="1680" w:type="dxa"/>
          </w:tcPr>
          <w:p w14:paraId="571B6A6D" w14:textId="77777777" w:rsidR="00184A8A" w:rsidRDefault="00000000">
            <w:r>
              <w:t>0.131</w:t>
            </w:r>
          </w:p>
        </w:tc>
        <w:tc>
          <w:tcPr>
            <w:tcW w:w="1680" w:type="dxa"/>
          </w:tcPr>
          <w:p w14:paraId="51CEB2C9" w14:textId="77777777" w:rsidR="00184A8A" w:rsidRDefault="00000000">
            <w:r>
              <w:t>0.568</w:t>
            </w:r>
          </w:p>
        </w:tc>
      </w:tr>
      <w:tr w:rsidR="00B86A12" w14:paraId="29787323" w14:textId="77777777" w:rsidTr="3DC018EE">
        <w:tc>
          <w:tcPr>
            <w:tcW w:w="1680" w:type="dxa"/>
          </w:tcPr>
          <w:p w14:paraId="7DA0FFD7"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2483D671" w14:textId="77777777" w:rsidR="00184A8A" w:rsidRDefault="00000000">
            <w:r>
              <w:t>1,390</w:t>
            </w:r>
          </w:p>
        </w:tc>
        <w:tc>
          <w:tcPr>
            <w:tcW w:w="1680" w:type="dxa"/>
          </w:tcPr>
          <w:p w14:paraId="70C676B4" w14:textId="77777777" w:rsidR="00184A8A" w:rsidRDefault="00000000">
            <w:r>
              <w:t>1.706</w:t>
            </w:r>
          </w:p>
        </w:tc>
        <w:tc>
          <w:tcPr>
            <w:tcW w:w="1680" w:type="dxa"/>
          </w:tcPr>
          <w:p w14:paraId="08C4C670" w14:textId="77777777" w:rsidR="00184A8A" w:rsidRDefault="00000000">
            <w:r>
              <w:t>1.752</w:t>
            </w:r>
          </w:p>
        </w:tc>
        <w:tc>
          <w:tcPr>
            <w:tcW w:w="1680" w:type="dxa"/>
          </w:tcPr>
          <w:p w14:paraId="7FFD7181" w14:textId="77777777" w:rsidR="00184A8A" w:rsidRDefault="00000000">
            <w:r>
              <w:t>1.012</w:t>
            </w:r>
          </w:p>
        </w:tc>
        <w:tc>
          <w:tcPr>
            <w:tcW w:w="1680" w:type="dxa"/>
          </w:tcPr>
          <w:p w14:paraId="38F85242" w14:textId="77777777" w:rsidR="00184A8A" w:rsidRDefault="00000000">
            <w:r>
              <w:t>2.350</w:t>
            </w:r>
          </w:p>
        </w:tc>
      </w:tr>
      <w:tr w:rsidR="00B86A12" w14:paraId="559CCBAA" w14:textId="77777777" w:rsidTr="3DC018EE">
        <w:tc>
          <w:tcPr>
            <w:tcW w:w="1680" w:type="dxa"/>
          </w:tcPr>
          <w:p w14:paraId="0CE5D24C"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7C15325" w14:textId="77777777" w:rsidR="00184A8A" w:rsidRDefault="00000000">
            <w:r>
              <w:t>1,390</w:t>
            </w:r>
          </w:p>
        </w:tc>
        <w:tc>
          <w:tcPr>
            <w:tcW w:w="1680" w:type="dxa"/>
          </w:tcPr>
          <w:p w14:paraId="7E9FB2B7" w14:textId="77777777" w:rsidR="00184A8A" w:rsidRDefault="00000000">
            <w:r>
              <w:t>0.694</w:t>
            </w:r>
          </w:p>
        </w:tc>
        <w:tc>
          <w:tcPr>
            <w:tcW w:w="1680" w:type="dxa"/>
          </w:tcPr>
          <w:p w14:paraId="4F98157C" w14:textId="77777777" w:rsidR="00184A8A" w:rsidRDefault="00000000">
            <w:r>
              <w:t>0.515</w:t>
            </w:r>
          </w:p>
        </w:tc>
        <w:tc>
          <w:tcPr>
            <w:tcW w:w="1680" w:type="dxa"/>
          </w:tcPr>
          <w:p w14:paraId="187D0B65" w14:textId="77777777" w:rsidR="00184A8A" w:rsidRDefault="00000000">
            <w:r>
              <w:t>0.142</w:t>
            </w:r>
          </w:p>
        </w:tc>
        <w:tc>
          <w:tcPr>
            <w:tcW w:w="1680" w:type="dxa"/>
          </w:tcPr>
          <w:p w14:paraId="102AD0E6" w14:textId="77777777" w:rsidR="00184A8A" w:rsidRDefault="00000000">
            <w:r>
              <w:t>1.027</w:t>
            </w:r>
          </w:p>
        </w:tc>
      </w:tr>
      <w:tr w:rsidR="00B86A12" w14:paraId="27BEA93C" w14:textId="77777777" w:rsidTr="3DC018EE">
        <w:tc>
          <w:tcPr>
            <w:tcW w:w="1680" w:type="dxa"/>
          </w:tcPr>
          <w:p w14:paraId="7B3E16DD"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180021E3" w14:textId="77777777" w:rsidR="00184A8A" w:rsidRDefault="00000000">
            <w:r>
              <w:t>1,390</w:t>
            </w:r>
          </w:p>
        </w:tc>
        <w:tc>
          <w:tcPr>
            <w:tcW w:w="1680" w:type="dxa"/>
          </w:tcPr>
          <w:p w14:paraId="5820AFD8" w14:textId="77777777" w:rsidR="00184A8A" w:rsidRDefault="00000000">
            <w:r>
              <w:t>0.042</w:t>
            </w:r>
          </w:p>
        </w:tc>
        <w:tc>
          <w:tcPr>
            <w:tcW w:w="1680" w:type="dxa"/>
          </w:tcPr>
          <w:p w14:paraId="7906DC03" w14:textId="77777777" w:rsidR="00184A8A" w:rsidRDefault="00000000">
            <w:r>
              <w:t>0.020</w:t>
            </w:r>
          </w:p>
        </w:tc>
        <w:tc>
          <w:tcPr>
            <w:tcW w:w="1680" w:type="dxa"/>
          </w:tcPr>
          <w:p w14:paraId="17336A89" w14:textId="77777777" w:rsidR="00184A8A" w:rsidRDefault="00000000">
            <w:r>
              <w:t>0.007</w:t>
            </w:r>
          </w:p>
        </w:tc>
        <w:tc>
          <w:tcPr>
            <w:tcW w:w="1680" w:type="dxa"/>
          </w:tcPr>
          <w:p w14:paraId="2A8ABE98" w14:textId="77777777" w:rsidR="00184A8A" w:rsidRDefault="00000000">
            <w:r>
              <w:t>0.049</w:t>
            </w:r>
          </w:p>
        </w:tc>
      </w:tr>
      <w:tr w:rsidR="00B86A12" w14:paraId="61681968" w14:textId="77777777" w:rsidTr="3DC018EE">
        <w:tc>
          <w:tcPr>
            <w:tcW w:w="1680" w:type="dxa"/>
          </w:tcPr>
          <w:p w14:paraId="586F185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3906C97B" w14:textId="77777777" w:rsidR="00184A8A" w:rsidRDefault="00000000">
            <w:r>
              <w:t>1,390</w:t>
            </w:r>
          </w:p>
        </w:tc>
        <w:tc>
          <w:tcPr>
            <w:tcW w:w="1680" w:type="dxa"/>
          </w:tcPr>
          <w:p w14:paraId="546C4CC6" w14:textId="77777777" w:rsidR="00184A8A" w:rsidRDefault="00000000">
            <w:r>
              <w:t>0.347</w:t>
            </w:r>
          </w:p>
        </w:tc>
        <w:tc>
          <w:tcPr>
            <w:tcW w:w="1680" w:type="dxa"/>
          </w:tcPr>
          <w:p w14:paraId="59CA20A5" w14:textId="77777777" w:rsidR="00184A8A" w:rsidRDefault="00000000">
            <w:r>
              <w:t>0.277</w:t>
            </w:r>
          </w:p>
        </w:tc>
        <w:tc>
          <w:tcPr>
            <w:tcW w:w="1680" w:type="dxa"/>
          </w:tcPr>
          <w:p w14:paraId="3A53362E" w14:textId="77777777" w:rsidR="00184A8A" w:rsidRDefault="00000000">
            <w:r>
              <w:t>0.151</w:t>
            </w:r>
          </w:p>
        </w:tc>
        <w:tc>
          <w:tcPr>
            <w:tcW w:w="1680" w:type="dxa"/>
          </w:tcPr>
          <w:p w14:paraId="25524D31" w14:textId="77777777" w:rsidR="00184A8A" w:rsidRDefault="00000000">
            <w:r>
              <w:t>0.498</w:t>
            </w:r>
          </w:p>
        </w:tc>
      </w:tr>
      <w:tr w:rsidR="00B86A12" w14:paraId="292FC3EA" w14:textId="77777777" w:rsidTr="3DC018EE">
        <w:tc>
          <w:tcPr>
            <w:tcW w:w="1680" w:type="dxa"/>
          </w:tcPr>
          <w:p w14:paraId="71A384FE"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2931F8CA" w14:textId="77777777" w:rsidR="00184A8A" w:rsidRDefault="00000000">
            <w:r>
              <w:t>1,390</w:t>
            </w:r>
          </w:p>
        </w:tc>
        <w:tc>
          <w:tcPr>
            <w:tcW w:w="1680" w:type="dxa"/>
          </w:tcPr>
          <w:p w14:paraId="7D22223D" w14:textId="77777777" w:rsidR="00184A8A" w:rsidRDefault="00000000">
            <w:r>
              <w:t>0.119</w:t>
            </w:r>
          </w:p>
        </w:tc>
        <w:tc>
          <w:tcPr>
            <w:tcW w:w="1680" w:type="dxa"/>
          </w:tcPr>
          <w:p w14:paraId="21887B98" w14:textId="77777777" w:rsidR="00184A8A" w:rsidRDefault="00000000">
            <w:r>
              <w:t>0.066</w:t>
            </w:r>
          </w:p>
        </w:tc>
        <w:tc>
          <w:tcPr>
            <w:tcW w:w="1680" w:type="dxa"/>
          </w:tcPr>
          <w:p w14:paraId="0BFA2C3F" w14:textId="77777777" w:rsidR="00184A8A" w:rsidRDefault="00000000">
            <w:r>
              <w:t>0.023</w:t>
            </w:r>
          </w:p>
        </w:tc>
        <w:tc>
          <w:tcPr>
            <w:tcW w:w="1680" w:type="dxa"/>
          </w:tcPr>
          <w:p w14:paraId="17801EF1" w14:textId="77777777" w:rsidR="00184A8A" w:rsidRDefault="00000000">
            <w:r>
              <w:t>0.156</w:t>
            </w:r>
          </w:p>
        </w:tc>
      </w:tr>
      <w:tr w:rsidR="00B86A12" w14:paraId="055D88C2" w14:textId="77777777" w:rsidTr="3DC018EE">
        <w:tc>
          <w:tcPr>
            <w:tcW w:w="1680" w:type="dxa"/>
          </w:tcPr>
          <w:p w14:paraId="287BC2F9"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2EF39191" w14:textId="77777777" w:rsidR="00184A8A" w:rsidRDefault="00000000">
            <w:r>
              <w:t>1,390</w:t>
            </w:r>
          </w:p>
        </w:tc>
        <w:tc>
          <w:tcPr>
            <w:tcW w:w="1680" w:type="dxa"/>
          </w:tcPr>
          <w:p w14:paraId="5124299D" w14:textId="77777777" w:rsidR="00184A8A" w:rsidRDefault="00000000">
            <w:r>
              <w:t>11.440</w:t>
            </w:r>
          </w:p>
        </w:tc>
        <w:tc>
          <w:tcPr>
            <w:tcW w:w="1680" w:type="dxa"/>
          </w:tcPr>
          <w:p w14:paraId="735D3FE1" w14:textId="77777777" w:rsidR="00184A8A" w:rsidRDefault="00000000">
            <w:r>
              <w:t>11.435</w:t>
            </w:r>
          </w:p>
        </w:tc>
        <w:tc>
          <w:tcPr>
            <w:tcW w:w="1680" w:type="dxa"/>
          </w:tcPr>
          <w:p w14:paraId="5B687E64" w14:textId="77777777" w:rsidR="00184A8A" w:rsidRDefault="00000000">
            <w:r>
              <w:t>11.169</w:t>
            </w:r>
          </w:p>
        </w:tc>
        <w:tc>
          <w:tcPr>
            <w:tcW w:w="1680" w:type="dxa"/>
          </w:tcPr>
          <w:p w14:paraId="52C5B27F" w14:textId="77777777" w:rsidR="00184A8A" w:rsidRDefault="00000000">
            <w:r>
              <w:t>11.703</w:t>
            </w:r>
          </w:p>
        </w:tc>
      </w:tr>
      <w:tr w:rsidR="00B86A12" w14:paraId="142FA32B" w14:textId="77777777" w:rsidTr="3DC018EE">
        <w:tc>
          <w:tcPr>
            <w:tcW w:w="1680" w:type="dxa"/>
          </w:tcPr>
          <w:p w14:paraId="70542D0D"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68513CDD" w14:textId="77777777" w:rsidR="00184A8A" w:rsidRDefault="00000000">
            <w:r>
              <w:t>1,390</w:t>
            </w:r>
          </w:p>
        </w:tc>
        <w:tc>
          <w:tcPr>
            <w:tcW w:w="1680" w:type="dxa"/>
          </w:tcPr>
          <w:p w14:paraId="0F98CEC4" w14:textId="77777777" w:rsidR="00184A8A" w:rsidRDefault="00000000">
            <w:r>
              <w:t>0.123</w:t>
            </w:r>
          </w:p>
        </w:tc>
        <w:tc>
          <w:tcPr>
            <w:tcW w:w="1680" w:type="dxa"/>
          </w:tcPr>
          <w:p w14:paraId="7440FEEE" w14:textId="77777777" w:rsidR="00184A8A" w:rsidRDefault="00000000">
            <w:r>
              <w:t>0.104</w:t>
            </w:r>
          </w:p>
        </w:tc>
        <w:tc>
          <w:tcPr>
            <w:tcW w:w="1680" w:type="dxa"/>
          </w:tcPr>
          <w:p w14:paraId="7C80E678" w14:textId="77777777" w:rsidR="00184A8A" w:rsidRDefault="00000000">
            <w:r>
              <w:t>0.070</w:t>
            </w:r>
          </w:p>
        </w:tc>
        <w:tc>
          <w:tcPr>
            <w:tcW w:w="1680" w:type="dxa"/>
          </w:tcPr>
          <w:p w14:paraId="78168D17" w14:textId="77777777" w:rsidR="00184A8A" w:rsidRDefault="00000000">
            <w:r>
              <w:t>0.161</w:t>
            </w:r>
          </w:p>
        </w:tc>
      </w:tr>
      <w:tr w:rsidR="00B86A12" w14:paraId="7F07A826" w14:textId="77777777" w:rsidTr="3DC018EE">
        <w:tc>
          <w:tcPr>
            <w:tcW w:w="1680" w:type="dxa"/>
          </w:tcPr>
          <w:p w14:paraId="02936D2F"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6CD05F44" w14:textId="77777777" w:rsidR="00184A8A" w:rsidRDefault="00000000">
            <w:r>
              <w:t>1,390</w:t>
            </w:r>
          </w:p>
        </w:tc>
        <w:tc>
          <w:tcPr>
            <w:tcW w:w="1680" w:type="dxa"/>
          </w:tcPr>
          <w:p w14:paraId="10E3A094" w14:textId="77777777" w:rsidR="00184A8A" w:rsidRDefault="00000000">
            <w:r>
              <w:t>0.359</w:t>
            </w:r>
          </w:p>
        </w:tc>
        <w:tc>
          <w:tcPr>
            <w:tcW w:w="1680" w:type="dxa"/>
          </w:tcPr>
          <w:p w14:paraId="07941553" w14:textId="77777777" w:rsidR="00184A8A" w:rsidRDefault="00000000">
            <w:r>
              <w:t>0.324</w:t>
            </w:r>
          </w:p>
        </w:tc>
        <w:tc>
          <w:tcPr>
            <w:tcW w:w="1680" w:type="dxa"/>
          </w:tcPr>
          <w:p w14:paraId="5702D689" w14:textId="77777777" w:rsidR="00184A8A" w:rsidRDefault="00000000">
            <w:r>
              <w:t>0.191</w:t>
            </w:r>
          </w:p>
        </w:tc>
        <w:tc>
          <w:tcPr>
            <w:tcW w:w="1680" w:type="dxa"/>
          </w:tcPr>
          <w:p w14:paraId="22ED2741" w14:textId="77777777" w:rsidR="00184A8A" w:rsidRDefault="00000000">
            <w:r>
              <w:t>0.505</w:t>
            </w:r>
          </w:p>
        </w:tc>
      </w:tr>
      <w:tr w:rsidR="00B86A12" w14:paraId="567D17D1" w14:textId="77777777" w:rsidTr="3DC018EE">
        <w:tc>
          <w:tcPr>
            <w:tcW w:w="1680" w:type="dxa"/>
          </w:tcPr>
          <w:p w14:paraId="63CABB34"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37CAE67" w14:textId="77777777" w:rsidR="00184A8A" w:rsidRDefault="00000000">
            <w:r>
              <w:t>1,390</w:t>
            </w:r>
          </w:p>
        </w:tc>
        <w:tc>
          <w:tcPr>
            <w:tcW w:w="1680" w:type="dxa"/>
          </w:tcPr>
          <w:p w14:paraId="113B9092" w14:textId="77777777" w:rsidR="00184A8A" w:rsidRDefault="00000000">
            <w:r>
              <w:t>5.118</w:t>
            </w:r>
          </w:p>
        </w:tc>
        <w:tc>
          <w:tcPr>
            <w:tcW w:w="1680" w:type="dxa"/>
          </w:tcPr>
          <w:p w14:paraId="3525DAC6" w14:textId="77777777" w:rsidR="00184A8A" w:rsidRDefault="00000000">
            <w:r>
              <w:t>5.104</w:t>
            </w:r>
          </w:p>
        </w:tc>
        <w:tc>
          <w:tcPr>
            <w:tcW w:w="1680" w:type="dxa"/>
          </w:tcPr>
          <w:p w14:paraId="0846BE71" w14:textId="77777777" w:rsidR="00184A8A" w:rsidRDefault="00000000">
            <w:r>
              <w:t>4.855</w:t>
            </w:r>
          </w:p>
        </w:tc>
        <w:tc>
          <w:tcPr>
            <w:tcW w:w="1680" w:type="dxa"/>
          </w:tcPr>
          <w:p w14:paraId="1D04A6BB" w14:textId="77777777" w:rsidR="00184A8A" w:rsidRDefault="00000000">
            <w:r>
              <w:t>5.339</w:t>
            </w:r>
          </w:p>
        </w:tc>
      </w:tr>
      <w:tr w:rsidR="00B86A12" w14:paraId="46B06E62" w14:textId="77777777" w:rsidTr="3DC018EE">
        <w:tc>
          <w:tcPr>
            <w:tcW w:w="1680" w:type="dxa"/>
          </w:tcPr>
          <w:p w14:paraId="18079C7F"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770B795E" w14:textId="77777777" w:rsidR="00184A8A" w:rsidRDefault="00000000">
            <w:r>
              <w:t>1,196</w:t>
            </w:r>
          </w:p>
        </w:tc>
        <w:tc>
          <w:tcPr>
            <w:tcW w:w="1680" w:type="dxa"/>
          </w:tcPr>
          <w:p w14:paraId="0E3C050F" w14:textId="77777777" w:rsidR="00184A8A" w:rsidRDefault="00000000">
            <w:r>
              <w:t>17.270</w:t>
            </w:r>
          </w:p>
        </w:tc>
        <w:tc>
          <w:tcPr>
            <w:tcW w:w="1680" w:type="dxa"/>
          </w:tcPr>
          <w:p w14:paraId="2F9AD84F" w14:textId="77777777" w:rsidR="00184A8A" w:rsidRDefault="00000000">
            <w:r>
              <w:t>18.016</w:t>
            </w:r>
          </w:p>
        </w:tc>
        <w:tc>
          <w:tcPr>
            <w:tcW w:w="1680" w:type="dxa"/>
          </w:tcPr>
          <w:p w14:paraId="62690997" w14:textId="77777777" w:rsidR="00184A8A" w:rsidRDefault="00000000">
            <w:r>
              <w:t>16.672</w:t>
            </w:r>
          </w:p>
        </w:tc>
        <w:tc>
          <w:tcPr>
            <w:tcW w:w="1680" w:type="dxa"/>
          </w:tcPr>
          <w:p w14:paraId="72A1DD37" w14:textId="77777777" w:rsidR="00184A8A" w:rsidRDefault="00000000">
            <w:r>
              <w:t>18.883</w:t>
            </w:r>
          </w:p>
        </w:tc>
      </w:tr>
      <w:tr w:rsidR="00E74C8C" w14:paraId="315E2FB7" w14:textId="77777777" w:rsidTr="3DC018EE">
        <w:tc>
          <w:tcPr>
            <w:tcW w:w="3134" w:type="dxa"/>
          </w:tcPr>
          <w:p w14:paraId="7987728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5C4279F7" w14:textId="77777777" w:rsidR="00184A8A" w:rsidRDefault="00000000">
            <w:r>
              <w:t>1,374</w:t>
            </w:r>
          </w:p>
        </w:tc>
        <w:tc>
          <w:tcPr>
            <w:tcW w:w="1432" w:type="dxa"/>
          </w:tcPr>
          <w:p w14:paraId="7D4DE466" w14:textId="77777777" w:rsidR="00184A8A" w:rsidRDefault="00000000">
            <w:r>
              <w:t>0.022</w:t>
            </w:r>
          </w:p>
        </w:tc>
        <w:tc>
          <w:tcPr>
            <w:tcW w:w="1466" w:type="dxa"/>
          </w:tcPr>
          <w:p w14:paraId="30401DEF" w14:textId="77777777" w:rsidR="00184A8A" w:rsidRDefault="00000000">
            <w:r>
              <w:t>0.020</w:t>
            </w:r>
          </w:p>
        </w:tc>
        <w:tc>
          <w:tcPr>
            <w:tcW w:w="1432" w:type="dxa"/>
          </w:tcPr>
          <w:p w14:paraId="26C91D7D" w14:textId="77777777" w:rsidR="00184A8A" w:rsidRDefault="00000000">
            <w:r>
              <w:t>0.015</w:t>
            </w:r>
          </w:p>
        </w:tc>
        <w:tc>
          <w:tcPr>
            <w:tcW w:w="1432" w:type="dxa"/>
          </w:tcPr>
          <w:p w14:paraId="0C7CF8B7" w14:textId="77777777" w:rsidR="00184A8A" w:rsidRDefault="00000000">
            <w:r>
              <w:t>0.028</w:t>
            </w:r>
          </w:p>
        </w:tc>
      </w:tr>
      <w:tr w:rsidR="00E74C8C" w14:paraId="70B311F6" w14:textId="77777777" w:rsidTr="3DC018EE">
        <w:tc>
          <w:tcPr>
            <w:tcW w:w="3134" w:type="dxa"/>
          </w:tcPr>
          <w:p w14:paraId="055951E8"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4EA7DD43" w14:textId="77777777" w:rsidR="00184A8A" w:rsidRDefault="00000000">
            <w:r>
              <w:t>1,374</w:t>
            </w:r>
          </w:p>
        </w:tc>
        <w:tc>
          <w:tcPr>
            <w:tcW w:w="1432" w:type="dxa"/>
          </w:tcPr>
          <w:p w14:paraId="18E04515" w14:textId="77777777" w:rsidR="00184A8A" w:rsidRDefault="00000000">
            <w:r>
              <w:t>3.786</w:t>
            </w:r>
          </w:p>
        </w:tc>
        <w:tc>
          <w:tcPr>
            <w:tcW w:w="1466" w:type="dxa"/>
          </w:tcPr>
          <w:p w14:paraId="6EC70620" w14:textId="77777777" w:rsidR="00184A8A" w:rsidRDefault="00000000">
            <w:r>
              <w:t>4.342</w:t>
            </w:r>
          </w:p>
        </w:tc>
        <w:tc>
          <w:tcPr>
            <w:tcW w:w="1432" w:type="dxa"/>
          </w:tcPr>
          <w:p w14:paraId="6442EF1C" w14:textId="77777777" w:rsidR="00184A8A" w:rsidRDefault="00000000">
            <w:r>
              <w:t>1.072</w:t>
            </w:r>
          </w:p>
        </w:tc>
        <w:tc>
          <w:tcPr>
            <w:tcW w:w="1432" w:type="dxa"/>
          </w:tcPr>
          <w:p w14:paraId="76DBFE2E" w14:textId="77777777" w:rsidR="00184A8A" w:rsidRDefault="00000000">
            <w:r>
              <w:t>5.648</w:t>
            </w:r>
          </w:p>
        </w:tc>
      </w:tr>
    </w:tbl>
    <w:p w14:paraId="20C4EFBF" w14:textId="77777777" w:rsidR="00B86A12" w:rsidRDefault="00091F08">
      <w:pPr>
        <w:pStyle w:val="Heading1"/>
        <w:numPr>
          <w:ilvl w:val="0"/>
          <w:numId w:val="11"/>
        </w:numPr>
      </w:pPr>
      <w:bookmarkStart w:id="14" w:name="_Ref_sec_results"/>
      <w:r>
        <w:t>Results</w:t>
      </w:r>
      <w:bookmarkEnd w:id="14"/>
    </w:p>
    <w:p w14:paraId="3E2E4316" w14:textId="3CBC6DB8"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w:t>
      </w:r>
      <w:r>
        <w:fldChar w:fldCharType="begin"/>
      </w:r>
      <w:r>
        <w:instrText xml:space="preserve"> REF _Ref_eq_baseline \h </w:instrText>
      </w:r>
      <w:r>
        <w:fldChar w:fldCharType="separate"/>
      </w:r>
      <w:r>
        <w:t>(4)</w:t>
      </w:r>
      <w:r>
        <w:fldChar w:fldCharType="end"/>
      </w:r>
      <w:r>
        <w:t>. Detailed specifications of all models in the ladder can be found in Section 6.7.</w:t>
      </w:r>
    </w:p>
    <w:p w14:paraId="0FD06E86" w14:textId="77777777" w:rsidR="00F121D0" w:rsidRDefault="009611E9" w:rsidP="00F121D0">
      <w:pPr>
        <w:keepNext/>
        <w:jc w:val="center"/>
      </w:pPr>
      <w:r>
        <w:rPr>
          <w:noProof/>
        </w:rPr>
        <w:lastRenderedPageBreak/>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2"/>
                    <a:stretch>
                      <a:fillRect/>
                    </a:stretch>
                  </pic:blipFill>
                  <pic:spPr>
                    <a:xfrm>
                      <a:off x="0" y="0"/>
                      <a:ext cx="6400800" cy="1998980"/>
                    </a:xfrm>
                    <a:prstGeom prst="rect">
                      <a:avLst/>
                    </a:prstGeom>
                  </pic:spPr>
                </pic:pic>
              </a:graphicData>
            </a:graphic>
          </wp:inline>
        </w:drawing>
      </w:r>
    </w:p>
    <w:p w14:paraId="4A2CC1C0" w14:textId="3D2762A0" w:rsidR="00B86A12" w:rsidRDefault="00F121D0" w:rsidP="00B1541B">
      <w:pPr>
        <w:pStyle w:val="Caption"/>
        <w:jc w:val="center"/>
      </w:pPr>
      <w:bookmarkStart w:id="15" w:name="_Ref_fig3"/>
      <w:r>
        <w:t xml:space="preserve">Figure </w:t>
      </w:r>
      <w:r>
        <w:fldChar w:fldCharType="begin"/>
      </w:r>
      <w:r>
        <w:instrText xml:space="preserve"> SEQ Figure \* ARABIC </w:instrText>
      </w:r>
      <w:r>
        <w:fldChar w:fldCharType="separate"/>
      </w:r>
      <w:r w:rsidR="008A7C5A">
        <w:rPr>
          <w:noProof/>
        </w:rPr>
        <w:t>3</w:t>
      </w:r>
      <w:r>
        <w:rPr>
          <w:noProof/>
        </w:rPr>
        <w:fldChar w:fldCharType="end"/>
      </w:r>
      <w:bookmarkEnd w:id="15"/>
      <w:r>
        <w:t>: Outcome-by-income descriptive gradients for rooftop PV, storage, and EV charging. Outcomes are shown on the transformed log(1 + rate) scale. Where shaded bands are shown in the figures below, they indicate 95% bootstrap confidence intervals.</w:t>
      </w:r>
    </w:p>
    <w:p w14:paraId="3211CFFF" w14:textId="77777777" w:rsidR="00F121D0" w:rsidRDefault="00F121D0" w:rsidP="00F121D0">
      <w:pPr>
        <w:pStyle w:val="Caption"/>
        <w:keepNext/>
      </w:pPr>
      <w:bookmarkStart w:id="16" w:name="_Ref_tbl3"/>
      <w:r>
        <w:t xml:space="preserve">Table </w:t>
      </w:r>
      <w:r>
        <w:fldChar w:fldCharType="begin"/>
      </w:r>
      <w:r>
        <w:instrText xml:space="preserve"> SEQ Table \* ARABIC </w:instrText>
      </w:r>
      <w:r>
        <w:fldChar w:fldCharType="separate"/>
      </w:r>
      <w:r>
        <w:t>3</w:t>
      </w:r>
      <w:r>
        <w:fldChar w:fldCharType="end"/>
      </w:r>
      <w:bookmarkEnd w:id="16"/>
      <w:r>
        <w:t>: Baseline regression summary across the three headline DER outcomes.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2286"/>
        <w:gridCol w:w="2324"/>
        <w:gridCol w:w="2327"/>
      </w:tblGrid>
      <w:tr w:rsidR="00B86A12" w14:paraId="03610171" w14:textId="77777777">
        <w:trPr>
          <w:tblHeader/>
        </w:trPr>
        <w:tc>
          <w:tcPr>
            <w:tcW w:w="2520" w:type="dxa"/>
            <w:tcBorders>
              <w:bottom w:val="single" w:sz="6" w:space="0" w:color="auto"/>
            </w:tcBorders>
            <w:shd w:val="clear" w:color="auto" w:fill="F2EFE7"/>
          </w:tcPr>
          <w:p w14:paraId="70653D07" w14:textId="77777777" w:rsidR="00E74C8C" w:rsidRPr="00FC705B" w:rsidRDefault="00000000">
            <w:pPr>
              <w:rPr>
                <w:b/>
                <w:bCs/>
              </w:rPr>
            </w:pPr>
            <w:r>
              <w:rPr>
                <w:b/>
                <w:bCs/>
              </w:rPr>
              <w:t>Predictor</w:t>
            </w:r>
          </w:p>
        </w:tc>
        <w:tc>
          <w:tcPr>
            <w:tcW w:w="2520" w:type="dxa"/>
            <w:tcBorders>
              <w:bottom w:val="single" w:sz="6" w:space="0" w:color="auto"/>
            </w:tcBorders>
            <w:shd w:val="clear" w:color="auto" w:fill="F2EFE7"/>
          </w:tcPr>
          <w:p w14:paraId="76E33C1C" w14:textId="77777777" w:rsidR="00E74C8C" w:rsidRPr="00615DEA" w:rsidRDefault="00000000">
            <w:pPr>
              <w:rPr>
                <w:rFonts w:ascii="Courier New" w:hAnsi="Courier New" w:cs="Courier New"/>
                <w:sz w:val="18"/>
                <w:szCs w:val="18"/>
              </w:rPr>
            </w:pPr>
            <w:r>
              <w:rPr>
                <w:b/>
                <w:bCs/>
                <w:rFonts w:ascii="Courier New" w:hAnsi="Courier New" w:cs="Courier New"/>
                <w:sz w:val="18"/>
                <w:szCs w:val="18"/>
              </w:rPr>
              <w:t>y_pv</w:t>
            </w:r>
          </w:p>
        </w:tc>
        <w:tc>
          <w:tcPr>
            <w:tcW w:w="2520" w:type="dxa"/>
            <w:tcBorders>
              <w:bottom w:val="single" w:sz="6" w:space="0" w:color="auto"/>
            </w:tcBorders>
            <w:shd w:val="clear" w:color="auto" w:fill="F2EFE7"/>
          </w:tcPr>
          <w:p w14:paraId="06860712" w14:textId="77777777" w:rsidR="00E74C8C" w:rsidRPr="00615DEA" w:rsidRDefault="00000000">
            <w:pPr>
              <w:rPr>
                <w:rFonts w:ascii="Courier New" w:hAnsi="Courier New" w:cs="Courier New"/>
                <w:sz w:val="18"/>
                <w:szCs w:val="18"/>
              </w:rPr>
            </w:pPr>
            <w:r>
              <w:rPr>
                <w:b/>
                <w:bCs/>
                <w:rFonts w:ascii="Courier New" w:hAnsi="Courier New" w:cs="Courier New"/>
                <w:sz w:val="18"/>
                <w:szCs w:val="18"/>
              </w:rPr>
              <w:t>y_storage</w:t>
            </w:r>
          </w:p>
        </w:tc>
        <w:tc>
          <w:tcPr>
            <w:tcW w:w="2520" w:type="dxa"/>
            <w:tcBorders>
              <w:bottom w:val="single" w:sz="6" w:space="0" w:color="auto"/>
            </w:tcBorders>
            <w:shd w:val="clear" w:color="auto" w:fill="F2EFE7"/>
          </w:tcPr>
          <w:p w14:paraId="5EC9EB9E" w14:textId="77777777" w:rsidR="00E74C8C" w:rsidRPr="00615DEA" w:rsidRDefault="00000000">
            <w:pPr>
              <w:rPr>
                <w:rFonts w:ascii="Courier New" w:hAnsi="Courier New" w:cs="Courier New"/>
                <w:sz w:val="18"/>
                <w:szCs w:val="18"/>
              </w:rPr>
            </w:pPr>
            <w:r>
              <w:rPr>
                <w:b/>
                <w:bCs/>
                <w:rFonts w:ascii="Courier New" w:hAnsi="Courier New" w:cs="Courier New"/>
                <w:sz w:val="18"/>
                <w:szCs w:val="18"/>
              </w:rPr>
              <w:t>y_chargers</w:t>
            </w:r>
          </w:p>
        </w:tc>
      </w:tr>
      <w:tr w:rsidR="00B86A12" w14:paraId="4A9CC684" w14:textId="77777777">
        <w:tc>
          <w:tcPr>
            <w:tcW w:w="2520" w:type="dxa"/>
          </w:tcPr>
          <w:p w14:paraId="3B80F4E3"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5D3F8214" w14:textId="77777777" w:rsidR="00184A8A" w:rsidRDefault="00000000">
            <w:r>
              <w:t>0.126*** (0.038)</w:t>
            </w:r>
          </w:p>
        </w:tc>
        <w:tc>
          <w:tcPr>
            <w:tcW w:w="2520" w:type="dxa"/>
          </w:tcPr>
          <w:p w14:paraId="686E1C65" w14:textId="77777777" w:rsidR="00184A8A" w:rsidRDefault="00000000">
            <w:r>
              <w:t>0.771*** (0.122)</w:t>
            </w:r>
          </w:p>
        </w:tc>
        <w:tc>
          <w:tcPr>
            <w:tcW w:w="2520" w:type="dxa"/>
          </w:tcPr>
          <w:p w14:paraId="63443471" w14:textId="77777777" w:rsidR="00184A8A" w:rsidRDefault="00000000">
            <w:r>
              <w:t>0.164* (0.098)</w:t>
            </w:r>
          </w:p>
        </w:tc>
      </w:tr>
      <w:tr w:rsidR="00B86A12" w14:paraId="0D3B3FFB" w14:textId="77777777">
        <w:tc>
          <w:tcPr>
            <w:tcW w:w="2520" w:type="dxa"/>
          </w:tcPr>
          <w:p w14:paraId="7B788C44"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5AAA167F" w14:textId="77777777" w:rsidR="00184A8A" w:rsidRDefault="00000000">
            <w:r>
              <w:t>-0.760*** (0.109)</w:t>
            </w:r>
          </w:p>
        </w:tc>
        <w:tc>
          <w:tcPr>
            <w:tcW w:w="2520" w:type="dxa"/>
          </w:tcPr>
          <w:p w14:paraId="4A2DE179" w14:textId="77777777" w:rsidR="00184A8A" w:rsidRDefault="00000000">
            <w:r>
              <w:t>-1.652*** (0.328)</w:t>
            </w:r>
          </w:p>
        </w:tc>
        <w:tc>
          <w:tcPr>
            <w:tcW w:w="2520" w:type="dxa"/>
          </w:tcPr>
          <w:p w14:paraId="5D2FC8E7" w14:textId="77777777" w:rsidR="00184A8A" w:rsidRDefault="00000000">
            <w:r>
              <w:t>-0.007 (0.343)</w:t>
            </w:r>
          </w:p>
        </w:tc>
      </w:tr>
      <w:tr w:rsidR="00B86A12" w14:paraId="7C0B355F" w14:textId="77777777">
        <w:tc>
          <w:tcPr>
            <w:tcW w:w="2520" w:type="dxa"/>
          </w:tcPr>
          <w:p w14:paraId="35122F8A"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15B6932F" w14:textId="77777777" w:rsidR="00184A8A" w:rsidRDefault="00000000">
            <w:r>
              <w:t>0.017 (0.048)</w:t>
            </w:r>
          </w:p>
        </w:tc>
        <w:tc>
          <w:tcPr>
            <w:tcW w:w="2520" w:type="dxa"/>
          </w:tcPr>
          <w:p w14:paraId="18392195" w14:textId="77777777" w:rsidR="00184A8A" w:rsidRDefault="00000000">
            <w:r>
              <w:t>-0.612*** (0.126)</w:t>
            </w:r>
          </w:p>
        </w:tc>
        <w:tc>
          <w:tcPr>
            <w:tcW w:w="2520" w:type="dxa"/>
          </w:tcPr>
          <w:p w14:paraId="62CA0ABF" w14:textId="77777777" w:rsidR="00184A8A" w:rsidRDefault="00000000">
            <w:r>
              <w:t>-0.399*** (0.105)</w:t>
            </w:r>
          </w:p>
        </w:tc>
      </w:tr>
      <w:tr w:rsidR="00B86A12" w14:paraId="4DC44840" w14:textId="77777777" w:rsidTr="00406B15">
        <w:trPr>
          <w:trHeight w:val="52"/>
        </w:trPr>
        <w:tc>
          <w:tcPr>
            <w:tcW w:w="2520" w:type="dxa"/>
          </w:tcPr>
          <w:p w14:paraId="550B849B"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35EB1B55" w14:textId="77777777" w:rsidR="00184A8A" w:rsidRDefault="00000000">
            <w:r>
              <w:t>-0.579*** (0.048)</w:t>
            </w:r>
          </w:p>
        </w:tc>
        <w:tc>
          <w:tcPr>
            <w:tcW w:w="2520" w:type="dxa"/>
          </w:tcPr>
          <w:p w14:paraId="17844A5F" w14:textId="77777777" w:rsidR="00184A8A" w:rsidRDefault="00000000">
            <w:r>
              <w:t>-1.780*** (0.162)</w:t>
            </w:r>
          </w:p>
        </w:tc>
        <w:tc>
          <w:tcPr>
            <w:tcW w:w="2520" w:type="dxa"/>
          </w:tcPr>
          <w:p w14:paraId="4925E4B8" w14:textId="77777777" w:rsidR="00184A8A" w:rsidRDefault="00000000">
            <w:r>
              <w:t>0.410*** (0.146)</w:t>
            </w:r>
          </w:p>
        </w:tc>
      </w:tr>
      <w:tr w:rsidR="00B86A12" w14:paraId="71D9A082" w14:textId="77777777">
        <w:tc>
          <w:tcPr>
            <w:tcW w:w="2520" w:type="dxa"/>
          </w:tcPr>
          <w:p w14:paraId="7E149E2E"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7805503B" w14:textId="77777777" w:rsidR="00184A8A" w:rsidRDefault="00000000">
            <w:r>
              <w:t>-0.047 (0.219)</w:t>
            </w:r>
          </w:p>
        </w:tc>
        <w:tc>
          <w:tcPr>
            <w:tcW w:w="2520" w:type="dxa"/>
          </w:tcPr>
          <w:p w14:paraId="7EE3DB7E" w14:textId="77777777" w:rsidR="00184A8A" w:rsidRDefault="00000000">
            <w:r>
              <w:t>-0.228 (0.562)</w:t>
            </w:r>
          </w:p>
        </w:tc>
        <w:tc>
          <w:tcPr>
            <w:tcW w:w="2520" w:type="dxa"/>
          </w:tcPr>
          <w:p w14:paraId="06687EEB" w14:textId="77777777" w:rsidR="00184A8A" w:rsidRDefault="00000000">
            <w:r>
              <w:t>2.003*** (0.497)</w:t>
            </w:r>
          </w:p>
        </w:tc>
      </w:tr>
      <w:tr w:rsidR="00B86A12" w14:paraId="472D104C" w14:textId="77777777">
        <w:tc>
          <w:tcPr>
            <w:tcW w:w="2520" w:type="dxa"/>
          </w:tcPr>
          <w:p w14:paraId="44EFA2B2" w14:textId="77777777" w:rsidR="00E74C8C" w:rsidRPr="00127991" w:rsidRDefault="00000000">
            <w:r>
              <w:t>Key climate/resource control</w:t>
            </w:r>
          </w:p>
        </w:tc>
        <w:tc>
          <w:tcPr>
            <w:tcW w:w="2520" w:type="dxa"/>
          </w:tcPr>
          <w:p w14:paraId="38417017" w14:textId="77777777" w:rsidR="00184A8A" w:rsidRDefault="00000000">
            <w:r>
              <w:t>GHI: 0.160*** (0.028)</w:t>
            </w:r>
          </w:p>
        </w:tc>
        <w:tc>
          <w:tcPr>
            <w:tcW w:w="2520" w:type="dxa"/>
          </w:tcPr>
          <w:p w14:paraId="4175EBA3" w14:textId="77777777" w:rsidR="00184A8A" w:rsidRDefault="00000000">
            <w:r>
              <w:t>CDD/HDD: n.s.</w:t>
            </w:r>
          </w:p>
        </w:tc>
        <w:tc>
          <w:tcPr>
            <w:tcW w:w="2520" w:type="dxa"/>
          </w:tcPr>
          <w:p w14:paraId="63DD986A" w14:textId="77777777" w:rsidR="00184A8A" w:rsidRDefault="00000000">
            <w:r>
              <w:t>CDD65: -0.0002*** (0.0000)</w:t>
            </w:r>
          </w:p>
        </w:tc>
      </w:tr>
      <w:tr w:rsidR="00B86A12" w14:paraId="6FE90380" w14:textId="77777777">
        <w:tc>
          <w:tcPr>
            <w:tcW w:w="2520" w:type="dxa"/>
          </w:tcPr>
          <w:p w14:paraId="26D6FBC4" w14:textId="77777777" w:rsidR="00184A8A" w:rsidRDefault="00000000">
            <w:r>
              <w:t>N</w:t>
            </w:r>
          </w:p>
        </w:tc>
        <w:tc>
          <w:tcPr>
            <w:tcW w:w="2520" w:type="dxa"/>
          </w:tcPr>
          <w:p w14:paraId="208564F9" w14:textId="77777777" w:rsidR="00184A8A" w:rsidRDefault="00000000">
            <w:r>
              <w:t>1,390</w:t>
            </w:r>
          </w:p>
        </w:tc>
        <w:tc>
          <w:tcPr>
            <w:tcW w:w="2520" w:type="dxa"/>
          </w:tcPr>
          <w:p w14:paraId="387F64F9" w14:textId="77777777" w:rsidR="00184A8A" w:rsidRDefault="00000000">
            <w:r>
              <w:t>1,390</w:t>
            </w:r>
          </w:p>
        </w:tc>
        <w:tc>
          <w:tcPr>
            <w:tcW w:w="2520" w:type="dxa"/>
          </w:tcPr>
          <w:p w14:paraId="0A5166FF" w14:textId="77777777" w:rsidR="00184A8A" w:rsidRDefault="00000000">
            <w:r>
              <w:t>1,390</w:t>
            </w:r>
          </w:p>
        </w:tc>
      </w:tr>
      <w:tr w:rsidR="00B86A12" w14:paraId="0BACADA3" w14:textId="77777777">
        <w:tc>
          <w:tcPr>
            <w:tcW w:w="2520" w:type="dxa"/>
          </w:tcPr>
          <w:p w14:paraId="59382E8C" w14:textId="77777777" w:rsidR="00184A8A" w:rsidRDefault="00000000">
            <w:r>
              <w:t>R²</w:t>
            </w:r>
          </w:p>
        </w:tc>
        <w:tc>
          <w:tcPr>
            <w:tcW w:w="2520" w:type="dxa"/>
          </w:tcPr>
          <w:p w14:paraId="5B5EA406" w14:textId="77777777" w:rsidR="00184A8A" w:rsidRDefault="00000000">
            <w:r>
              <w:t>0.106</w:t>
            </w:r>
          </w:p>
        </w:tc>
        <w:tc>
          <w:tcPr>
            <w:tcW w:w="2520" w:type="dxa"/>
          </w:tcPr>
          <w:p w14:paraId="58C75AFC" w14:textId="77777777" w:rsidR="00184A8A" w:rsidRDefault="00000000">
            <w:r>
              <w:t>0.188</w:t>
            </w:r>
          </w:p>
        </w:tc>
        <w:tc>
          <w:tcPr>
            <w:tcW w:w="2520" w:type="dxa"/>
          </w:tcPr>
          <w:p w14:paraId="72FA6975" w14:textId="77777777" w:rsidR="00184A8A" w:rsidRDefault="00000000">
            <w:r>
              <w:t>0.079</w:t>
            </w:r>
          </w:p>
        </w:tc>
      </w:tr>
    </w:tbl>
    <w:p w14:paraId="7A8DEA8D" w14:textId="77777777" w:rsidR="00B86A12" w:rsidRDefault="00B86A12"/>
    <w:p w14:paraId="316C2719" w14:textId="77777777" w:rsidR="00F121D0" w:rsidRDefault="009611E9" w:rsidP="00F121D0">
      <w:pPr>
        <w:pStyle w:val="Caption"/>
      </w:pPr>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3"/>
                    <a:stretch>
                      <a:fillRect/>
                    </a:stretch>
                  </pic:blipFill>
                  <pic:spPr>
                    <a:xfrm>
                      <a:off x="0" y="0"/>
                      <a:ext cx="6400800" cy="5232400"/>
                    </a:xfrm>
                    <a:prstGeom prst="rect">
                      <a:avLst/>
                    </a:prstGeom>
                  </pic:spPr>
                </pic:pic>
              </a:graphicData>
            </a:graphic>
          </wp:inline>
        </w:drawing>
      </w:r>
    </w:p>
    <w:p w14:paraId="1D24B7EF" w14:textId="44476728" w:rsidR="00B86A12" w:rsidRDefault="00F121D0" w:rsidP="00F121D0">
      <w:pPr>
        <w:pStyle w:val="Caption"/>
        <w:jc w:val="center"/>
      </w:pPr>
      <w:bookmarkStart w:id="17" w:name="_Ref_fig4"/>
      <w:r>
        <w:t xml:space="preserve">Figure </w:t>
      </w:r>
      <w:r>
        <w:fldChar w:fldCharType="begin"/>
      </w:r>
      <w:r>
        <w:instrText xml:space="preserve"> SEQ Figure \* ARABIC </w:instrText>
      </w:r>
      <w:r>
        <w:fldChar w:fldCharType="separate"/>
      </w:r>
      <w:r w:rsidR="008A7C5A">
        <w:rPr>
          <w:noProof/>
        </w:rPr>
        <w:t>4</w:t>
      </w:r>
      <w:r>
        <w:rPr>
          <w:noProof/>
        </w:rPr>
        <w:fldChar w:fldCharType="end"/>
      </w:r>
      <w:bookmarkEnd w:id="17"/>
      <w:r>
        <w:t>: Coefficient paths for the five main disparity predictors across the eight-model ladder. This condenses the paper’s central identification claim into one visual: some coefficients attenuate, but the overall cross-technology disparity pattern remains.</w:t>
      </w:r>
    </w:p>
    <w:p w14:paraId="24B11B1A" w14:textId="77777777" w:rsidR="00B86A12" w:rsidRDefault="00000000">
      <w:pPr>
        <w:pStyle w:val="Heading2"/>
        <w:numPr>
          <w:ilvl w:val="1"/>
          <w:numId w:val="11"/>
        </w:numPr>
      </w:pPr>
      <w:bookmarkStart w:id="18" w:name="_Ref_sec_r_baseline"/>
      <w:r>
        <w:t>Baseline patterns across DER types</w:t>
      </w:r>
      <w:bookmarkEnd w:id="18"/>
    </w:p>
    <w:p w14:paraId="3BFDAC47" w14:textId="3BFDE369" w:rsidR="001D5F0E" w:rsidRDefault="001D5F0E">
      <w:r>
        <w:t xml:space="preserve">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 xml:space="preserve">Figure </w:t>
      </w:r>
      <w:r>
        <w:rPr>
          <w:noProof/>
        </w:rPr>
        <w:t>4</w:t>
      </w:r>
      <w:r>
        <w:fldChar w:fldCharType="end"/>
      </w:r>
      <w:r>
        <w:t xml:space="preserve"> show that solar PV and battery storage carry the clearest negative associations with ZIP/ZCTA shares of Black and Asian residents after controls for income and poverty. EV charging departs from that pattern: charger deployment is negatively associated with Hispanic share and positively associated with poverty rate (2.00, p &lt; 0.001). The positive Asian-share coefficient for charging is not stable, losing significance under spatial HAC standard errors and reversing sign once housing structure and tenure enter the model, so </w:t>
      </w:r>
      <w:r w:rsidR="001F19B7">
        <w:t>we</w:t>
      </w:r>
      <w:r>
        <w:t xml:space="preserve"> do not build an interpretation on it. Charger availability appears to capture a different mix of infrastructure types and siting logic than household-centered DER adoption. </w:t>
      </w:r>
      <w:r>
        <w:fldChar w:fldCharType="begin"/>
      </w:r>
      <w:r>
        <w:instrText xml:space="preserve"> REF _Ref_fig5 \h </w:instrText>
      </w:r>
      <w:r>
        <w:fldChar w:fldCharType="separate"/>
      </w:r>
      <w:r>
        <w:t xml:space="preserve">Figure </w:t>
      </w:r>
      <w:r>
        <w:rPr>
          <w:noProof/>
        </w:rPr>
        <w:t>5</w:t>
      </w:r>
      <w:r>
        <w:fldChar w:fldCharType="end"/>
      </w:r>
      <w:r>
        <w:t xml:space="preserve"> places the four continuous DER outcomes side by side on a common standardized scale. </w:t>
      </w:r>
    </w:p>
    <w:p w14:paraId="1CC74EC5" w14:textId="73EBE6AF" w:rsidR="00184A8A" w:rsidRDefault="00000000">
      <w:r>
        <w:t xml:space="preserve">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changes from -0.252 to -0.171. For aggregate </w:t>
      </w:r>
      <w:r>
        <w:lastRenderedPageBreak/>
        <w:t>charging, the standardized Black-share coefficient changes from -0.000 to -0.035, and the Asian-share coefficient changes from 0.058 to -0.008. Figure 21 shows all three race-coefficient comparisons. Movement toward zero is attenuation associated with area-level housing composition; these models do not identify household-level tenure or roof access.</w:t>
      </w:r>
    </w:p>
    <w:p w14:paraId="25259B55" w14:textId="77777777" w:rsidR="00F121D0" w:rsidRDefault="009611E9" w:rsidP="00F121D0">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4"/>
                    <a:stretch>
                      <a:fillRect/>
                    </a:stretch>
                  </pic:blipFill>
                  <pic:spPr>
                    <a:xfrm>
                      <a:off x="0" y="0"/>
                      <a:ext cx="3643645" cy="4895424"/>
                    </a:xfrm>
                    <a:prstGeom prst="rect">
                      <a:avLst/>
                    </a:prstGeom>
                  </pic:spPr>
                </pic:pic>
              </a:graphicData>
            </a:graphic>
          </wp:inline>
        </w:drawing>
      </w:r>
    </w:p>
    <w:p w14:paraId="2EC4D576" w14:textId="30FA5AAB" w:rsidR="00B86A12" w:rsidRDefault="00F121D0" w:rsidP="00F121D0">
      <w:pPr>
        <w:pStyle w:val="Caption"/>
        <w:jc w:val="center"/>
      </w:pPr>
      <w:bookmarkStart w:id="19" w:name="_Ref_fig5"/>
      <w:commentRangeStart w:id="20"/>
      <w:r>
        <w:t xml:space="preserve">Figure </w:t>
      </w:r>
      <w:r>
        <w:fldChar w:fldCharType="begin"/>
      </w:r>
      <w:r>
        <w:instrText xml:space="preserve"> SEQ Figure \* ARABIC </w:instrText>
      </w:r>
      <w:r>
        <w:fldChar w:fldCharType="separate"/>
      </w:r>
      <w:r w:rsidR="008A7C5A">
        <w:rPr>
          <w:noProof/>
        </w:rPr>
        <w:t>5</w:t>
      </w:r>
      <w:r>
        <w:rPr>
          <w:noProof/>
        </w:rPr>
        <w:fldChar w:fldCharType="end"/>
      </w:r>
      <w:bookmarkEnd w:id="19"/>
      <w:r>
        <w:t>: Cross-outcome dot-whisker comparison from the standardized model outputs for Solar PV, Storage, EV Chargers, and Wind MW. This figure summarizes how core predictors vary across the continuous DER outcomes.</w:t>
      </w:r>
      <w:commentRangeEnd w:id="20"/>
      <w:r w:rsidR="009C6396">
        <w:rPr>
          <w:rStyle w:val="CommentReference"/>
          <w:sz w:val="18"/>
          <w:szCs w:val="18"/>
        </w:rPr>
        <w:commentReference w:id="20"/>
      </w:r>
      <w:r>
        <w:t xml:space="preserve"> All four outcomes are estimated under Model 1, the baseline specification with climate controls.</w:t>
      </w:r>
    </w:p>
    <w:p w14:paraId="503DD194" w14:textId="77777777" w:rsidR="00B86A12" w:rsidRDefault="00000000">
      <w:pPr>
        <w:pStyle w:val="Heading2"/>
        <w:numPr>
          <w:ilvl w:val="1"/>
          <w:numId w:val="11"/>
        </w:numPr>
      </w:pPr>
      <w:bookmarkStart w:id="21" w:name="_Ref_sec_r_pv"/>
      <w:r>
        <w:t>Solar PV: Persistent disparities after resource controls</w:t>
      </w:r>
      <w:bookmarkEnd w:id="21"/>
    </w:p>
    <w:p w14:paraId="6E9E0011"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sidRPr="3DC018EE">
        <w:rPr>
          <w:rFonts w:ascii="Courier New" w:hAnsi="Courier New" w:cs="Courier New"/>
          <w:sz w:val="18"/>
          <w:szCs w:val="18"/>
        </w:rPr>
        <w:t>log_median_household_income</w:t>
      </w:r>
      <w:r w:rsidRPr="3DC018EE">
        <w:rPr>
          <w:sz w:val="18"/>
          <w:szCs w:val="18"/>
        </w:rPr>
        <w:t xml:space="preserve"> </w:t>
      </w:r>
      <w:r>
        <w:t xml:space="preserve">is positive and statistically significant in the baseline model reported in </w:t>
      </w:r>
      <w:r>
        <w:fldChar w:fldCharType="begin"/>
      </w:r>
      <w:r>
        <w:instrText xml:space="preserve"> REF _Ref_tbl3 \h </w:instrText>
      </w:r>
      <w:r>
        <w:fldChar w:fldCharType="separate"/>
      </w:r>
      <w:r>
        <w:t>Table 3</w:t>
      </w:r>
      <w:r>
        <w:fldChar w:fldCharType="end"/>
      </w:r>
      <w:r>
        <w:t xml:space="preserve">, while </w:t>
      </w:r>
      <w:r w:rsidRPr="3DC018EE">
        <w:rPr>
          <w:rFonts w:ascii="Courier New" w:hAnsi="Courier New" w:cs="Courier New"/>
          <w:sz w:val="18"/>
          <w:szCs w:val="18"/>
        </w:rPr>
        <w:t>pct_black</w:t>
      </w:r>
      <w:r w:rsidRPr="3DC018EE">
        <w:rPr>
          <w:sz w:val="18"/>
          <w:szCs w:val="18"/>
        </w:rPr>
        <w:t xml:space="preserve"> </w:t>
      </w:r>
      <w:r>
        <w:t xml:space="preserve">and </w:t>
      </w:r>
      <w:r w:rsidRPr="3DC018EE">
        <w:rPr>
          <w:rFonts w:ascii="Courier New" w:hAnsi="Courier New" w:cs="Courier New"/>
          <w:sz w:val="18"/>
          <w:szCs w:val="18"/>
        </w:rPr>
        <w:t>pct_asian</w:t>
      </w:r>
      <w:r w:rsidRPr="3DC018EE">
        <w:rPr>
          <w:sz w:val="18"/>
          <w:szCs w:val="18"/>
        </w:rPr>
        <w:t xml:space="preserve"> </w:t>
      </w:r>
      <w:r>
        <w:t xml:space="preserve">are strongly negative. Solar resource potential behaves as expected: </w:t>
      </w:r>
      <w:r w:rsidRPr="3DC018EE">
        <w:rPr>
          <w:rFonts w:ascii="Courier New" w:hAnsi="Courier New" w:cs="Courier New"/>
          <w:sz w:val="18"/>
          <w:szCs w:val="18"/>
        </w:rPr>
        <w:t>ghi_mean_kwh_m2_day_2023</w:t>
      </w:r>
      <w:r w:rsidRPr="3DC018EE">
        <w:rPr>
          <w:sz w:val="18"/>
          <w:szCs w:val="18"/>
        </w:rPr>
        <w:t xml:space="preserve"> </w:t>
      </w:r>
      <w:r>
        <w:t>is positive and highly significant, suggesting that physical suitability is an important predictor of deployment.</w:t>
      </w:r>
    </w:p>
    <w:p w14:paraId="3E757C32" w14:textId="77777777" w:rsidR="00B86A12" w:rsidRDefault="00000000">
      <w:r>
        <w:t xml:space="preserve">These disparities remain substantively present as the model becomes more demanding. Adding educational attainment (Model 2; Section </w:t>
      </w:r>
      <w:r>
        <w:fldChar w:fldCharType="begin"/>
      </w:r>
      <w:r>
        <w:instrText xml:space="preserve"> REF _Ref_sec_model2 \r \h </w:instrText>
      </w:r>
      <w:r>
        <w:fldChar w:fldCharType="separate"/>
      </w:r>
      <w:r>
        <w:t>6.7.2</w:t>
      </w:r>
      <w:r>
        <w:fldChar w:fldCharType="end"/>
      </w:r>
      <w:r>
        <w:t>) strengthens the estimated income effect and makes the coefficient on</w:t>
      </w:r>
      <w:r w:rsidRPr="3DC018EE">
        <w:rPr>
          <w:rFonts w:ascii="Courier New" w:hAnsi="Courier New"/>
          <w:sz w:val="18"/>
          <w:szCs w:val="18"/>
        </w:rPr>
        <w:t xml:space="preserve"> pct_hispanic</w:t>
      </w:r>
      <w:r>
        <w:t xml:space="preserve"> negative and statistically significant as well, while the negative coefficients on</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xml:space="preserve"> remain large. In the county-clustered specification (Model 5C; Section </w:t>
      </w:r>
      <w:r>
        <w:fldChar w:fldCharType="begin"/>
      </w:r>
      <w:r>
        <w:instrText xml:space="preserve"> REF _Ref_sec_model5 \r \h </w:instrText>
      </w:r>
      <w:r>
        <w:fldChar w:fldCharType="separate"/>
      </w:r>
      <w:r>
        <w:t>6.7.5</w:t>
      </w:r>
      <w:r>
        <w:fldChar w:fldCharType="end"/>
      </w:r>
      <w:r>
        <w:t xml:space="preserve">), the income effect </w:t>
      </w:r>
      <w:r>
        <w:lastRenderedPageBreak/>
        <w:t>attenuates and becomes marginal, but the negative coefficient on</w:t>
      </w:r>
      <w:r w:rsidRPr="3DC018EE">
        <w:rPr>
          <w:rFonts w:ascii="Courier New" w:hAnsi="Courier New"/>
          <w:sz w:val="18"/>
          <w:szCs w:val="18"/>
        </w:rPr>
        <w:t xml:space="preserve"> pct_asian</w:t>
      </w:r>
      <w:r>
        <w:t xml:space="preserve"> remains strongly significant, and the negative coefficient on</w:t>
      </w:r>
      <w:r w:rsidRPr="3DC018EE">
        <w:rPr>
          <w:rFonts w:ascii="Courier New" w:hAnsi="Courier New"/>
          <w:sz w:val="18"/>
          <w:szCs w:val="18"/>
        </w:rPr>
        <w:t xml:space="preserve"> pct_black</w:t>
      </w:r>
      <w:r>
        <w:t xml:space="preserve"> remains statistically distinguishable from zero. In the infrastructure-control and demand-proxy models (Models 7 and 8; Sections </w:t>
      </w:r>
      <w:r>
        <w:fldChar w:fldCharType="begin"/>
      </w:r>
      <w:r>
        <w:instrText xml:space="preserve"> REF _Ref_sec_model7 \r \h </w:instrText>
      </w:r>
      <w:r>
        <w:fldChar w:fldCharType="separate"/>
      </w:r>
      <w:r>
        <w:t>6.7.7</w:t>
      </w:r>
      <w:r>
        <w:fldChar w:fldCharType="end"/>
      </w:r>
      <w:r>
        <w:t xml:space="preserve"> and </w:t>
      </w:r>
      <w:r>
        <w:fldChar w:fldCharType="begin"/>
      </w:r>
      <w:r>
        <w:instrText xml:space="preserve"> REF _Ref_sec_model8 \r \h </w:instrText>
      </w:r>
      <w:r>
        <w:fldChar w:fldCharType="separate"/>
      </w:r>
      <w:r>
        <w:t>6.7.8</w:t>
      </w:r>
      <w:r>
        <w:fldChar w:fldCharType="end"/>
      </w:r>
      <w:r>
        <w:t>), the PV results continue to show large negative associations for</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indicating that these patterns are not explained away by existing energy infrastructure or underlying electricity demand.</w:t>
      </w:r>
    </w:p>
    <w:p w14:paraId="3C2A52EC" w14:textId="77777777" w:rsidR="00B86A12" w:rsidRDefault="00000000">
      <w:r>
        <w:t xml:space="preserve">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 xml:space="preserve">. </w:t>
      </w:r>
      <w:r>
        <w:fldChar w:fldCharType="begin"/>
      </w:r>
      <w:r>
        <w:instrText xml:space="preserve"> REF _Ref_fig19 \h </w:instrText>
      </w:r>
      <w:r>
        <w:fldChar w:fldCharType="separate"/>
      </w:r>
      <w:r>
        <w:t>Figure 19</w:t>
      </w:r>
      <w:r>
        <w:fldChar w:fldCharType="end"/>
      </w:r>
      <w:r>
        <w:t xml:space="preserve"> maps observed PV adoption against the Model 1 standardized residuals and shows the spatial clustering those alternatives are designed to handle.</w:t>
      </w:r>
    </w:p>
    <w:p w14:paraId="50EF1159" w14:textId="77777777" w:rsidR="00B93869" w:rsidRDefault="00000000">
      <w:r>
        <w:t>The coefficient on pct_asian deserves separate comment, because it points in different directions across technologies and because housing composition explains most of that difference. In the baseline specification the standardized coefficient is -0.082 for PV and -0.252 for storage, and it is positive for EV charging at 0.058 (p = 0.005). Adding exhaustive housing structure and tenure (Model 2D) moves the PV coefficient to -0.051 and the storage coefficient to -0.171, while the charging coefficient falls to -0.008 and is no longer distinguishable from zero (p = 0.68). The apparent sign difference is therefore not a stable feature of the data. It reflects the housing stock: the two technologies that require an owned roof or a dedicated service panel attenuate once housing type and tenure enter, and the one sited at workplaces and commercial locations collapses to zero. What remains is the substantive result. Across every specification in the ladder the PV and storage coefficients on pct_asian stay negative at p &lt; 0.001, so housing composition accounts for part of the gap and not for all of it.</w:t>
      </w:r>
    </w:p>
    <w:p w14:paraId="3EBBE986" w14:textId="77777777" w:rsidR="00F121D0" w:rsidRDefault="00A51986" w:rsidP="00F121D0">
      <w:pPr>
        <w:keepNext/>
        <w:jc w:val="center"/>
      </w:pPr>
      <w:commentRangeStart w:id="22"/>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5"/>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465D57">
        <w:rPr>
          <w:rStyle w:val="CommentReference"/>
          <w:sz w:val="22"/>
          <w:szCs w:val="22"/>
        </w:rPr>
        <w:commentReference w:id="22"/>
      </w:r>
    </w:p>
    <w:p w14:paraId="49FA7F96" w14:textId="390AF4B7" w:rsidR="00B86A12" w:rsidRDefault="00F121D0" w:rsidP="00F121D0">
      <w:pPr>
        <w:pStyle w:val="Caption"/>
        <w:jc w:val="center"/>
      </w:pPr>
      <w:bookmarkStart w:id="23" w:name="_Ref_fig6"/>
      <w:r>
        <w:t xml:space="preserve">Figure </w:t>
      </w:r>
      <w:r>
        <w:fldChar w:fldCharType="begin"/>
      </w:r>
      <w:r>
        <w:instrText xml:space="preserve"> SEQ Figure \* ARABIC </w:instrText>
      </w:r>
      <w:r>
        <w:fldChar w:fldCharType="separate"/>
      </w:r>
      <w:r w:rsidR="008A7C5A">
        <w:rPr>
          <w:noProof/>
        </w:rPr>
        <w:t>6</w:t>
      </w:r>
      <w:r>
        <w:rPr>
          <w:noProof/>
        </w:rPr>
        <w:fldChar w:fldCharType="end"/>
      </w:r>
      <w:bookmarkEnd w:id="23"/>
      <w:r>
        <w:t>: Standardized robustness summary for y_pv. This is the closest existing exported figure to a coefficient-stability view of the rooftop PV results across the model ladder.</w:t>
      </w:r>
    </w:p>
    <w:p w14:paraId="29FD8964" w14:textId="77777777" w:rsidR="00B86A12" w:rsidRDefault="00000000">
      <w:pPr>
        <w:pStyle w:val="Heading2"/>
        <w:numPr>
          <w:ilvl w:val="1"/>
          <w:numId w:val="11"/>
        </w:numPr>
      </w:pPr>
      <w:bookmarkStart w:id="24" w:name="_Ref_sec_r_storage"/>
      <w:r>
        <w:t>Storage: the strongest and most consistent inequities</w:t>
      </w:r>
      <w:bookmarkEnd w:id="24"/>
    </w:p>
    <w:p w14:paraId="7E8C8A61"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fldChar w:fldCharType="begin"/>
      </w:r>
      <w:r>
        <w:instrText xml:space="preserve"> REF _Ref_tbl3 \h </w:instrText>
      </w:r>
      <w:r>
        <w:fldChar w:fldCharType="separate"/>
      </w:r>
      <w:r>
        <w:t>Table 3</w:t>
      </w:r>
      <w:r>
        <w:fldChar w:fldCharType="end"/>
      </w:r>
      <w:r>
        <w:t xml:space="preserve">) </w:t>
      </w:r>
      <w:r w:rsidRPr="3DC018EE">
        <w:rPr>
          <w:rFonts w:ascii="Courier New" w:hAnsi="Courier New" w:cs="Courier New"/>
          <w:sz w:val="18"/>
          <w:szCs w:val="18"/>
        </w:rPr>
        <w:t>log_median_household_income</w:t>
      </w:r>
      <w:r w:rsidRPr="3DC018EE">
        <w:rPr>
          <w:sz w:val="18"/>
          <w:szCs w:val="18"/>
        </w:rPr>
        <w:t xml:space="preserve"> </w:t>
      </w:r>
      <w:r>
        <w:t xml:space="preserve">is strongly positive, while </w:t>
      </w:r>
      <w:r w:rsidRPr="3DC018EE">
        <w:rPr>
          <w:rFonts w:ascii="Courier New" w:hAnsi="Courier New" w:cs="Courier New"/>
          <w:sz w:val="18"/>
          <w:szCs w:val="18"/>
        </w:rPr>
        <w:t>pct_black</w:t>
      </w:r>
      <w:r>
        <w:t xml:space="preserve">, </w:t>
      </w:r>
      <w:r w:rsidRPr="3DC018EE">
        <w:rPr>
          <w:rFonts w:ascii="Courier New" w:hAnsi="Courier New" w:cs="Courier New"/>
          <w:sz w:val="18"/>
          <w:szCs w:val="18"/>
        </w:rPr>
        <w:t>pct_hispanic</w:t>
      </w:r>
      <w:r>
        <w:t xml:space="preserve">, and </w:t>
      </w:r>
      <w:r w:rsidRPr="3DC018EE">
        <w:rPr>
          <w:rFonts w:ascii="Courier New" w:hAnsi="Courier New" w:cs="Courier New"/>
          <w:sz w:val="18"/>
          <w:szCs w:val="18"/>
        </w:rPr>
        <w:t>pct_asian</w:t>
      </w:r>
      <w:r w:rsidRPr="3DC018EE">
        <w:rPr>
          <w:sz w:val="18"/>
          <w:szCs w:val="18"/>
        </w:rPr>
        <w:t xml:space="preserve"> </w:t>
      </w:r>
      <w:r>
        <w:t xml:space="preserve">are all negative. Compared with the PV results in Section </w:t>
      </w:r>
      <w:r>
        <w:fldChar w:fldCharType="begin"/>
      </w:r>
      <w:r>
        <w:instrText xml:space="preserve"> REF _Ref_sec_r_pv \r \h </w:instrText>
      </w:r>
      <w:r>
        <w:fldChar w:fldCharType="separate"/>
      </w:r>
      <w:r>
        <w:t>4.2</w:t>
      </w:r>
      <w:r>
        <w:fldChar w:fldCharType="end"/>
      </w:r>
      <w:r>
        <w:t>, the storage coefficients are larger in magnitude and remain negative across nearly every robustness check examined.</w:t>
      </w:r>
    </w:p>
    <w:p w14:paraId="70A5AF42" w14:textId="77777777"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1F417921" w14:textId="77777777" w:rsidR="00B86A12" w:rsidRDefault="00306FC0">
      <w:r>
        <w:t xml:space="preserve">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w:t>
      </w:r>
      <w:r>
        <w:lastRenderedPageBreak/>
        <w:t>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14:paraId="2DD0AE19" w14:textId="77777777" w:rsidR="00F121D0" w:rsidRDefault="00F121D0" w:rsidP="00F121D0">
      <w:pPr>
        <w:pStyle w:val="Caption"/>
        <w:keepNext/>
      </w:pPr>
      <w:bookmarkStart w:id="25" w:name="_Ref_tbl4"/>
      <w:r>
        <w:t xml:space="preserve">Table </w:t>
      </w:r>
      <w:r>
        <w:fldChar w:fldCharType="begin"/>
      </w:r>
      <w:r>
        <w:instrText xml:space="preserve"> SEQ Table \* ARABIC </w:instrText>
      </w:r>
      <w:r>
        <w:fldChar w:fldCharType="separate"/>
      </w:r>
      <w:r>
        <w:t>4</w:t>
      </w:r>
      <w:r>
        <w:fldChar w:fldCharType="end"/>
      </w:r>
      <w:bookmarkEnd w:id="25"/>
      <w:r>
        <w:t>: Storage Model 9 PV-control robustness.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10"/>
        <w:gridCol w:w="2438"/>
        <w:gridCol w:w="2415"/>
        <w:gridCol w:w="2407"/>
      </w:tblGrid>
      <w:tr w:rsidR="00B86A12" w14:paraId="4574D2BC" w14:textId="77777777">
        <w:trPr>
          <w:tblHeader/>
        </w:trPr>
        <w:tc>
          <w:tcPr>
            <w:tcW w:w="2520" w:type="dxa"/>
            <w:tcBorders>
              <w:bottom w:val="single" w:sz="6" w:space="0" w:color="auto"/>
            </w:tcBorders>
            <w:shd w:val="clear" w:color="auto" w:fill="F2EFE7"/>
          </w:tcPr>
          <w:p w14:paraId="39B3B705" w14:textId="77777777" w:rsidR="00E74C8C" w:rsidRDefault="00000000">
            <w:r>
              <w:rPr>
                <w:b/>
                <w:bCs/>
              </w:rPr>
              <w:t>Predictor</w:t>
            </w:r>
          </w:p>
        </w:tc>
        <w:tc>
          <w:tcPr>
            <w:tcW w:w="2520" w:type="dxa"/>
            <w:tcBorders>
              <w:bottom w:val="single" w:sz="6" w:space="0" w:color="auto"/>
            </w:tcBorders>
            <w:shd w:val="clear" w:color="auto" w:fill="F2EFE7"/>
          </w:tcPr>
          <w:p w14:paraId="3E810EA9" w14:textId="77777777" w:rsidR="00E74C8C" w:rsidRDefault="00000000">
            <w:r>
              <w:rPr>
                <w:b/>
                <w:bCs/>
              </w:rPr>
              <w:t>Coefficient</w:t>
            </w:r>
          </w:p>
        </w:tc>
        <w:tc>
          <w:tcPr>
            <w:tcW w:w="2520" w:type="dxa"/>
            <w:tcBorders>
              <w:bottom w:val="single" w:sz="6" w:space="0" w:color="auto"/>
            </w:tcBorders>
            <w:shd w:val="clear" w:color="auto" w:fill="F2EFE7"/>
          </w:tcPr>
          <w:p w14:paraId="781C4D0C" w14:textId="77777777" w:rsidR="00E74C8C" w:rsidRDefault="00000000">
            <w:r>
              <w:rPr>
                <w:b/>
                <w:bCs/>
              </w:rPr>
              <w:t>Robust SE</w:t>
            </w:r>
          </w:p>
        </w:tc>
        <w:tc>
          <w:tcPr>
            <w:tcW w:w="2520" w:type="dxa"/>
            <w:tcBorders>
              <w:bottom w:val="single" w:sz="6" w:space="0" w:color="auto"/>
            </w:tcBorders>
            <w:shd w:val="clear" w:color="auto" w:fill="F2EFE7"/>
          </w:tcPr>
          <w:p w14:paraId="70C4B586" w14:textId="77777777" w:rsidR="00E74C8C" w:rsidRDefault="00000000">
            <w:r>
              <w:rPr>
                <w:b/>
                <w:bCs/>
              </w:rPr>
              <w:t>p-value</w:t>
            </w:r>
          </w:p>
        </w:tc>
      </w:tr>
      <w:tr w:rsidR="00B86A12" w14:paraId="5F0DCC87" w14:textId="77777777">
        <w:tc>
          <w:tcPr>
            <w:tcW w:w="2520" w:type="dxa"/>
          </w:tcPr>
          <w:p w14:paraId="2DC55648"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068BD5C9" w14:textId="77777777" w:rsidR="00184A8A" w:rsidRDefault="00000000">
            <w:r>
              <w:t>0.440***</w:t>
            </w:r>
          </w:p>
        </w:tc>
        <w:tc>
          <w:tcPr>
            <w:tcW w:w="2520" w:type="dxa"/>
          </w:tcPr>
          <w:p w14:paraId="3D953A64" w14:textId="77777777" w:rsidR="00184A8A" w:rsidRDefault="00000000">
            <w:r>
              <w:t>0.130</w:t>
            </w:r>
          </w:p>
        </w:tc>
        <w:tc>
          <w:tcPr>
            <w:tcW w:w="2520" w:type="dxa"/>
          </w:tcPr>
          <w:p w14:paraId="20EDD4EA" w14:textId="77777777" w:rsidR="00184A8A" w:rsidRDefault="00000000">
            <w:r>
              <w:t>&lt; 0.001</w:t>
            </w:r>
          </w:p>
        </w:tc>
      </w:tr>
      <w:tr w:rsidR="00B86A12" w14:paraId="0233BCC1" w14:textId="77777777">
        <w:tc>
          <w:tcPr>
            <w:tcW w:w="2520" w:type="dxa"/>
          </w:tcPr>
          <w:p w14:paraId="2F6C47BD"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808D854" w14:textId="77777777" w:rsidR="00184A8A" w:rsidRDefault="00000000">
            <w:r>
              <w:t>-1.343***</w:t>
            </w:r>
          </w:p>
        </w:tc>
        <w:tc>
          <w:tcPr>
            <w:tcW w:w="2520" w:type="dxa"/>
          </w:tcPr>
          <w:p w14:paraId="365FF0F9" w14:textId="77777777" w:rsidR="00184A8A" w:rsidRDefault="00000000">
            <w:r>
              <w:t>0.288</w:t>
            </w:r>
          </w:p>
        </w:tc>
        <w:tc>
          <w:tcPr>
            <w:tcW w:w="2520" w:type="dxa"/>
          </w:tcPr>
          <w:p w14:paraId="19AC4DDC" w14:textId="77777777" w:rsidR="00184A8A" w:rsidRDefault="00000000">
            <w:r>
              <w:t>&lt; 0.001</w:t>
            </w:r>
          </w:p>
        </w:tc>
      </w:tr>
      <w:tr w:rsidR="00B86A12" w14:paraId="1F7DFC77" w14:textId="77777777">
        <w:tc>
          <w:tcPr>
            <w:tcW w:w="2520" w:type="dxa"/>
          </w:tcPr>
          <w:p w14:paraId="15DCE4B3"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563E5D6D" w14:textId="77777777" w:rsidR="00184A8A" w:rsidRDefault="00000000">
            <w:r>
              <w:t>-1.085***</w:t>
            </w:r>
          </w:p>
        </w:tc>
        <w:tc>
          <w:tcPr>
            <w:tcW w:w="2520" w:type="dxa"/>
          </w:tcPr>
          <w:p w14:paraId="31930A7F" w14:textId="77777777" w:rsidR="00184A8A" w:rsidRDefault="00000000">
            <w:r>
              <w:t>0.139</w:t>
            </w:r>
          </w:p>
        </w:tc>
        <w:tc>
          <w:tcPr>
            <w:tcW w:w="2520" w:type="dxa"/>
          </w:tcPr>
          <w:p w14:paraId="71067330" w14:textId="77777777" w:rsidR="00184A8A" w:rsidRDefault="00000000">
            <w:r>
              <w:t>&lt; 0.001</w:t>
            </w:r>
          </w:p>
        </w:tc>
      </w:tr>
      <w:tr w:rsidR="00B86A12" w14:paraId="176AE910" w14:textId="77777777">
        <w:tc>
          <w:tcPr>
            <w:tcW w:w="2520" w:type="dxa"/>
          </w:tcPr>
          <w:p w14:paraId="3F4B16A8"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3EB0F210" w14:textId="77777777" w:rsidR="00184A8A" w:rsidRDefault="00000000">
            <w:r>
              <w:t>-1.287***</w:t>
            </w:r>
          </w:p>
        </w:tc>
        <w:tc>
          <w:tcPr>
            <w:tcW w:w="2520" w:type="dxa"/>
          </w:tcPr>
          <w:p w14:paraId="25433125" w14:textId="77777777" w:rsidR="00184A8A" w:rsidRDefault="00000000">
            <w:r>
              <w:t>0.163</w:t>
            </w:r>
          </w:p>
        </w:tc>
        <w:tc>
          <w:tcPr>
            <w:tcW w:w="2520" w:type="dxa"/>
          </w:tcPr>
          <w:p w14:paraId="1DC13069" w14:textId="77777777" w:rsidR="00184A8A" w:rsidRDefault="00000000">
            <w:r>
              <w:t>&lt; 0.001</w:t>
            </w:r>
          </w:p>
        </w:tc>
      </w:tr>
      <w:tr w:rsidR="00B86A12" w14:paraId="7533174E" w14:textId="77777777">
        <w:tc>
          <w:tcPr>
            <w:tcW w:w="2520" w:type="dxa"/>
          </w:tcPr>
          <w:p w14:paraId="7B7BD82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591FA1F0" w14:textId="77777777" w:rsidR="00184A8A" w:rsidRDefault="00000000">
            <w:r>
              <w:t>-0.491**</w:t>
            </w:r>
          </w:p>
        </w:tc>
        <w:tc>
          <w:tcPr>
            <w:tcW w:w="2520" w:type="dxa"/>
          </w:tcPr>
          <w:p w14:paraId="2D944B55" w14:textId="77777777" w:rsidR="00184A8A" w:rsidRDefault="00000000">
            <w:r>
              <w:t>0.220</w:t>
            </w:r>
          </w:p>
        </w:tc>
        <w:tc>
          <w:tcPr>
            <w:tcW w:w="2520" w:type="dxa"/>
          </w:tcPr>
          <w:p w14:paraId="2D1AB8DF" w14:textId="77777777" w:rsidR="00184A8A" w:rsidRDefault="00000000">
            <w:r>
              <w:t>0.026</w:t>
            </w:r>
          </w:p>
        </w:tc>
      </w:tr>
      <w:tr w:rsidR="00B86A12" w14:paraId="6F7A6BBF" w14:textId="77777777">
        <w:tc>
          <w:tcPr>
            <w:tcW w:w="2520" w:type="dxa"/>
          </w:tcPr>
          <w:p w14:paraId="4411F270"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F8E8A20" w14:textId="77777777" w:rsidR="00184A8A" w:rsidRDefault="00000000">
            <w:r>
              <w:t>0.952***</w:t>
            </w:r>
          </w:p>
        </w:tc>
        <w:tc>
          <w:tcPr>
            <w:tcW w:w="2520" w:type="dxa"/>
          </w:tcPr>
          <w:p w14:paraId="1A55ECDB" w14:textId="77777777" w:rsidR="00184A8A" w:rsidRDefault="00000000">
            <w:r>
              <w:t>0.170</w:t>
            </w:r>
          </w:p>
        </w:tc>
        <w:tc>
          <w:tcPr>
            <w:tcW w:w="2520" w:type="dxa"/>
          </w:tcPr>
          <w:p w14:paraId="6D6C515E" w14:textId="77777777" w:rsidR="00184A8A" w:rsidRDefault="00000000">
            <w:r>
              <w:t>&lt; 0.001</w:t>
            </w:r>
          </w:p>
        </w:tc>
      </w:tr>
    </w:tbl>
    <w:p w14:paraId="46846E1B" w14:textId="77777777" w:rsidR="00B86A12" w:rsidRDefault="00B86A12"/>
    <w:p w14:paraId="6180D50D" w14:textId="77777777" w:rsidR="00B86A12" w:rsidRDefault="00000000">
      <w:r>
        <w:t xml:space="preserve">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 As above, spatial-robust standard errors for this specification are reported in </w:t>
      </w:r>
      <w:r>
        <w:fldChar w:fldCharType="begin"/>
      </w:r>
      <w:r>
        <w:instrText xml:space="preserve"> REF _Ref_tbl_conley \h </w:instrText>
      </w:r>
      <w:r>
        <w:fldChar w:fldCharType="separate"/>
      </w:r>
      <w:r>
        <w:t>Table 9</w:t>
      </w:r>
      <w:r>
        <w:fldChar w:fldCharType="end"/>
      </w:r>
      <w:r>
        <w:t>.</w:t>
      </w:r>
    </w:p>
    <w:p w14:paraId="267A4C5C"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6"/>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3CD029D5" w14:textId="5ACED3CF" w:rsidR="00B86A12" w:rsidRDefault="00F121D0" w:rsidP="00F121D0">
      <w:pPr>
        <w:pStyle w:val="Caption"/>
        <w:jc w:val="center"/>
      </w:pPr>
      <w:bookmarkStart w:id="26" w:name="_Ref_fig7"/>
      <w:r>
        <w:t xml:space="preserve">Figure </w:t>
      </w:r>
      <w:r w:rsidRPr="3DC018EE">
        <w:fldChar w:fldCharType="begin"/>
      </w:r>
      <w:r>
        <w:instrText xml:space="preserve"> SEQ Figure \* ARABIC </w:instrText>
      </w:r>
      <w:r w:rsidRPr="3DC018EE">
        <w:fldChar w:fldCharType="separate"/>
      </w:r>
      <w:r w:rsidR="008A7C5A">
        <w:rPr>
          <w:noProof/>
        </w:rPr>
        <w:t>7</w:t>
      </w:r>
      <w:r w:rsidRPr="3DC018EE">
        <w:rPr>
          <w:noProof/>
        </w:rPr>
        <w:fldChar w:fldCharType="end"/>
      </w:r>
      <w:bookmarkEnd w:id="26"/>
      <w:r>
        <w:t xml:space="preserve">: Standardized robustness summary for </w:t>
      </w:r>
      <w:r w:rsidRPr="3DC018EE">
        <w:rPr>
          <w:rFonts w:ascii="Courier New" w:hAnsi="Courier New" w:cs="Courier New"/>
        </w:rPr>
        <w:t>y_storage.</w:t>
      </w:r>
      <w:r>
        <w:t xml:space="preserve"> Read together with </w:t>
      </w:r>
      <w:r>
        <w:fldChar w:fldCharType="begin"/>
      </w:r>
      <w:r>
        <w:instrText xml:space="preserve"> REF _Ref_fig6 \h </w:instrText>
      </w:r>
      <w:r>
        <w:fldChar w:fldCharType="separate"/>
      </w:r>
      <w:r>
        <w:t>Figure 6</w:t>
      </w:r>
      <w:r>
        <w:fldChar w:fldCharType="end"/>
      </w:r>
      <w:r>
        <w:t xml:space="preserve"> and </w:t>
      </w:r>
      <w:r>
        <w:fldChar w:fldCharType="begin"/>
      </w:r>
      <w:r>
        <w:instrText xml:space="preserve"> REF _Ref_tbl4 \h </w:instrText>
      </w:r>
      <w:r>
        <w:fldChar w:fldCharType="separate"/>
      </w:r>
      <w:r>
        <w:t>Table 4</w:t>
      </w:r>
      <w:r>
        <w:fldChar w:fldCharType="end"/>
      </w:r>
      <w:r>
        <w:t>, this figure highlights that the storage coefficients are generally larger and more persistent than the PV coefficients.</w:t>
      </w:r>
    </w:p>
    <w:p w14:paraId="18E1A400" w14:textId="77777777" w:rsidR="00B86A12" w:rsidRDefault="00000000">
      <w:pPr>
        <w:pStyle w:val="Heading2"/>
        <w:numPr>
          <w:ilvl w:val="1"/>
          <w:numId w:val="11"/>
        </w:numPr>
      </w:pPr>
      <w:bookmarkStart w:id="27" w:name="_Ref_sec_r_chargers"/>
      <w:r>
        <w:t>EV charging: aggregate disparities mask charger-type composition</w:t>
      </w:r>
      <w:bookmarkEnd w:id="27"/>
    </w:p>
    <w:p w14:paraId="235D62C0" w14:textId="77777777" w:rsidR="00B86A12" w:rsidRDefault="00000000">
      <w:r>
        <w:t xml:space="preserve">The EV charging results are more complex than the PV and storage findings in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As shown in </w:t>
      </w:r>
      <w:r>
        <w:fldChar w:fldCharType="begin"/>
      </w:r>
      <w:r>
        <w:instrText xml:space="preserve"> REF _Ref_fig8 \h </w:instrText>
      </w:r>
      <w:r>
        <w:fldChar w:fldCharType="separate"/>
      </w:r>
      <w:r>
        <w:t>Figure 8</w:t>
      </w:r>
      <w:r>
        <w:fldChar w:fldCharType="end"/>
      </w:r>
      <w:r>
        <w:t xml:space="preserve">, the refreshed aggregate charger baseline in </w:t>
      </w:r>
      <w:r>
        <w:fldChar w:fldCharType="begin"/>
      </w:r>
      <w:r>
        <w:instrText xml:space="preserve"> REF _Ref_tbl3 \h </w:instrText>
      </w:r>
      <w:r>
        <w:fldChar w:fldCharType="separate"/>
      </w:r>
      <w:r>
        <w:t>Table 3</w:t>
      </w:r>
      <w:r>
        <w:fldChar w:fldCharType="end"/>
      </w:r>
      <w:r>
        <w:t xml:space="preserve"> has a positive but not conventionally significant income coefficient, a near-zero Black-share coefficient, a negative Hispanic-share coefficient, and a positive Asian-share coefficient. At the same time, </w:t>
      </w:r>
      <w:r w:rsidRPr="3DC018EE">
        <w:rPr>
          <w:rFonts w:ascii="Courier New" w:hAnsi="Courier New" w:cs="Courier New"/>
          <w:sz w:val="18"/>
          <w:szCs w:val="18"/>
        </w:rPr>
        <w:t>poverty_rate</w:t>
      </w:r>
      <w:r w:rsidRPr="3DC018EE">
        <w:rPr>
          <w:sz w:val="18"/>
          <w:szCs w:val="18"/>
        </w:rPr>
        <w:t xml:space="preserve"> </w:t>
      </w:r>
      <w:r>
        <w:t>is strongly positive. That positive poverty coefficient persists across several robustness checks, including county-clustered, infrastructure-control, and demand-proxy models.</w:t>
      </w:r>
    </w:p>
    <w:p w14:paraId="50A235EB"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(0.027, p = 0.202).</w:t>
      </w:r>
    </w:p>
    <w:p w14:paraId="79FB4DDC" w14:textId="77777777" w:rsidR="00B86A12" w:rsidRDefault="00000000">
      <w:r>
        <w:lastRenderedPageBreak/>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38E6FACA" w14:textId="77777777" w:rsidR="00F121D0" w:rsidRDefault="00A51986" w:rsidP="00F121D0">
      <w:pPr>
        <w:keepNext/>
        <w:jc w:val="center"/>
      </w:pPr>
      <w:r>
        <w:rPr>
          <w:noProof/>
        </w:rPr>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7"/>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102FF99E" w14:textId="5A8232E4" w:rsidR="00B86A12" w:rsidRDefault="00F121D0" w:rsidP="00F121D0">
      <w:pPr>
        <w:pStyle w:val="Caption"/>
        <w:jc w:val="center"/>
      </w:pPr>
      <w:bookmarkStart w:id="28" w:name="_Ref_fig8"/>
      <w:r>
        <w:t xml:space="preserve">Figure </w:t>
      </w:r>
      <w:r>
        <w:fldChar w:fldCharType="begin"/>
      </w:r>
      <w:r>
        <w:instrText xml:space="preserve"> SEQ Figure \* ARABIC </w:instrText>
      </w:r>
      <w:r>
        <w:fldChar w:fldCharType="separate"/>
      </w:r>
      <w:r w:rsidR="008A7C5A">
        <w:rPr>
          <w:noProof/>
        </w:rPr>
        <w:t>8</w:t>
      </w:r>
      <w:r>
        <w:rPr>
          <w:noProof/>
        </w:rPr>
        <w:fldChar w:fldCharType="end"/>
      </w:r>
      <w:bookmarkEnd w:id="28"/>
      <w:r>
        <w:t>: Standardized robustness summary for aggregate y_chargers. This figure shows how the aggregate EV charging result behaves across specifications, but it does not by itself separate Level 1, Level 2, and DC fast charging.</w:t>
      </w:r>
    </w:p>
    <w:p w14:paraId="1B87DAE6"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8"/>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5E55B62" w14:textId="47709733" w:rsidR="00B86A12" w:rsidRDefault="00B140D9" w:rsidP="00B140D9">
      <w:pPr>
        <w:pStyle w:val="Caption"/>
        <w:jc w:val="center"/>
      </w:pPr>
      <w:bookmarkStart w:id="29" w:name="_Ref_fig9"/>
      <w:r>
        <w:t xml:space="preserve">Figure </w:t>
      </w:r>
      <w:r>
        <w:fldChar w:fldCharType="begin"/>
      </w:r>
      <w:r>
        <w:instrText xml:space="preserve"> SEQ Figure \* ARABIC </w:instrText>
      </w:r>
      <w:r>
        <w:fldChar w:fldCharType="separate"/>
      </w:r>
      <w:r w:rsidR="008A7C5A">
        <w:rPr>
          <w:noProof/>
        </w:rPr>
        <w:t>9</w:t>
      </w:r>
      <w:r>
        <w:rPr>
          <w:noProof/>
        </w:rPr>
        <w:fldChar w:fldCharType="end"/>
      </w:r>
      <w:bookmarkEnd w:id="29"/>
      <w:r>
        <w:t>: Baseline standardized coefficient comparison across aggregate charging, Level 1, Level 2, and DC fast. This figure shows the positive aggregate association with poverty rate is not present for Level 1 charging and is driven primarily by Level 2 charging.</w:t>
      </w:r>
    </w:p>
    <w:p w14:paraId="0AEF906D" w14:textId="77777777" w:rsidR="00B140D9" w:rsidRDefault="00B140D9" w:rsidP="00B140D9">
      <w:pPr>
        <w:pStyle w:val="Caption"/>
        <w:keepNext/>
      </w:pPr>
      <w:bookmarkStart w:id="30" w:name="_Ref_tbl5"/>
      <w:r>
        <w:t xml:space="preserve">Table </w:t>
      </w:r>
      <w:r>
        <w:fldChar w:fldCharType="begin"/>
      </w:r>
      <w:r>
        <w:instrText xml:space="preserve"> SEQ Table \* ARABIC </w:instrText>
      </w:r>
      <w:r>
        <w:fldChar w:fldCharType="separate"/>
      </w:r>
      <w:r>
        <w:t>5</w:t>
      </w:r>
      <w:r>
        <w:fldChar w:fldCharType="end"/>
      </w:r>
      <w:bookmarkEnd w:id="30"/>
      <w:r>
        <w:t>: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73"/>
        <w:gridCol w:w="1698"/>
        <w:gridCol w:w="1748"/>
        <w:gridCol w:w="1718"/>
      </w:tblGrid>
      <w:tr w:rsidR="00B86A12" w14:paraId="361D6AC1" w14:textId="77777777">
        <w:trPr>
          <w:tblHeader/>
        </w:trPr>
        <w:tc>
          <w:tcPr>
            <w:tcW w:w="2016" w:type="dxa"/>
            <w:tcBorders>
              <w:bottom w:val="single" w:sz="6" w:space="0" w:color="auto"/>
            </w:tcBorders>
            <w:shd w:val="clear" w:color="auto" w:fill="F2EFE7"/>
          </w:tcPr>
          <w:p w14:paraId="23846690"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295F684C" w14:textId="77777777" w:rsidR="00E74C8C" w:rsidRDefault="00000000">
            <w:r>
              <w:rPr>
                <w:b/>
                <w:bCs/>
              </w:rPr>
              <w:t>Aggregate</w:t>
            </w:r>
          </w:p>
        </w:tc>
        <w:tc>
          <w:tcPr>
            <w:tcW w:w="2016" w:type="dxa"/>
            <w:tcBorders>
              <w:bottom w:val="single" w:sz="6" w:space="0" w:color="auto"/>
            </w:tcBorders>
            <w:shd w:val="clear" w:color="auto" w:fill="F2EFE7"/>
          </w:tcPr>
          <w:p w14:paraId="4C30F81C" w14:textId="77777777" w:rsidR="00E74C8C" w:rsidRDefault="00000000">
            <w:r>
              <w:rPr>
                <w:b/>
                <w:bCs/>
              </w:rPr>
              <w:t>Level 1</w:t>
            </w:r>
          </w:p>
        </w:tc>
        <w:tc>
          <w:tcPr>
            <w:tcW w:w="2016" w:type="dxa"/>
            <w:tcBorders>
              <w:bottom w:val="single" w:sz="6" w:space="0" w:color="auto"/>
            </w:tcBorders>
            <w:shd w:val="clear" w:color="auto" w:fill="F2EFE7"/>
          </w:tcPr>
          <w:p w14:paraId="0DAB3579" w14:textId="77777777" w:rsidR="00E74C8C" w:rsidRDefault="00000000">
            <w:r>
              <w:rPr>
                <w:b/>
                <w:bCs/>
              </w:rPr>
              <w:t>Level 2</w:t>
            </w:r>
          </w:p>
        </w:tc>
        <w:tc>
          <w:tcPr>
            <w:tcW w:w="2016" w:type="dxa"/>
            <w:tcBorders>
              <w:bottom w:val="single" w:sz="6" w:space="0" w:color="auto"/>
            </w:tcBorders>
            <w:shd w:val="clear" w:color="auto" w:fill="F2EFE7"/>
          </w:tcPr>
          <w:p w14:paraId="7C2F1AA0" w14:textId="77777777" w:rsidR="00E74C8C" w:rsidRDefault="00000000">
            <w:r>
              <w:rPr>
                <w:b/>
                <w:bCs/>
              </w:rPr>
              <w:t>DC Fast</w:t>
            </w:r>
          </w:p>
        </w:tc>
      </w:tr>
      <w:tr w:rsidR="00B86A12" w14:paraId="69ED8318" w14:textId="77777777">
        <w:tc>
          <w:tcPr>
            <w:tcW w:w="2016" w:type="dxa"/>
          </w:tcPr>
          <w:p w14:paraId="219546E8"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76CDEF1F" w14:textId="77777777" w:rsidR="00184A8A" w:rsidRDefault="00000000">
            <w:r>
              <w:t>0.164* (0.098)</w:t>
            </w:r>
          </w:p>
        </w:tc>
        <w:tc>
          <w:tcPr>
            <w:tcW w:w="2016" w:type="dxa"/>
          </w:tcPr>
          <w:p w14:paraId="555B64FB" w14:textId="77777777" w:rsidR="00184A8A" w:rsidRDefault="00000000">
            <w:r>
              <w:t>-0.010 (0.011)</w:t>
            </w:r>
          </w:p>
        </w:tc>
        <w:tc>
          <w:tcPr>
            <w:tcW w:w="2016" w:type="dxa"/>
          </w:tcPr>
          <w:p w14:paraId="2E3DE09A" w14:textId="77777777" w:rsidR="00184A8A" w:rsidRDefault="00000000">
            <w:r>
              <w:t>0.203** (0.088)</w:t>
            </w:r>
          </w:p>
        </w:tc>
        <w:tc>
          <w:tcPr>
            <w:tcW w:w="2016" w:type="dxa"/>
          </w:tcPr>
          <w:p w14:paraId="16DE519C" w14:textId="77777777" w:rsidR="00184A8A" w:rsidRDefault="00000000">
            <w:r>
              <w:t>0.045 (0.056)</w:t>
            </w:r>
          </w:p>
        </w:tc>
      </w:tr>
      <w:tr w:rsidR="00B86A12" w14:paraId="5DCD08F9" w14:textId="77777777">
        <w:tc>
          <w:tcPr>
            <w:tcW w:w="2016" w:type="dxa"/>
          </w:tcPr>
          <w:p w14:paraId="57CB1D1D"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2628C2DE" w14:textId="77777777" w:rsidR="00184A8A" w:rsidRDefault="00000000">
            <w:r>
              <w:t>-0.007 (0.343)</w:t>
            </w:r>
          </w:p>
        </w:tc>
        <w:tc>
          <w:tcPr>
            <w:tcW w:w="2016" w:type="dxa"/>
          </w:tcPr>
          <w:p w14:paraId="04C8969E" w14:textId="77777777" w:rsidR="00184A8A" w:rsidRDefault="00000000">
            <w:r>
              <w:t>-0.004 (0.018)</w:t>
            </w:r>
          </w:p>
        </w:tc>
        <w:tc>
          <w:tcPr>
            <w:tcW w:w="2016" w:type="dxa"/>
          </w:tcPr>
          <w:p w14:paraId="1E46E851" w14:textId="77777777" w:rsidR="00184A8A" w:rsidRDefault="00000000">
            <w:r>
              <w:t>0.089 (0.323)</w:t>
            </w:r>
          </w:p>
        </w:tc>
        <w:tc>
          <w:tcPr>
            <w:tcW w:w="2016" w:type="dxa"/>
          </w:tcPr>
          <w:p w14:paraId="214B38C1" w14:textId="77777777" w:rsidR="00184A8A" w:rsidRDefault="00000000">
            <w:r>
              <w:t>-0.148 (0.155)</w:t>
            </w:r>
          </w:p>
        </w:tc>
      </w:tr>
      <w:tr w:rsidR="00B86A12" w14:paraId="5E45E9B2" w14:textId="77777777">
        <w:tc>
          <w:tcPr>
            <w:tcW w:w="2016" w:type="dxa"/>
          </w:tcPr>
          <w:p w14:paraId="1DDE0F87"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6B066410" w14:textId="77777777" w:rsidR="00184A8A" w:rsidRDefault="00000000">
            <w:r>
              <w:t>-0.399*** (0.105)</w:t>
            </w:r>
          </w:p>
        </w:tc>
        <w:tc>
          <w:tcPr>
            <w:tcW w:w="2016" w:type="dxa"/>
          </w:tcPr>
          <w:p w14:paraId="6F39B897" w14:textId="77777777" w:rsidR="00184A8A" w:rsidRDefault="00000000">
            <w:r>
              <w:t>-0.018 (0.012)</w:t>
            </w:r>
          </w:p>
        </w:tc>
        <w:tc>
          <w:tcPr>
            <w:tcW w:w="2016" w:type="dxa"/>
          </w:tcPr>
          <w:p w14:paraId="146B5F96" w14:textId="77777777" w:rsidR="00184A8A" w:rsidRDefault="00000000">
            <w:r>
              <w:t>-0.478*** (0.089)</w:t>
            </w:r>
          </w:p>
        </w:tc>
        <w:tc>
          <w:tcPr>
            <w:tcW w:w="2016" w:type="dxa"/>
          </w:tcPr>
          <w:p w14:paraId="763EB22A" w14:textId="77777777" w:rsidR="00184A8A" w:rsidRDefault="00000000">
            <w:r>
              <w:t>0.013 (0.070)</w:t>
            </w:r>
          </w:p>
        </w:tc>
      </w:tr>
      <w:tr w:rsidR="00B86A12" w14:paraId="4AAC0885" w14:textId="77777777">
        <w:tc>
          <w:tcPr>
            <w:tcW w:w="2016" w:type="dxa"/>
          </w:tcPr>
          <w:p w14:paraId="3B2335D8"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50D573B0" w14:textId="77777777" w:rsidR="00184A8A" w:rsidRDefault="00000000">
            <w:r>
              <w:t>0.410*** (0.146)</w:t>
            </w:r>
          </w:p>
        </w:tc>
        <w:tc>
          <w:tcPr>
            <w:tcW w:w="2016" w:type="dxa"/>
          </w:tcPr>
          <w:p w14:paraId="27C40713" w14:textId="77777777" w:rsidR="00184A8A" w:rsidRDefault="00000000">
            <w:r>
              <w:t>0.006 (0.006)</w:t>
            </w:r>
          </w:p>
        </w:tc>
        <w:tc>
          <w:tcPr>
            <w:tcW w:w="2016" w:type="dxa"/>
          </w:tcPr>
          <w:p w14:paraId="2650191A" w14:textId="77777777" w:rsidR="00184A8A" w:rsidRDefault="00000000">
            <w:r>
              <w:t>0.341** (0.141)</w:t>
            </w:r>
          </w:p>
        </w:tc>
        <w:tc>
          <w:tcPr>
            <w:tcW w:w="2016" w:type="dxa"/>
          </w:tcPr>
          <w:p w14:paraId="69DFD2EF" w14:textId="77777777" w:rsidR="00184A8A" w:rsidRDefault="00000000">
            <w:r>
              <w:t>0.135** (0.068)</w:t>
            </w:r>
          </w:p>
        </w:tc>
      </w:tr>
      <w:tr w:rsidR="00B86A12" w14:paraId="187B5FAC" w14:textId="77777777">
        <w:tc>
          <w:tcPr>
            <w:tcW w:w="2016" w:type="dxa"/>
          </w:tcPr>
          <w:p w14:paraId="44CFAD29"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6E32C560" w14:textId="77777777" w:rsidR="00184A8A" w:rsidRDefault="00000000">
            <w:r>
              <w:t>2.003*** (0.497)</w:t>
            </w:r>
          </w:p>
        </w:tc>
        <w:tc>
          <w:tcPr>
            <w:tcW w:w="2016" w:type="dxa"/>
          </w:tcPr>
          <w:p w14:paraId="2CCAD8A8" w14:textId="77777777" w:rsidR="00184A8A" w:rsidRDefault="00000000">
            <w:r>
              <w:t>0.030 (0.056)</w:t>
            </w:r>
          </w:p>
        </w:tc>
        <w:tc>
          <w:tcPr>
            <w:tcW w:w="2016" w:type="dxa"/>
          </w:tcPr>
          <w:p w14:paraId="7CE66458" w14:textId="77777777" w:rsidR="00184A8A" w:rsidRDefault="00000000">
            <w:r>
              <w:t>2.242*** (0.444)</w:t>
            </w:r>
          </w:p>
        </w:tc>
        <w:tc>
          <w:tcPr>
            <w:tcW w:w="2016" w:type="dxa"/>
          </w:tcPr>
          <w:p w14:paraId="2DA47077" w14:textId="77777777" w:rsidR="00184A8A" w:rsidRDefault="00000000">
            <w:r>
              <w:t>0.364 (0.285)</w:t>
            </w:r>
          </w:p>
        </w:tc>
      </w:tr>
      <w:tr w:rsidR="00B86A12" w14:paraId="621DFDBD" w14:textId="77777777">
        <w:tc>
          <w:tcPr>
            <w:tcW w:w="2016" w:type="dxa"/>
          </w:tcPr>
          <w:p w14:paraId="5012062D" w14:textId="77777777" w:rsidR="00184A8A" w:rsidRDefault="00000000">
            <w:r>
              <w:t>N</w:t>
            </w:r>
          </w:p>
        </w:tc>
        <w:tc>
          <w:tcPr>
            <w:tcW w:w="2016" w:type="dxa"/>
          </w:tcPr>
          <w:p w14:paraId="5E83CB21" w14:textId="77777777" w:rsidR="00184A8A" w:rsidRDefault="00000000">
            <w:r>
              <w:t>1,390</w:t>
            </w:r>
          </w:p>
        </w:tc>
        <w:tc>
          <w:tcPr>
            <w:tcW w:w="2016" w:type="dxa"/>
          </w:tcPr>
          <w:p w14:paraId="0114A894" w14:textId="77777777" w:rsidR="00184A8A" w:rsidRDefault="00000000">
            <w:r>
              <w:t>1,390</w:t>
            </w:r>
          </w:p>
        </w:tc>
        <w:tc>
          <w:tcPr>
            <w:tcW w:w="2016" w:type="dxa"/>
          </w:tcPr>
          <w:p w14:paraId="1093E559" w14:textId="77777777" w:rsidR="00184A8A" w:rsidRDefault="00000000">
            <w:r>
              <w:t>1,390</w:t>
            </w:r>
          </w:p>
        </w:tc>
        <w:tc>
          <w:tcPr>
            <w:tcW w:w="2016" w:type="dxa"/>
          </w:tcPr>
          <w:p w14:paraId="14D247ED" w14:textId="77777777" w:rsidR="00184A8A" w:rsidRDefault="00000000">
            <w:r>
              <w:t>1,390</w:t>
            </w:r>
          </w:p>
        </w:tc>
      </w:tr>
      <w:tr w:rsidR="00B86A12" w14:paraId="1DCDBA53" w14:textId="77777777">
        <w:tc>
          <w:tcPr>
            <w:tcW w:w="2016" w:type="dxa"/>
          </w:tcPr>
          <w:p w14:paraId="339C2B6B" w14:textId="77777777" w:rsidR="00184A8A" w:rsidRDefault="00000000">
            <w:r>
              <w:t>R²</w:t>
            </w:r>
          </w:p>
        </w:tc>
        <w:tc>
          <w:tcPr>
            <w:tcW w:w="2016" w:type="dxa"/>
          </w:tcPr>
          <w:p w14:paraId="093A6B63" w14:textId="77777777" w:rsidR="00184A8A" w:rsidRDefault="00000000">
            <w:r>
              <w:t>0.079</w:t>
            </w:r>
          </w:p>
        </w:tc>
        <w:tc>
          <w:tcPr>
            <w:tcW w:w="2016" w:type="dxa"/>
          </w:tcPr>
          <w:p w14:paraId="21365B55" w14:textId="77777777" w:rsidR="00184A8A" w:rsidRDefault="00000000">
            <w:r>
              <w:t>0.006</w:t>
            </w:r>
          </w:p>
        </w:tc>
        <w:tc>
          <w:tcPr>
            <w:tcW w:w="2016" w:type="dxa"/>
          </w:tcPr>
          <w:p w14:paraId="3D5A7F5B" w14:textId="77777777" w:rsidR="00184A8A" w:rsidRDefault="00000000">
            <w:r>
              <w:t>0.117</w:t>
            </w:r>
          </w:p>
        </w:tc>
        <w:tc>
          <w:tcPr>
            <w:tcW w:w="2016" w:type="dxa"/>
          </w:tcPr>
          <w:p w14:paraId="53D497BB" w14:textId="77777777" w:rsidR="00184A8A" w:rsidRDefault="00000000">
            <w:r>
              <w:t>0.012</w:t>
            </w:r>
          </w:p>
        </w:tc>
      </w:tr>
    </w:tbl>
    <w:p w14:paraId="7871D060" w14:textId="77777777" w:rsidR="00B86A12" w:rsidRDefault="00B86A12"/>
    <w:p w14:paraId="4153E4FE" w14:textId="77777777" w:rsidR="00B86A12" w:rsidRDefault="00000000">
      <w:pPr>
        <w:pStyle w:val="Heading2"/>
        <w:numPr>
          <w:ilvl w:val="1"/>
          <w:numId w:val="11"/>
        </w:numPr>
      </w:pPr>
      <w:bookmarkStart w:id="31" w:name="_Ref_sec_r_burden"/>
      <w:r>
        <w:t>Energy burden outcome results</w:t>
      </w:r>
      <w:bookmarkEnd w:id="31"/>
    </w:p>
    <w:p w14:paraId="4A84B053" w14:textId="77777777" w:rsidR="0014040F" w:rsidRDefault="00000000">
      <w:r>
        <w:t xml:space="preserve">The energy-burden outcomes provide affordability context for the DER results. In the matched burden sample, mean </w:t>
      </w:r>
      <w:bookmarkStart w:id="32" w:name="OLE_LINK3"/>
      <w:r w:rsidRPr="3DC018EE">
        <w:rPr>
          <w:rFonts w:ascii="Courier New" w:hAnsi="Courier New" w:cs="Courier New"/>
          <w:sz w:val="18"/>
          <w:szCs w:val="18"/>
        </w:rPr>
        <w:t>energy_burden_pct</w:t>
      </w:r>
      <w:r w:rsidRPr="3DC018EE">
        <w:rPr>
          <w:sz w:val="18"/>
          <w:szCs w:val="18"/>
        </w:rPr>
        <w:t xml:space="preserve"> </w:t>
      </w:r>
      <w:bookmarkEnd w:id="32"/>
      <w:r>
        <w:t xml:space="preserve">is about 2.2% and the interquartile range runs from roughly 1.5% to 2.8%, while </w:t>
      </w:r>
      <w:r w:rsidRPr="3DC018EE">
        <w:rPr>
          <w:rFonts w:ascii="Courier New" w:hAnsi="Courier New" w:cs="Courier New"/>
          <w:sz w:val="18"/>
          <w:szCs w:val="18"/>
        </w:rPr>
        <w:t>energy_burden_pct</w:t>
      </w:r>
      <w:r w:rsidRPr="3DC018EE">
        <w:rPr>
          <w:sz w:val="18"/>
          <w:szCs w:val="18"/>
        </w:rPr>
        <w:t xml:space="preserve"> </w:t>
      </w:r>
      <w:r>
        <w:t xml:space="preserve">is strongly negatively correlated with </w:t>
      </w:r>
      <w:bookmarkStart w:id="33" w:name="OLE_LINK4"/>
      <w:r w:rsidRPr="3DC018EE">
        <w:rPr>
          <w:rFonts w:ascii="Courier New" w:hAnsi="Courier New" w:cs="Courier New"/>
          <w:sz w:val="18"/>
          <w:szCs w:val="18"/>
        </w:rPr>
        <w:t>log_median_household_income</w:t>
      </w:r>
      <w:r w:rsidRPr="3DC018EE">
        <w:rPr>
          <w:sz w:val="18"/>
          <w:szCs w:val="18"/>
        </w:rPr>
        <w:t xml:space="preserve"> </w:t>
      </w:r>
      <w:bookmarkEnd w:id="33"/>
      <w:r>
        <w:t xml:space="preserve">(-0.746) and positively correlated with </w:t>
      </w:r>
      <w:r w:rsidRPr="3DC018EE">
        <w:rPr>
          <w:rFonts w:ascii="Courier New" w:hAnsi="Courier New" w:cs="Courier New"/>
          <w:sz w:val="18"/>
          <w:szCs w:val="18"/>
        </w:rPr>
        <w:t>poverty_rate</w:t>
      </w:r>
      <w:r w:rsidRPr="3DC018EE">
        <w:rPr>
          <w:sz w:val="18"/>
          <w:szCs w:val="18"/>
        </w:rPr>
        <w:t xml:space="preserve"> </w:t>
      </w:r>
      <w:r>
        <w:t xml:space="preserve">(0.545). The burden variables are therefore best read as a related affordability-stress layer rather than as cleanly orthogonal controls. </w:t>
      </w:r>
      <w:r>
        <w:fldChar w:fldCharType="begin"/>
      </w:r>
      <w:r>
        <w:instrText xml:space="preserve"> REF _Ref_newfig99 \h </w:instrText>
      </w:r>
      <w:r>
        <w:fldChar w:fldCharType="separate"/>
      </w:r>
      <w:r>
        <w:t>Figure 10</w:t>
      </w:r>
      <w:r>
        <w:fldChar w:fldCharType="end"/>
      </w:r>
      <w:r>
        <w:t xml:space="preserve"> shows the descriptive gradients linking neighborhood characteristics to both affordability outcomes.</w:t>
      </w:r>
    </w:p>
    <w:p w14:paraId="5F6D4800" w14:textId="77777777" w:rsidR="0014040F" w:rsidRDefault="00000000">
      <w:r>
        <w:t xml:space="preserve">In the baseline model with </w:t>
      </w:r>
      <w:r w:rsidRPr="3DC018EE">
        <w:rPr>
          <w:rFonts w:ascii="Courier New" w:hAnsi="Courier New" w:cs="Courier New"/>
          <w:sz w:val="18"/>
          <w:szCs w:val="18"/>
        </w:rPr>
        <w:t>energy_burden_pct</w:t>
      </w:r>
      <w:r w:rsidRPr="3DC018EE">
        <w:rPr>
          <w:sz w:val="18"/>
          <w:szCs w:val="18"/>
        </w:rPr>
        <w:t xml:space="preserve"> </w:t>
      </w:r>
      <w:r>
        <w:t xml:space="preserve">as the outcome, </w:t>
      </w:r>
      <w:r w:rsidRPr="3DC018EE">
        <w:rPr>
          <w:rFonts w:ascii="Courier New" w:hAnsi="Courier New" w:cs="Courier New"/>
          <w:sz w:val="18"/>
          <w:szCs w:val="18"/>
        </w:rPr>
        <w:t>log_median_household_income</w:t>
      </w:r>
      <w:r w:rsidRPr="3DC018EE">
        <w:rPr>
          <w:sz w:val="18"/>
          <w:szCs w:val="18"/>
        </w:rPr>
        <w:t xml:space="preserve"> </w:t>
      </w:r>
      <w:r>
        <w:t xml:space="preserve">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 </w:t>
      </w:r>
      <w:r>
        <w:fldChar w:fldCharType="begin"/>
      </w:r>
      <w:r>
        <w:instrText xml:space="preserve"> REF _Ref_newfig101 \h </w:instrText>
      </w:r>
      <w:r>
        <w:fldChar w:fldCharType="separate"/>
      </w:r>
      <w:r>
        <w:t>Figure 12</w:t>
      </w:r>
      <w:r>
        <w:fldChar w:fldCharType="end"/>
      </w:r>
      <w:r>
        <w:t xml:space="preserve"> traces these coefficients across the model ladder.</w:t>
      </w:r>
    </w:p>
    <w:p w14:paraId="7E701EC2" w14:textId="77777777" w:rsidR="00184A8A" w:rsidRDefault="3DC018EE">
      <w:r>
        <w:lastRenderedPageBreak/>
        <w:t xml:space="preserve">Model 9A (Section </w:t>
      </w:r>
      <w:r>
        <w:fldChar w:fldCharType="begin"/>
      </w:r>
      <w:r>
        <w:instrText xml:space="preserve"> REF _Ref_sec_model9 \r \h </w:instrText>
      </w:r>
      <w:r>
        <w:fldChar w:fldCharType="separate"/>
      </w:r>
      <w:r>
        <w:t>6.7.9</w:t>
      </w:r>
      <w:r>
        <w:fldChar w:fldCharType="end"/>
      </w:r>
      <w:r>
        <w:t xml:space="preserve">; </w:t>
      </w:r>
      <w:r>
        <w:fldChar w:fldCharType="begin"/>
      </w:r>
      <w:r>
        <w:instrText xml:space="preserve"> REF _Ref_fig_burden_der \h </w:instrText>
      </w:r>
      <w:r>
        <w:fldChar w:fldCharType="separate"/>
      </w:r>
      <w:r>
        <w:t>Figure 11</w:t>
      </w:r>
      <w:r>
        <w:fldChar w:fldCharType="end"/>
      </w:r>
      <w:r>
        <w:t>)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p>
    <w:p w14:paraId="2E58F4DC" w14:textId="77777777" w:rsidR="0014040F" w:rsidRDefault="00000000">
      <w:r>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25B6637B"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9">
                      <a:extLst>
                        <a:ext uri="{96DAC541-7B7A-43D3-8B79-37D633B846F1}">
                          <asvg:svgBlip xmlns:asvg="http://schemas.microsoft.com/office/drawing/2016/SVG/main" r:embed="rId20"/>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21">
                      <a:extLst>
                        <a:ext uri="{96DAC541-7B7A-43D3-8B79-37D633B846F1}">
                          <asvg:svgBlip xmlns:asvg="http://schemas.microsoft.com/office/drawing/2016/SVG/main" r:embed="rId22"/>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3">
                      <a:extLst>
                        <a:ext uri="{96DAC541-7B7A-43D3-8B79-37D633B846F1}">
                          <asvg:svgBlip xmlns:asvg="http://schemas.microsoft.com/office/drawing/2016/SVG/main" r:embed="rId24"/>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5">
                      <a:extLst>
                        <a:ext uri="{96DAC541-7B7A-43D3-8B79-37D633B846F1}">
                          <asvg:svgBlip xmlns:asvg="http://schemas.microsoft.com/office/drawing/2016/SVG/main" r:embed="rId26"/>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7">
                      <a:extLst>
                        <a:ext uri="{96DAC541-7B7A-43D3-8B79-37D633B846F1}">
                          <asvg:svgBlip xmlns:asvg="http://schemas.microsoft.com/office/drawing/2016/SVG/main" r:embed="rId28"/>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9">
                      <a:extLst>
                        <a:ext uri="{96DAC541-7B7A-43D3-8B79-37D633B846F1}">
                          <asvg:svgBlip xmlns:asvg="http://schemas.microsoft.com/office/drawing/2016/SVG/main" r:embed="rId30"/>
                        </a:ext>
                      </a:extLst>
                    </a:blip>
                    <a:stretch>
                      <a:fillRect/>
                    </a:stretch>
                  </pic:blipFill>
                  <pic:spPr>
                    <a:xfrm>
                      <a:off x="0" y="0"/>
                      <a:ext cx="3228604" cy="1966950"/>
                    </a:xfrm>
                    <a:prstGeom prst="rect">
                      <a:avLst/>
                    </a:prstGeom>
                  </pic:spPr>
                </pic:pic>
              </a:graphicData>
            </a:graphic>
          </wp:inline>
        </w:drawing>
      </w:r>
    </w:p>
    <w:p w14:paraId="61132B11" w14:textId="7C2FAC00" w:rsidR="00537512" w:rsidRDefault="00000000">
      <w:pPr>
        <w:pStyle w:val="Caption"/>
        <w:keepNext/>
      </w:pPr>
      <w:bookmarkStart w:id="34" w:name="_Ref_newfig99"/>
      <w:r>
        <w:lastRenderedPageBreak/>
        <w:t xml:space="preserve">Figure </w:t>
      </w:r>
      <w:r>
        <w:fldChar w:fldCharType="begin"/>
      </w:r>
      <w:r>
        <w:instrText xml:space="preserve"> SEQ Figure \* ARABIC </w:instrText>
      </w:r>
      <w:r>
        <w:fldChar w:fldCharType="separate"/>
      </w:r>
      <w:r w:rsidR="008A7C5A">
        <w:rPr>
          <w:noProof/>
        </w:rPr>
        <w:t>10</w:t>
      </w:r>
      <w:r>
        <w:fldChar w:fldCharType="end"/>
      </w:r>
      <w:bookmarkEnd w:id="34"/>
      <w:r>
        <w:t>: Descriptive LOWESS gradients between neighborhood characteristics and the two energy-affordability outcomes. Curves are deterministic LOWESS fits with seeded bootstrap 95% confidence intervals.</w:t>
      </w:r>
    </w:p>
    <w:p w14:paraId="37680CA9" w14:textId="77777777" w:rsidR="00893723" w:rsidRDefault="00785640" w:rsidP="00893723">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31"/>
                    <a:stretch>
                      <a:fillRect/>
                    </a:stretch>
                  </pic:blipFill>
                  <pic:spPr>
                    <a:xfrm>
                      <a:off x="0" y="0"/>
                      <a:ext cx="6400800" cy="5038725"/>
                    </a:xfrm>
                    <a:prstGeom prst="rect">
                      <a:avLst/>
                    </a:prstGeom>
                  </pic:spPr>
                </pic:pic>
              </a:graphicData>
            </a:graphic>
          </wp:inline>
        </w:drawing>
      </w:r>
    </w:p>
    <w:p w14:paraId="2DBA6EEF" w14:textId="69CED4B9" w:rsidR="00785640" w:rsidRDefault="00893723" w:rsidP="00893723">
      <w:pPr>
        <w:pStyle w:val="Caption"/>
        <w:jc w:val="center"/>
      </w:pPr>
      <w:bookmarkStart w:id="35" w:name="_Ref_fig_burden_der"/>
      <w:r>
        <w:t xml:space="preserve">Figure </w:t>
      </w:r>
      <w:r w:rsidRPr="3DC018EE">
        <w:fldChar w:fldCharType="begin"/>
      </w:r>
      <w:r>
        <w:instrText xml:space="preserve"> SEQ Figure \* ARABIC </w:instrText>
      </w:r>
      <w:r w:rsidRPr="3DC018EE">
        <w:fldChar w:fldCharType="separate"/>
      </w:r>
      <w:r w:rsidR="008A7C5A">
        <w:rPr>
          <w:noProof/>
        </w:rPr>
        <w:t>11</w:t>
      </w:r>
      <w:r w:rsidRPr="3DC018EE">
        <w:rPr>
          <w:noProof/>
        </w:rPr>
        <w:fldChar w:fldCharType="end"/>
      </w:r>
      <w:bookmarkEnd w:id="35"/>
      <w:r>
        <w:t>: DER predictors in the energy-burden and affordability-gap models (Model 9A). Points are coefficient estimates and horizontal lines are 95% confidence intervals.</w:t>
      </w:r>
    </w:p>
    <w:p w14:paraId="643EA1DC"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2"/>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1D4695C" w14:textId="3C55DA48" w:rsidR="00537512" w:rsidRDefault="00000000">
      <w:pPr>
        <w:pStyle w:val="Caption"/>
        <w:keepNext/>
      </w:pPr>
      <w:bookmarkStart w:id="36" w:name="_Ref_newfig101"/>
      <w:r>
        <w:t xml:space="preserve">Figure </w:t>
      </w:r>
      <w:r>
        <w:fldChar w:fldCharType="begin"/>
      </w:r>
      <w:r>
        <w:instrText xml:space="preserve"> SEQ Figure \* ARABIC </w:instrText>
      </w:r>
      <w:r>
        <w:fldChar w:fldCharType="separate"/>
      </w:r>
      <w:r w:rsidR="008A7C5A">
        <w:rPr>
          <w:noProof/>
        </w:rPr>
        <w:t>12</w:t>
      </w:r>
      <w:r>
        <w:fldChar w:fldCharType="end"/>
      </w:r>
      <w:bookmarkEnd w:id="36"/>
      <w:r>
        <w:t>: Coefficient stability for the energy-burden and affordability-gap outcomes across the model ladder.</w:t>
      </w:r>
    </w:p>
    <w:p w14:paraId="5CDAD299" w14:textId="77777777" w:rsidR="0014040F" w:rsidRDefault="00000000">
      <w:pPr>
        <w:pStyle w:val="Heading2"/>
        <w:numPr>
          <w:ilvl w:val="1"/>
          <w:numId w:val="11"/>
        </w:numPr>
      </w:pPr>
      <w:bookmarkStart w:id="37" w:name="_Ref_sec_r_lowess"/>
      <w:r>
        <w:t>Descriptive nonlinear gradients</w:t>
      </w:r>
      <w:bookmarkEnd w:id="37"/>
    </w:p>
    <w:p w14:paraId="51CE322A" w14:textId="77777777" w:rsidR="00B86A12" w:rsidRDefault="00000000">
      <w:r>
        <w:t>The regression tables (</w:t>
      </w:r>
      <w:r>
        <w:fldChar w:fldCharType="begin"/>
      </w:r>
      <w:r>
        <w:instrText xml:space="preserve"> REF _Ref_tbl3 \h </w:instrText>
      </w:r>
      <w:r>
        <w:fldChar w:fldCharType="separate"/>
      </w:r>
      <w:r>
        <w:t>Table 3</w:t>
      </w:r>
      <w:r>
        <w:fldChar w:fldCharType="end"/>
      </w:r>
      <w:r>
        <w:t xml:space="preserve">) summarize conditional associations, but the raw outcome gradients are also informative. </w:t>
      </w:r>
      <w:r>
        <w:fldChar w:fldCharType="begin"/>
      </w:r>
      <w:r>
        <w:instrText xml:space="preserve"> REF _Ref_fig10 \h </w:instrText>
      </w:r>
      <w:r>
        <w:fldChar w:fldCharType="separate"/>
      </w:r>
      <w:r>
        <w:t>Figure 13</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6E675563" w14:textId="77777777" w:rsidR="00B86A12" w:rsidRDefault="00000000">
      <w:r>
        <w:fldChar w:fldCharType="begin"/>
      </w:r>
      <w:r>
        <w:instrText xml:space="preserve"> REF _Ref_fig11 \h </w:instrText>
      </w:r>
      <w:r>
        <w:fldChar w:fldCharType="separate"/>
      </w:r>
      <w:r>
        <w:t>Figure 14</w:t>
      </w:r>
      <w:r>
        <w:fldChar w:fldCharType="end"/>
      </w:r>
      <w:r>
        <w:t xml:space="preserve"> provides the corresponding education view using </w:t>
      </w:r>
      <w:r w:rsidRPr="3DC018EE">
        <w:rPr>
          <w:rFonts w:ascii="Courier New" w:hAnsi="Courier New" w:cs="Courier New"/>
          <w:sz w:val="18"/>
          <w:szCs w:val="18"/>
        </w:rPr>
        <w:t>pct_bachelors_plus</w:t>
      </w:r>
      <w:r>
        <w:t xml:space="preserve">. The regenerated deterministic LOWESS audit shows a mildly negative unconditional gradient for PV (-0.06) but </w:t>
      </w:r>
      <w:r w:rsidRPr="3DC018EE">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 The corresponding income gradients are shown in </w:t>
      </w:r>
      <w:r>
        <w:fldChar w:fldCharType="begin"/>
      </w:r>
      <w:r>
        <w:instrText xml:space="preserve"> REF _Ref_fig3 \h </w:instrText>
      </w:r>
      <w:r>
        <w:fldChar w:fldCharType="separate"/>
      </w:r>
      <w:r>
        <w:t>Figure 3</w:t>
      </w:r>
      <w:r>
        <w:fldChar w:fldCharType="end"/>
      </w:r>
      <w:r>
        <w:t>.</w:t>
      </w:r>
    </w:p>
    <w:p w14:paraId="0D43B8E5"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3">
                      <a:extLst>
                        <a:ext uri="{96DAC541-7B7A-43D3-8B79-37D633B846F1}">
                          <asvg:svgBlip xmlns:asvg="http://schemas.microsoft.com/office/drawing/2016/SVG/main" r:embed="rId34"/>
                        </a:ext>
                      </a:extLst>
                    </a:blip>
                    <a:stretch>
                      <a:fillRect/>
                    </a:stretch>
                  </pic:blipFill>
                  <pic:spPr>
                    <a:xfrm>
                      <a:off x="0" y="0"/>
                      <a:ext cx="6400800" cy="2042160"/>
                    </a:xfrm>
                    <a:prstGeom prst="rect">
                      <a:avLst/>
                    </a:prstGeom>
                  </pic:spPr>
                </pic:pic>
              </a:graphicData>
            </a:graphic>
          </wp:inline>
        </w:drawing>
      </w:r>
    </w:p>
    <w:p w14:paraId="7A18DB51" w14:textId="0A35E9B7" w:rsidR="00B86A12" w:rsidRDefault="00B87FB7" w:rsidP="00B140D9">
      <w:pPr>
        <w:pStyle w:val="Caption"/>
        <w:jc w:val="center"/>
      </w:pPr>
      <w:bookmarkStart w:id="38" w:name="_Ref_fig10"/>
      <w:r>
        <w:t xml:space="preserve">Figure </w:t>
      </w:r>
      <w:r>
        <w:fldChar w:fldCharType="begin"/>
      </w:r>
      <w:r>
        <w:instrText xml:space="preserve"> SEQ Figure \* ARABIC </w:instrText>
      </w:r>
      <w:r>
        <w:fldChar w:fldCharType="separate"/>
      </w:r>
      <w:r w:rsidR="008A7C5A">
        <w:rPr>
          <w:noProof/>
        </w:rPr>
        <w:t>13</w:t>
      </w:r>
      <w:r>
        <w:rPr>
          <w:noProof/>
        </w:rPr>
        <w:fldChar w:fldCharType="end"/>
      </w:r>
      <w:bookmarkEnd w:id="38"/>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26A2A01F"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5"/>
                    <a:stretch>
                      <a:fillRect/>
                    </a:stretch>
                  </pic:blipFill>
                  <pic:spPr>
                    <a:xfrm>
                      <a:off x="0" y="0"/>
                      <a:ext cx="6400800" cy="2042160"/>
                    </a:xfrm>
                    <a:prstGeom prst="rect">
                      <a:avLst/>
                    </a:prstGeom>
                  </pic:spPr>
                </pic:pic>
              </a:graphicData>
            </a:graphic>
          </wp:inline>
        </w:drawing>
      </w:r>
    </w:p>
    <w:p w14:paraId="47E59C1A" w14:textId="4533CE2C" w:rsidR="00B86A12" w:rsidRDefault="00B140D9" w:rsidP="00B140D9">
      <w:pPr>
        <w:pStyle w:val="Caption"/>
        <w:jc w:val="center"/>
      </w:pPr>
      <w:bookmarkStart w:id="39" w:name="_Ref_fig11"/>
      <w:r>
        <w:t xml:space="preserve">Figure </w:t>
      </w:r>
      <w:r>
        <w:fldChar w:fldCharType="begin"/>
      </w:r>
      <w:r>
        <w:instrText xml:space="preserve"> SEQ Figure \* ARABIC </w:instrText>
      </w:r>
      <w:r>
        <w:fldChar w:fldCharType="separate"/>
      </w:r>
      <w:r w:rsidR="008A7C5A">
        <w:rPr>
          <w:noProof/>
        </w:rPr>
        <w:t>14</w:t>
      </w:r>
      <w:r>
        <w:rPr>
          <w:noProof/>
        </w:rPr>
        <w:fldChar w:fldCharType="end"/>
      </w:r>
      <w:bookmarkEnd w:id="39"/>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EA27F4A" w14:textId="77777777" w:rsidR="00B86A12" w:rsidRDefault="00000000">
      <w:pPr>
        <w:pStyle w:val="Heading2"/>
        <w:numPr>
          <w:ilvl w:val="1"/>
          <w:numId w:val="11"/>
        </w:numPr>
      </w:pPr>
      <w:bookmarkStart w:id="40" w:name="_Ref_sec_r_cluster"/>
      <w:r>
        <w:t>Exploratory clustering of ZIP/ZCTA types</w:t>
      </w:r>
      <w:bookmarkEnd w:id="40"/>
    </w:p>
    <w:p w14:paraId="4AFA1EA9" w14:textId="18A707FC" w:rsidR="00B86A12" w:rsidRDefault="00000000">
      <w:r>
        <w:t xml:space="preserve">In addition to the regression ladder, </w:t>
      </w:r>
      <w:r w:rsidR="001F19B7">
        <w:t>we</w:t>
      </w:r>
      <w:r>
        <w:t xml:space="preserv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14:paraId="78771EFF" w14:textId="77777777" w:rsidR="004C7FF5" w:rsidRDefault="004C7FF5"/>
    <w:p w14:paraId="2A27AB73"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6"/>
                    <a:stretch>
                      <a:fillRect/>
                    </a:stretch>
                  </pic:blipFill>
                  <pic:spPr>
                    <a:xfrm>
                      <a:off x="0" y="0"/>
                      <a:ext cx="5852160" cy="6805722"/>
                    </a:xfrm>
                    <a:prstGeom prst="rect">
                      <a:avLst/>
                    </a:prstGeom>
                  </pic:spPr>
                </pic:pic>
              </a:graphicData>
            </a:graphic>
          </wp:inline>
        </w:drawing>
      </w:r>
    </w:p>
    <w:p w14:paraId="67CB8B7A" w14:textId="66FA2AD4" w:rsidR="00B86A12" w:rsidRDefault="008A7C5A" w:rsidP="008A7C5A">
      <w:pPr>
        <w:pStyle w:val="Caption"/>
        <w:jc w:val="center"/>
      </w:pPr>
      <w:bookmarkStart w:id="41" w:name="_Ref237521917"/>
      <w:r>
        <w:t xml:space="preserve">Figure </w:t>
      </w:r>
      <w:r>
        <w:fldChar w:fldCharType="begin"/>
      </w:r>
      <w:r>
        <w:instrText xml:space="preserve"> SEQ Figure \* ARABIC </w:instrText>
      </w:r>
      <w:r>
        <w:fldChar w:fldCharType="separate"/>
      </w:r>
      <w:r>
        <w:rPr>
          <w:noProof/>
        </w:rPr>
        <w:t>15</w:t>
      </w:r>
      <w:r>
        <w:fldChar w:fldCharType="end"/>
      </w:r>
      <w:bookmarkEnd w:id="41"/>
      <w:r>
        <w:t xml:space="preserve">: </w:t>
      </w:r>
      <w:r w:rsidRPr="005323EB">
        <w:t>California ZIP/ZCTA clusters from the exploratory PCA plus K-means analysis. Cluster IDs are stable labels ordered from lowest to highest mean household income; the map shows that the resulting neighborhood profiles are geographically structured.</w:t>
      </w:r>
    </w:p>
    <w:p w14:paraId="06B2A582" w14:textId="77777777" w:rsidR="00B140D9" w:rsidRDefault="002808A9" w:rsidP="00B140D9">
      <w:pPr>
        <w:pStyle w:val="Caption"/>
        <w:keepNext/>
      </w:pPr>
      <w:bookmarkStart w:id="42" w:name="_Ref_tbl6"/>
      <w:r>
        <w:t xml:space="preserve">Table </w:t>
      </w:r>
      <w:r>
        <w:fldChar w:fldCharType="begin"/>
      </w:r>
      <w:r>
        <w:instrText xml:space="preserve"> SEQ Table \* ARABIC </w:instrText>
      </w:r>
      <w:r>
        <w:fldChar w:fldCharType="separate"/>
      </w:r>
      <w:r>
        <w:t>6</w:t>
      </w:r>
      <w:r>
        <w:fldChar w:fldCharType="end"/>
      </w:r>
      <w:bookmarkEnd w:id="42"/>
      <w:r>
        <w:t>: Cluster-profile means from the PCA plus K-means assignment.</w:t>
      </w:r>
    </w:p>
    <w:tbl>
      <w:tblPr>
        <w:tblStyle w:val="TableGrid"/>
        <w:tblW w:w="0" w:type="auto"/>
        <w:tblLayout w:type="fixed"/>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42E92DB7" w14:textId="77777777" w:rsidTr="3DC018EE">
        <w:trPr>
          <w:tblHeader/>
        </w:trPr>
        <w:tc>
          <w:tcPr>
            <w:tcW w:w="1075" w:type="dxa"/>
            <w:tcBorders>
              <w:bottom w:val="single" w:sz="6" w:space="0" w:color="auto"/>
            </w:tcBorders>
            <w:shd w:val="clear" w:color="auto" w:fill="F2EFE7"/>
          </w:tcPr>
          <w:p w14:paraId="0E842C12"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7F9B58B8"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05A7952A"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09122B93"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191E6C8A"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3F369E3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2D603A50"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5FA9C77B" w14:textId="77777777" w:rsidR="00B86A12" w:rsidRPr="00D40A32" w:rsidRDefault="00000000">
            <w:pPr>
              <w:rPr>
                <w:sz w:val="20"/>
                <w:szCs w:val="20"/>
              </w:rPr>
            </w:pPr>
            <w:r>
              <w:rPr>
                <w:b/>
                <w:sz w:val="20"/>
                <w:szCs w:val="20"/>
              </w:rPr>
              <w:t>Residual white/other share</w:t>
            </w:r>
          </w:p>
        </w:tc>
        <w:tc>
          <w:tcPr>
            <w:tcW w:w="630" w:type="dxa"/>
            <w:tcBorders>
              <w:bottom w:val="single" w:sz="6" w:space="0" w:color="auto"/>
            </w:tcBorders>
            <w:shd w:val="clear" w:color="auto" w:fill="F2EFE7"/>
          </w:tcPr>
          <w:p w14:paraId="0F56B146" w14: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w14:paraId="0BDB7A03"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7DE485AD" w14:textId="77777777" w:rsidR="00B86A12" w:rsidRPr="00D40A32" w:rsidRDefault="00000000">
            <w:pPr>
              <w:rPr>
                <w:sz w:val="20"/>
                <w:szCs w:val="20"/>
              </w:rPr>
            </w:pPr>
            <w:r>
              <w:rPr>
                <w:b/>
                <w:sz w:val="20"/>
                <w:szCs w:val="20"/>
              </w:rPr>
              <w:t>Chargers / 1k</w:t>
            </w:r>
          </w:p>
        </w:tc>
      </w:tr>
      <w:tr w:rsidR="00B86A12" w14:paraId="4620BE1E" w14:textId="77777777" w:rsidTr="3DC018EE">
        <w:tc>
          <w:tcPr>
            <w:tcW w:w="1075" w:type="dxa"/>
          </w:tcPr>
          <w:p w14:paraId="068BA6AB" w14:textId="77777777" w:rsidR="00B86A12" w:rsidRDefault="00000000">
            <w:r>
              <w:t>Cluster 1</w:t>
            </w:r>
          </w:p>
        </w:tc>
        <w:tc>
          <w:tcPr>
            <w:tcW w:w="720" w:type="dxa"/>
          </w:tcPr>
          <w:p w14:paraId="368591CA" w14:textId="77777777" w:rsidR="00184A8A" w:rsidRDefault="00000000">
            <w:r>
              <w:t>222</w:t>
            </w:r>
          </w:p>
        </w:tc>
        <w:tc>
          <w:tcPr>
            <w:tcW w:w="990" w:type="dxa"/>
          </w:tcPr>
          <w:p w14:paraId="3D36B78B" w14:textId="77777777" w:rsidR="00184A8A" w:rsidRDefault="00000000">
            <w:r>
              <w:t>$61.3k</w:t>
            </w:r>
          </w:p>
        </w:tc>
        <w:tc>
          <w:tcPr>
            <w:tcW w:w="900" w:type="dxa"/>
          </w:tcPr>
          <w:p w14:paraId="772C1C12" w14:textId="77777777" w:rsidR="00184A8A" w:rsidRDefault="00000000">
            <w:r>
              <w:t>20.5%</w:t>
            </w:r>
          </w:p>
        </w:tc>
        <w:tc>
          <w:tcPr>
            <w:tcW w:w="720" w:type="dxa"/>
          </w:tcPr>
          <w:p w14:paraId="723DD0CD" w14:textId="77777777" w:rsidR="00184A8A" w:rsidRDefault="00000000">
            <w:r>
              <w:t>3.5%</w:t>
            </w:r>
          </w:p>
        </w:tc>
        <w:tc>
          <w:tcPr>
            <w:tcW w:w="990" w:type="dxa"/>
          </w:tcPr>
          <w:p w14:paraId="488048D3" w14:textId="77777777" w:rsidR="00184A8A" w:rsidRDefault="00000000">
            <w:r>
              <w:t>60.4%</w:t>
            </w:r>
          </w:p>
        </w:tc>
        <w:tc>
          <w:tcPr>
            <w:tcW w:w="810" w:type="dxa"/>
          </w:tcPr>
          <w:p w14:paraId="7C76A655" w14:textId="77777777" w:rsidR="00184A8A" w:rsidRDefault="00000000">
            <w:r>
              <w:t>3.5%</w:t>
            </w:r>
          </w:p>
        </w:tc>
        <w:tc>
          <w:tcPr>
            <w:tcW w:w="1260" w:type="dxa"/>
          </w:tcPr>
          <w:p w14:paraId="6ED8095B" w14:textId="77777777" w:rsidR="00184A8A" w:rsidRDefault="00000000">
            <w:r>
              <w:t>32.6%</w:t>
            </w:r>
          </w:p>
        </w:tc>
        <w:tc>
          <w:tcPr>
            <w:tcW w:w="630" w:type="dxa"/>
          </w:tcPr>
          <w:p w14:paraId="70EBD946" w14:textId="77777777" w:rsidR="00184A8A" w:rsidRDefault="00000000">
            <w:r>
              <w:t>1.02</w:t>
            </w:r>
          </w:p>
        </w:tc>
        <w:tc>
          <w:tcPr>
            <w:tcW w:w="900" w:type="dxa"/>
          </w:tcPr>
          <w:p w14:paraId="22FB3DF4" w14:textId="77777777" w:rsidR="00184A8A" w:rsidRDefault="00000000">
            <w:r>
              <w:t>5.34</w:t>
            </w:r>
          </w:p>
        </w:tc>
        <w:tc>
          <w:tcPr>
            <w:tcW w:w="1075" w:type="dxa"/>
          </w:tcPr>
          <w:p w14:paraId="1B84864B" w14:textId="77777777" w:rsidR="00184A8A" w:rsidRDefault="00000000">
            <w:r>
              <w:t>1.46</w:t>
            </w:r>
          </w:p>
        </w:tc>
      </w:tr>
      <w:tr w:rsidR="00B86A12" w14:paraId="5E1B0E33" w14:textId="77777777" w:rsidTr="3DC018EE">
        <w:tc>
          <w:tcPr>
            <w:tcW w:w="1075" w:type="dxa"/>
          </w:tcPr>
          <w:p w14:paraId="712A5AB0" w14:textId="77777777" w:rsidR="00B86A12" w:rsidRDefault="00000000">
            <w:r>
              <w:t>Cluster 2</w:t>
            </w:r>
          </w:p>
        </w:tc>
        <w:tc>
          <w:tcPr>
            <w:tcW w:w="720" w:type="dxa"/>
          </w:tcPr>
          <w:p w14:paraId="00E61152" w14:textId="77777777" w:rsidR="00184A8A" w:rsidRDefault="00000000">
            <w:r>
              <w:t>222</w:t>
            </w:r>
          </w:p>
        </w:tc>
        <w:tc>
          <w:tcPr>
            <w:tcW w:w="990" w:type="dxa"/>
          </w:tcPr>
          <w:p w14:paraId="1533222D" w14:textId="77777777" w:rsidR="00184A8A" w:rsidRDefault="00000000">
            <w:r>
              <w:t>$72.5k</w:t>
            </w:r>
          </w:p>
        </w:tc>
        <w:tc>
          <w:tcPr>
            <w:tcW w:w="900" w:type="dxa"/>
          </w:tcPr>
          <w:p w14:paraId="65B2D257" w14:textId="77777777" w:rsidR="00184A8A" w:rsidRDefault="00000000">
            <w:r>
              <w:t>17.2%</w:t>
            </w:r>
          </w:p>
        </w:tc>
        <w:tc>
          <w:tcPr>
            <w:tcW w:w="720" w:type="dxa"/>
          </w:tcPr>
          <w:p w14:paraId="183C4F94" w14:textId="77777777" w:rsidR="00184A8A" w:rsidRDefault="00000000">
            <w:r>
              <w:t>8.4%</w:t>
            </w:r>
          </w:p>
        </w:tc>
        <w:tc>
          <w:tcPr>
            <w:tcW w:w="990" w:type="dxa"/>
          </w:tcPr>
          <w:p w14:paraId="5CC59537" w14:textId="77777777" w:rsidR="00184A8A" w:rsidRDefault="00000000">
            <w:r>
              <w:t>55.2%</w:t>
            </w:r>
          </w:p>
        </w:tc>
        <w:tc>
          <w:tcPr>
            <w:tcW w:w="810" w:type="dxa"/>
          </w:tcPr>
          <w:p w14:paraId="22FA3E84" w14:textId="77777777" w:rsidR="00184A8A" w:rsidRDefault="00000000">
            <w:r>
              <w:t>12.5%</w:t>
            </w:r>
          </w:p>
        </w:tc>
        <w:tc>
          <w:tcPr>
            <w:tcW w:w="1260" w:type="dxa"/>
          </w:tcPr>
          <w:p w14:paraId="753D1821" w14:textId="77777777" w:rsidR="00184A8A" w:rsidRDefault="00000000">
            <w:r>
              <w:t>23.9%</w:t>
            </w:r>
          </w:p>
        </w:tc>
        <w:tc>
          <w:tcPr>
            <w:tcW w:w="630" w:type="dxa"/>
          </w:tcPr>
          <w:p w14:paraId="43D3A372" w14:textId="77777777" w:rsidR="00184A8A" w:rsidRDefault="00000000">
            <w:r>
              <w:t>0.22</w:t>
            </w:r>
          </w:p>
        </w:tc>
        <w:tc>
          <w:tcPr>
            <w:tcW w:w="900" w:type="dxa"/>
          </w:tcPr>
          <w:p w14:paraId="29323730" w14:textId="77777777" w:rsidR="00184A8A" w:rsidRDefault="00000000">
            <w:r>
              <w:t>3.15</w:t>
            </w:r>
          </w:p>
        </w:tc>
        <w:tc>
          <w:tcPr>
            <w:tcW w:w="1075" w:type="dxa"/>
          </w:tcPr>
          <w:p w14:paraId="067C0010" w14:textId="77777777" w:rsidR="00184A8A" w:rsidRDefault="00000000">
            <w:r>
              <w:t>1.84</w:t>
            </w:r>
          </w:p>
        </w:tc>
      </w:tr>
      <w:tr w:rsidR="00B86A12" w14:paraId="298ED4AD" w14:textId="77777777" w:rsidTr="3DC018EE">
        <w:tc>
          <w:tcPr>
            <w:tcW w:w="1075" w:type="dxa"/>
          </w:tcPr>
          <w:p w14:paraId="4EFC90B2" w14:textId="77777777" w:rsidR="00B86A12" w:rsidRDefault="00000000">
            <w:r>
              <w:lastRenderedPageBreak/>
              <w:t>Cluster 3</w:t>
            </w:r>
          </w:p>
        </w:tc>
        <w:tc>
          <w:tcPr>
            <w:tcW w:w="720" w:type="dxa"/>
          </w:tcPr>
          <w:p w14:paraId="4A47D228" w14:textId="77777777" w:rsidR="00184A8A" w:rsidRDefault="00000000">
            <w:r>
              <w:t>250</w:t>
            </w:r>
          </w:p>
        </w:tc>
        <w:tc>
          <w:tcPr>
            <w:tcW w:w="990" w:type="dxa"/>
          </w:tcPr>
          <w:p w14:paraId="40562C09" w14:textId="77777777" w:rsidR="00184A8A" w:rsidRDefault="00000000">
            <w:r>
              <w:t>$86.1k</w:t>
            </w:r>
          </w:p>
        </w:tc>
        <w:tc>
          <w:tcPr>
            <w:tcW w:w="900" w:type="dxa"/>
          </w:tcPr>
          <w:p w14:paraId="44E43780" w14:textId="77777777" w:rsidR="00184A8A" w:rsidRDefault="00000000">
            <w:r>
              <w:t>11.2%</w:t>
            </w:r>
          </w:p>
        </w:tc>
        <w:tc>
          <w:tcPr>
            <w:tcW w:w="720" w:type="dxa"/>
          </w:tcPr>
          <w:p w14:paraId="0232085D" w14:textId="77777777" w:rsidR="00184A8A" w:rsidRDefault="00000000">
            <w:r>
              <w:t>1.3%</w:t>
            </w:r>
          </w:p>
        </w:tc>
        <w:tc>
          <w:tcPr>
            <w:tcW w:w="990" w:type="dxa"/>
          </w:tcPr>
          <w:p w14:paraId="5477899D" w14:textId="77777777" w:rsidR="00184A8A" w:rsidRDefault="00000000">
            <w:r>
              <w:t>21.4%</w:t>
            </w:r>
          </w:p>
        </w:tc>
        <w:tc>
          <w:tcPr>
            <w:tcW w:w="810" w:type="dxa"/>
          </w:tcPr>
          <w:p w14:paraId="08E71DDD" w14:textId="77777777" w:rsidR="00184A8A" w:rsidRDefault="00000000">
            <w:r>
              <w:t>2.2%</w:t>
            </w:r>
          </w:p>
        </w:tc>
        <w:tc>
          <w:tcPr>
            <w:tcW w:w="1260" w:type="dxa"/>
          </w:tcPr>
          <w:p w14:paraId="257158E4" w14:textId="77777777" w:rsidR="00184A8A" w:rsidRDefault="00000000">
            <w:r>
              <w:t>75.1%</w:t>
            </w:r>
          </w:p>
        </w:tc>
        <w:tc>
          <w:tcPr>
            <w:tcW w:w="630" w:type="dxa"/>
          </w:tcPr>
          <w:p w14:paraId="086BDFC0" w14:textId="77777777" w:rsidR="00184A8A" w:rsidRDefault="00000000">
            <w:r>
              <w:t>0.85</w:t>
            </w:r>
          </w:p>
        </w:tc>
        <w:tc>
          <w:tcPr>
            <w:tcW w:w="900" w:type="dxa"/>
          </w:tcPr>
          <w:p w14:paraId="2D736FB7" w14:textId="77777777" w:rsidR="00184A8A" w:rsidRDefault="00000000">
            <w:r>
              <w:t>13.14</w:t>
            </w:r>
          </w:p>
        </w:tc>
        <w:tc>
          <w:tcPr>
            <w:tcW w:w="1075" w:type="dxa"/>
          </w:tcPr>
          <w:p w14:paraId="40918457" w14:textId="77777777" w:rsidR="00184A8A" w:rsidRDefault="00000000">
            <w:r>
              <w:t>1.53</w:t>
            </w:r>
          </w:p>
        </w:tc>
      </w:tr>
      <w:tr w:rsidR="00B86A12" w14:paraId="3EF10F23" w14:textId="77777777" w:rsidTr="3DC018EE">
        <w:tc>
          <w:tcPr>
            <w:tcW w:w="1075" w:type="dxa"/>
          </w:tcPr>
          <w:p w14:paraId="6781A6DE" w14:textId="77777777" w:rsidR="00B86A12" w:rsidRDefault="00000000">
            <w:r>
              <w:t>Cluster 4</w:t>
            </w:r>
          </w:p>
        </w:tc>
        <w:tc>
          <w:tcPr>
            <w:tcW w:w="720" w:type="dxa"/>
          </w:tcPr>
          <w:p w14:paraId="73EB916D" w14:textId="77777777" w:rsidR="00184A8A" w:rsidRDefault="00000000">
            <w:r>
              <w:t>349</w:t>
            </w:r>
          </w:p>
        </w:tc>
        <w:tc>
          <w:tcPr>
            <w:tcW w:w="990" w:type="dxa"/>
          </w:tcPr>
          <w:p w14:paraId="2F36E953" w14:textId="77777777" w:rsidR="00184A8A" w:rsidRDefault="00000000">
            <w:r>
              <w:t>$106.0k</w:t>
            </w:r>
          </w:p>
        </w:tc>
        <w:tc>
          <w:tcPr>
            <w:tcW w:w="900" w:type="dxa"/>
          </w:tcPr>
          <w:p w14:paraId="68A1F030" w14:textId="77777777" w:rsidR="00184A8A" w:rsidRDefault="00000000">
            <w:r>
              <w:t>9.3%</w:t>
            </w:r>
          </w:p>
        </w:tc>
        <w:tc>
          <w:tcPr>
            <w:tcW w:w="720" w:type="dxa"/>
          </w:tcPr>
          <w:p w14:paraId="278855E1" w14:textId="77777777" w:rsidR="00184A8A" w:rsidRDefault="00000000">
            <w:r>
              <w:t>4.9%</w:t>
            </w:r>
          </w:p>
        </w:tc>
        <w:tc>
          <w:tcPr>
            <w:tcW w:w="990" w:type="dxa"/>
          </w:tcPr>
          <w:p w14:paraId="3453568E" w14:textId="77777777" w:rsidR="00184A8A" w:rsidRDefault="00000000">
            <w:r>
              <w:t>33.1%</w:t>
            </w:r>
          </w:p>
        </w:tc>
        <w:tc>
          <w:tcPr>
            <w:tcW w:w="810" w:type="dxa"/>
          </w:tcPr>
          <w:p w14:paraId="7C2C59CD" w14:textId="77777777" w:rsidR="00184A8A" w:rsidRDefault="00000000">
            <w:r>
              <w:t>14.2%</w:t>
            </w:r>
          </w:p>
        </w:tc>
        <w:tc>
          <w:tcPr>
            <w:tcW w:w="1260" w:type="dxa"/>
          </w:tcPr>
          <w:p w14:paraId="4C7E13F8" w14:textId="77777777" w:rsidR="00184A8A" w:rsidRDefault="00000000">
            <w:r>
              <w:t>47.9%</w:t>
            </w:r>
          </w:p>
        </w:tc>
        <w:tc>
          <w:tcPr>
            <w:tcW w:w="630" w:type="dxa"/>
          </w:tcPr>
          <w:p w14:paraId="1BD0ECBC" w14:textId="77777777" w:rsidR="00184A8A" w:rsidRDefault="00000000">
            <w:r>
              <w:t>0.51</w:t>
            </w:r>
          </w:p>
        </w:tc>
        <w:tc>
          <w:tcPr>
            <w:tcW w:w="900" w:type="dxa"/>
          </w:tcPr>
          <w:p w14:paraId="3916A165" w14:textId="77777777" w:rsidR="00184A8A" w:rsidRDefault="00000000">
            <w:r>
              <w:t>5.85</w:t>
            </w:r>
          </w:p>
        </w:tc>
        <w:tc>
          <w:tcPr>
            <w:tcW w:w="1075" w:type="dxa"/>
          </w:tcPr>
          <w:p w14:paraId="343A62E7" w14:textId="77777777" w:rsidR="00184A8A" w:rsidRDefault="00000000">
            <w:r>
              <w:t>1.10</w:t>
            </w:r>
          </w:p>
        </w:tc>
      </w:tr>
      <w:tr w:rsidR="00B86A12" w14:paraId="2B49E83C" w14:textId="77777777" w:rsidTr="3DC018EE">
        <w:tc>
          <w:tcPr>
            <w:tcW w:w="1075" w:type="dxa"/>
          </w:tcPr>
          <w:p w14:paraId="40DE75AD" w14:textId="77777777" w:rsidR="00B86A12" w:rsidRDefault="00000000">
            <w:r>
              <w:t>Cluster 5</w:t>
            </w:r>
          </w:p>
        </w:tc>
        <w:tc>
          <w:tcPr>
            <w:tcW w:w="720" w:type="dxa"/>
          </w:tcPr>
          <w:p w14:paraId="31553E06" w14:textId="77777777" w:rsidR="00184A8A" w:rsidRDefault="00000000">
            <w:r>
              <w:t>174</w:t>
            </w:r>
          </w:p>
        </w:tc>
        <w:tc>
          <w:tcPr>
            <w:tcW w:w="990" w:type="dxa"/>
          </w:tcPr>
          <w:p w14:paraId="2E392D4B" w14:textId="77777777" w:rsidR="00184A8A" w:rsidRDefault="00000000">
            <w:r>
              <w:t>$132.6k</w:t>
            </w:r>
          </w:p>
        </w:tc>
        <w:tc>
          <w:tcPr>
            <w:tcW w:w="900" w:type="dxa"/>
          </w:tcPr>
          <w:p w14:paraId="628B6A2A" w14:textId="77777777" w:rsidR="00184A8A" w:rsidRDefault="00000000">
            <w:r>
              <w:t>9.6%</w:t>
            </w:r>
          </w:p>
        </w:tc>
        <w:tc>
          <w:tcPr>
            <w:tcW w:w="720" w:type="dxa"/>
          </w:tcPr>
          <w:p w14:paraId="1974B7E2" w14:textId="77777777" w:rsidR="00184A8A" w:rsidRDefault="00000000">
            <w:r>
              <w:t>4.8%</w:t>
            </w:r>
          </w:p>
        </w:tc>
        <w:tc>
          <w:tcPr>
            <w:tcW w:w="990" w:type="dxa"/>
          </w:tcPr>
          <w:p w14:paraId="2DBF1EC9" w14:textId="77777777" w:rsidR="00184A8A" w:rsidRDefault="00000000">
            <w:r>
              <w:t>18.0%</w:t>
            </w:r>
          </w:p>
        </w:tc>
        <w:tc>
          <w:tcPr>
            <w:tcW w:w="810" w:type="dxa"/>
          </w:tcPr>
          <w:p w14:paraId="180CDC04" w14:textId="77777777" w:rsidR="00184A8A" w:rsidRDefault="00000000">
            <w:r>
              <w:t>26.2%</w:t>
            </w:r>
          </w:p>
        </w:tc>
        <w:tc>
          <w:tcPr>
            <w:tcW w:w="1260" w:type="dxa"/>
          </w:tcPr>
          <w:p w14:paraId="40613482" w14:textId="77777777" w:rsidR="00184A8A" w:rsidRDefault="00000000">
            <w:r>
              <w:t>51.0%</w:t>
            </w:r>
          </w:p>
        </w:tc>
        <w:tc>
          <w:tcPr>
            <w:tcW w:w="630" w:type="dxa"/>
          </w:tcPr>
          <w:p w14:paraId="6C283BC3" w14:textId="77777777" w:rsidR="00184A8A" w:rsidRDefault="00000000">
            <w:r>
              <w:t>0.25</w:t>
            </w:r>
          </w:p>
        </w:tc>
        <w:tc>
          <w:tcPr>
            <w:tcW w:w="900" w:type="dxa"/>
          </w:tcPr>
          <w:p w14:paraId="5E898E31" w14:textId="77777777" w:rsidR="00184A8A" w:rsidRDefault="00000000">
            <w:r>
              <w:t>4.14</w:t>
            </w:r>
          </w:p>
        </w:tc>
        <w:tc>
          <w:tcPr>
            <w:tcW w:w="1075" w:type="dxa"/>
          </w:tcPr>
          <w:p w14:paraId="5E20CC49" w14:textId="77777777" w:rsidR="00184A8A" w:rsidRDefault="00000000">
            <w:r>
              <w:t>4.61</w:t>
            </w:r>
          </w:p>
        </w:tc>
      </w:tr>
      <w:tr w:rsidR="00B86A12" w14:paraId="71951A20" w14:textId="77777777" w:rsidTr="3DC018EE">
        <w:trPr>
          <w:trHeight w:val="300"/>
        </w:trPr>
        <w:tc>
          <w:tcPr>
            <w:tcW w:w="1075" w:type="dxa"/>
          </w:tcPr>
          <w:p w14:paraId="4D5F05DC" w14:textId="77777777" w:rsidR="00B86A12" w:rsidRDefault="00000000">
            <w:r>
              <w:t>Cluster 6</w:t>
            </w:r>
          </w:p>
        </w:tc>
        <w:tc>
          <w:tcPr>
            <w:tcW w:w="720" w:type="dxa"/>
          </w:tcPr>
          <w:p w14:paraId="5170AE60" w14:textId="77777777" w:rsidR="00184A8A" w:rsidRDefault="00000000">
            <w:r>
              <w:t>173</w:t>
            </w:r>
          </w:p>
        </w:tc>
        <w:tc>
          <w:tcPr>
            <w:tcW w:w="990" w:type="dxa"/>
          </w:tcPr>
          <w:p w14:paraId="6ADE7077" w14:textId="77777777" w:rsidR="00184A8A" w:rsidRDefault="00000000">
            <w:r>
              <w:t>$166.8k</w:t>
            </w:r>
          </w:p>
        </w:tc>
        <w:tc>
          <w:tcPr>
            <w:tcW w:w="900" w:type="dxa"/>
          </w:tcPr>
          <w:p w14:paraId="728D6C08" w14:textId="77777777" w:rsidR="00184A8A" w:rsidRDefault="00000000">
            <w:r>
              <w:t>6.2%</w:t>
            </w:r>
          </w:p>
        </w:tc>
        <w:tc>
          <w:tcPr>
            <w:tcW w:w="720" w:type="dxa"/>
          </w:tcPr>
          <w:p w14:paraId="367650D7" w14:textId="77777777" w:rsidR="00184A8A" w:rsidRDefault="00000000">
            <w:r>
              <w:t>1.8%</w:t>
            </w:r>
          </w:p>
        </w:tc>
        <w:tc>
          <w:tcPr>
            <w:tcW w:w="990" w:type="dxa"/>
          </w:tcPr>
          <w:p w14:paraId="74080B2A" w14:textId="77777777" w:rsidR="00184A8A" w:rsidRDefault="00000000">
            <w:r>
              <w:t>14.6%</w:t>
            </w:r>
          </w:p>
        </w:tc>
        <w:tc>
          <w:tcPr>
            <w:tcW w:w="810" w:type="dxa"/>
          </w:tcPr>
          <w:p w14:paraId="73A139E6" w14:textId="77777777" w:rsidR="00184A8A" w:rsidRDefault="00000000">
            <w:r>
              <w:t>16.9%</w:t>
            </w:r>
          </w:p>
        </w:tc>
        <w:tc>
          <w:tcPr>
            <w:tcW w:w="1260" w:type="dxa"/>
          </w:tcPr>
          <w:p w14:paraId="0B371F20" w14:textId="77777777" w:rsidR="00184A8A" w:rsidRDefault="00000000">
            <w:r>
              <w:t>66.6%</w:t>
            </w:r>
          </w:p>
        </w:tc>
        <w:tc>
          <w:tcPr>
            <w:tcW w:w="630" w:type="dxa"/>
          </w:tcPr>
          <w:p w14:paraId="5CB1B7C2" w14:textId="77777777" w:rsidR="00184A8A" w:rsidRDefault="00000000">
            <w:r>
              <w:t>0.64</w:t>
            </w:r>
          </w:p>
        </w:tc>
        <w:tc>
          <w:tcPr>
            <w:tcW w:w="900" w:type="dxa"/>
          </w:tcPr>
          <w:p w14:paraId="28E382F7" w14:textId="77777777" w:rsidR="00184A8A" w:rsidRDefault="00000000">
            <w:r>
              <w:t>15.68</w:t>
            </w:r>
          </w:p>
        </w:tc>
        <w:tc>
          <w:tcPr>
            <w:tcW w:w="1075" w:type="dxa"/>
          </w:tcPr>
          <w:p w14:paraId="3B241061" w14:textId="77777777" w:rsidR="00184A8A" w:rsidRDefault="00000000">
            <w:r>
              <w:t>2.55</w:t>
            </w:r>
          </w:p>
        </w:tc>
      </w:tr>
    </w:tbl>
    <w:p w14:paraId="00182302" w14:textId="77777777" w:rsidR="00B86A12" w:rsidRDefault="00B86A12"/>
    <w:p w14:paraId="3903AE10" w14:textId="77777777" w:rsidR="00B86A12" w:rsidRDefault="00000000">
      <w:pPr>
        <w:pStyle w:val="Heading2"/>
        <w:numPr>
          <w:ilvl w:val="1"/>
          <w:numId w:val="11"/>
        </w:numPr>
      </w:pPr>
      <w:bookmarkStart w:id="43" w:name="_Ref_sec_r_wind"/>
      <w:r>
        <w:t>Wind as a contextual comparison outcome</w:t>
      </w:r>
      <w:bookmarkEnd w:id="43"/>
    </w:p>
    <w:p w14:paraId="5D396757" w14:textId="77777777" w:rsidR="00B86A12" w:rsidRDefault="00000000">
      <w:r>
        <w:t>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cross-validated model comparison for wind is reported in Figure 20. The paper therefore does not foreground the binary turbine-presence outcome in the reported results.</w:t>
      </w:r>
    </w:p>
    <w:p w14:paraId="10F6623C"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7"/>
                    <a:stretch>
                      <a:fillRect/>
                    </a:stretch>
                  </pic:blipFill>
                  <pic:spPr>
                    <a:xfrm>
                      <a:off x="0" y="0"/>
                      <a:ext cx="4150759" cy="4755071"/>
                    </a:xfrm>
                    <a:prstGeom prst="rect">
                      <a:avLst/>
                    </a:prstGeom>
                  </pic:spPr>
                </pic:pic>
              </a:graphicData>
            </a:graphic>
          </wp:inline>
        </w:drawing>
      </w:r>
    </w:p>
    <w:p w14:paraId="7E3E5FAD" w14:textId="07AFD866" w:rsidR="00B140D9" w:rsidRDefault="008A7C5A" w:rsidP="008A7C5A">
      <w:pPr>
        <w:pStyle w:val="Caption"/>
        <w:jc w:val="center"/>
      </w:pPr>
      <w:r>
        <w:t xml:space="preserve">Figure </w:t>
      </w:r>
      <w:r>
        <w:fldChar w:fldCharType="begin"/>
      </w:r>
      <w:r>
        <w:instrText xml:space="preserve"> SEQ Figure \* ARABIC </w:instrText>
      </w:r>
      <w:r>
        <w:fldChar w:fldCharType="separate"/>
      </w:r>
      <w:r>
        <w:rPr>
          <w:noProof/>
        </w:rPr>
        <w:t>16</w:t>
      </w:r>
      <w:r>
        <w:fldChar w:fldCharType="end"/>
      </w:r>
      <w:r>
        <w:t xml:space="preserve">: </w:t>
      </w:r>
      <w:r w:rsidRPr="00E11E90">
        <w:t>Standardized robustness summary for y_wind_mw, included mainly as contextual evidence rather than as a headline equity result.</w:t>
      </w:r>
    </w:p>
    <w:p w14:paraId="48FB713C" w14:textId="2DAD3BAB" w:rsidR="00B86A12" w:rsidRDefault="00000000">
      <w:pPr>
        <w:pStyle w:val="Heading2"/>
        <w:numPr>
          <w:ilvl w:val="1"/>
          <w:numId w:val="11"/>
        </w:numPr>
      </w:pPr>
      <w:bookmarkStart w:id="44" w:name="_Ref_sec_r_overall"/>
      <w:r>
        <w:lastRenderedPageBreak/>
        <w:t>Overall interpretation</w:t>
      </w:r>
      <w:bookmarkEnd w:id="44"/>
    </w:p>
    <w:p w14:paraId="26317380" w14:textId="5DC138D5" w:rsidR="00871AB2" w:rsidRDefault="00871AB2">
      <w:r>
        <w:t xml:space="preserve">Taken together, the results in </w:t>
      </w:r>
      <w:r>
        <w:fldChar w:fldCharType="begin"/>
      </w:r>
      <w:r>
        <w:instrText xml:space="preserve"> REF _Ref_fig4 \h </w:instrText>
      </w:r>
      <w:r>
        <w:fldChar w:fldCharType="separate"/>
      </w:r>
      <w:r>
        <w:t xml:space="preserve">Figure </w:t>
      </w:r>
      <w:r>
        <w:rPr>
          <w:noProof/>
        </w:rPr>
        <w:t>4</w:t>
      </w:r>
      <w:r>
        <w:fldChar w:fldCharType="end"/>
      </w:r>
      <w:r>
        <w:t xml:space="preserve"> and </w:t>
      </w:r>
      <w:r>
        <w:fldChar w:fldCharType="begin"/>
      </w:r>
      <w:r>
        <w:instrText xml:space="preserve"> REF _Ref_fig5 \h </w:instrText>
      </w:r>
      <w:r>
        <w:fldChar w:fldCharType="separate"/>
      </w:r>
      <w:r>
        <w:t xml:space="preserve">Figure </w:t>
      </w:r>
      <w:r>
        <w:rPr>
          <w:noProof/>
        </w:rPr>
        <w:t>5</w:t>
      </w:r>
      <w:r>
        <w:fldChar w:fldCharType="end"/>
      </w:r>
      <w:r>
        <w:t xml:space="preserve"> show that inequity in California's DER transition is not one repeated pattern across technologies. The form of disparity depends on the technology. Solar PV and storage show negative associations with several race and ethnicity shares after socioeconomic and contextual controls, though area-level housing composition absorbs a third to a half of those coefficients and the surviving estimates differ in how precisely </w:t>
      </w:r>
      <w:r w:rsidR="001F19B7">
        <w:t>we</w:t>
      </w:r>
      <w:r>
        <w:t xml:space="preserve"> can measure them. EV charging shows a different mix: Hispanic population share is associated with lower aggregate charger deployment, and aggregate charging is positively associated with poverty, a relationship driven by Level 2 rather than Level 1 charging. Different technologies are shaped by different barriers and siting dynamics, so a policy aimed at "general DER equity" in the abstract can miss the fact that solar, storage, and EV charging do not reproduce inequity in the same way.</w:t>
      </w:r>
    </w:p>
    <w:p w14:paraId="6E83B6A2" w14:textId="77777777" w:rsidR="00B86A12" w:rsidRDefault="00091F08">
      <w:pPr>
        <w:pStyle w:val="Heading1"/>
        <w:numPr>
          <w:ilvl w:val="0"/>
          <w:numId w:val="11"/>
        </w:numPr>
      </w:pPr>
      <w:bookmarkStart w:id="45" w:name="_Ref_sec_discussion"/>
      <w:r>
        <w:t>Discussion</w:t>
      </w:r>
      <w:bookmarkEnd w:id="45"/>
    </w:p>
    <w:p w14:paraId="4E026919" w14:textId="77777777" w:rsidR="00B86A12" w:rsidRDefault="00091F08">
      <w:pPr>
        <w:pStyle w:val="Heading2"/>
        <w:numPr>
          <w:ilvl w:val="1"/>
          <w:numId w:val="11"/>
        </w:numPr>
      </w:pPr>
      <w:r>
        <w:t>What persists and what changes across DER types</w:t>
      </w:r>
    </w:p>
    <w:p w14:paraId="4D86D4D9" w14:textId="3CB591EE" w:rsidR="00B86A12" w:rsidRDefault="00000000">
      <w:r>
        <w:t xml:space="preserve">The most important substantive finding is that the clean energy transition does not reproduce inequality in the same way across technologies (Section </w:t>
      </w:r>
      <w:r>
        <w:fldChar w:fldCharType="begin"/>
      </w:r>
      <w:r>
        <w:instrText xml:space="preserve"> REF _Ref_sec_r_baseline \r \h </w:instrText>
      </w:r>
      <w:r>
        <w:fldChar w:fldCharType="separate"/>
      </w:r>
      <w:r>
        <w:t>4.1</w:t>
      </w:r>
      <w:r>
        <w:fldChar w:fldCharType="end"/>
      </w:r>
      <w:r>
        <w:t xml:space="preserve">). Solar PV shows persistent racial and socioeconomic patterning (Section </w:t>
      </w:r>
      <w:r>
        <w:fldChar w:fldCharType="begin"/>
      </w:r>
      <w:r>
        <w:instrText xml:space="preserve"> REF _Ref_sec_r_pv \r \h </w:instrText>
      </w:r>
      <w:r>
        <w:fldChar w:fldCharType="separate"/>
      </w:r>
      <w:r>
        <w:t>4.2</w:t>
      </w:r>
      <w:r>
        <w:fldChar w:fldCharType="end"/>
      </w:r>
      <w:r>
        <w:t xml:space="preserve">), but storage appears even more unequal and more stable across specifications (Section </w:t>
      </w:r>
      <w:r>
        <w:fldChar w:fldCharType="begin"/>
      </w:r>
      <w:r>
        <w:instrText xml:space="preserve"> REF _Ref_sec_r_storage \r \h </w:instrText>
      </w:r>
      <w:r>
        <w:fldChar w:fldCharType="separate"/>
      </w:r>
      <w:r>
        <w:t>4.3</w:t>
      </w:r>
      <w:r>
        <w:fldChar w:fldCharType="end"/>
      </w:r>
      <w:r>
        <w:t>), including after conditioning on local PV deployment (</w:t>
      </w:r>
      <w:r>
        <w:fldChar w:fldCharType="begin"/>
      </w:r>
      <w:r>
        <w:instrText xml:space="preserve"> REF _Ref_tbl4 \h </w:instrText>
      </w:r>
      <w:r>
        <w:fldChar w:fldCharType="separate"/>
      </w:r>
      <w:r>
        <w:t>Table 4</w:t>
      </w:r>
      <w:r>
        <w:fldChar w:fldCharType="end"/>
      </w:r>
      <w:r>
        <w:t xml:space="preserve">). EV charging, by contrast (Section </w:t>
      </w:r>
      <w:r>
        <w:fldChar w:fldCharType="begin"/>
      </w:r>
      <w:r>
        <w:instrText xml:space="preserve"> REF _Ref_sec_r_chargers \r \h </w:instrText>
      </w:r>
      <w:r>
        <w:fldChar w:fldCharType="separate"/>
      </w:r>
      <w:r>
        <w:t>4.4</w:t>
      </w:r>
      <w:r>
        <w:fldChar w:fldCharType="end"/>
      </w:r>
      <w:r>
        <w:t xml:space="preserve">), does not fit a simple underserved-versus-served story. Instead, the aggregate charging measure mixes together infrastructure types that likely serve different users and are governed by different siting logics. </w:t>
      </w:r>
      <w:r w:rsidR="000C338C">
        <w:t>The paper shows how the meaning of these disparities changes by technology.</w:t>
      </w:r>
    </w:p>
    <w:p w14:paraId="48A070D5"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E1579B7" w14:textId="77777777" w:rsidR="00B86A12" w:rsidRDefault="00091F08">
      <w:pPr>
        <w:pStyle w:val="Heading2"/>
        <w:numPr>
          <w:ilvl w:val="1"/>
          <w:numId w:val="11"/>
        </w:numPr>
      </w:pPr>
      <w:r>
        <w:t>Plausible mechanisms</w:t>
      </w:r>
    </w:p>
    <w:p w14:paraId="28EB2F42"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6180BF48"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233711DD" w14:textId="77777777" w:rsidR="00B86A12" w:rsidRDefault="00000000">
      <w:r>
        <w:lastRenderedPageBreak/>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14:paraId="4361F1DF" w14:textId="0C25EED3" w:rsidR="00FA0279" w:rsidRDefault="00FA0279">
      <w:r>
        <w:t xml:space="preserve">The Asian-share results warrant separate comment, since they are the most robust estimates in the study and appear to point in opposite directions across technologies. High-Asian-share ZCTAs are also the highest-income profiles in the cluster analysis (clusters 5 and 6 in </w:t>
      </w:r>
      <w:r>
        <w:fldChar w:fldCharType="begin"/>
      </w:r>
      <w:r>
        <w:instrText xml:space="preserve"> REF _Ref_tbl6 \h </w:instrText>
      </w:r>
      <w:r>
        <w:fldChar w:fldCharType="separate"/>
      </w:r>
      <w:r>
        <w:t>Table 6</w:t>
      </w:r>
      <w:r>
        <w:fldChar w:fldCharType="end"/>
      </w:r>
      <w:r>
        <w:t xml:space="preserve"> and </w:t>
      </w:r>
      <w:r w:rsidR="00D54205">
        <w:fldChar w:fldCharType="begin"/>
      </w:r>
      <w:r w:rsidR="00D54205">
        <w:instrText xml:space="preserve"> REF _Ref237521917 \h </w:instrText>
      </w:r>
      <w:r w:rsidR="00D54205">
        <w:fldChar w:fldCharType="separate"/>
      </w:r>
      <w:r w:rsidR="00D54205">
        <w:t xml:space="preserve">Figure </w:t>
      </w:r>
      <w:r w:rsidR="00D54205">
        <w:rPr>
          <w:noProof/>
        </w:rPr>
        <w:t>15</w:t>
      </w:r>
      <w:r w:rsidR="00D54205">
        <w:fldChar w:fldCharType="end"/>
      </w:r>
      <w:r>
        <w:t>) which rules out an income-based reading of their low PV and storage deployment. The housing controls supply a more plausible mechanism. These areas concentrate in dense, high-value metropolitan submarkets where multifamily units and lower owner-occupancy rates limit roof control and the ability to finance behind-the-meter equipment, and adding B25024 structure and B25003 tenure moves the Asian-share coefficient from −0.082 to −0.051 for PV and from −0.252 to −0.171 for storage. The same density that suppresses rooftop adoption supports commercial charging siting, which is consistent with the positive raw Asian-share coefficient for aggregate chargers and with its collapse toward zero once housing composition is controlled.</w:t>
      </w:r>
    </w:p>
    <w:p w14:paraId="12B5038F" w14:textId="77777777" w:rsidR="00B86A12" w:rsidRDefault="00091F08">
      <w:pPr>
        <w:pStyle w:val="Heading2"/>
        <w:numPr>
          <w:ilvl w:val="1"/>
          <w:numId w:val="11"/>
        </w:numPr>
      </w:pPr>
      <w:r>
        <w:t>Policy relevance</w:t>
      </w:r>
    </w:p>
    <w:p w14:paraId="4556483C"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1A1E03FC"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0C8B9A64" w14:textId="77777777" w:rsidR="00B86A12" w:rsidRDefault="00091F08">
      <w:pPr>
        <w:pStyle w:val="Heading2"/>
        <w:numPr>
          <w:ilvl w:val="1"/>
          <w:numId w:val="11"/>
        </w:numPr>
      </w:pPr>
      <w:r>
        <w:t>Broader implications for energy burden and community resilience</w:t>
      </w:r>
    </w:p>
    <w:p w14:paraId="62AE9883"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F1DBD8B" w14:textId="77777777" w:rsidR="00B86A12" w:rsidRDefault="00000000">
      <w:r>
        <w:t xml:space="preserve">The energy-burden connection differs by technology (Section </w:t>
      </w:r>
      <w:r>
        <w:fldChar w:fldCharType="begin"/>
      </w:r>
      <w:r>
        <w:instrText xml:space="preserve"> REF _Ref_sec_r_burden \r \h </w:instrText>
      </w:r>
      <w:r>
        <w:fldChar w:fldCharType="separate"/>
      </w:r>
      <w:r>
        <w:t>4.5</w:t>
      </w:r>
      <w:r>
        <w:fldChar w:fldCharType="end"/>
      </w:r>
      <w:r>
        <w:t>).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w:t>
      </w:r>
      <w:r>
        <w:fldChar w:fldCharType="begin"/>
      </w:r>
      <w:r>
        <w:instrText xml:space="preserve"> REF _Ref_tbl4 \h </w:instrText>
      </w:r>
      <w:r>
        <w:fldChar w:fldCharType="separate"/>
      </w:r>
      <w:r>
        <w:t>Table 4</w:t>
      </w:r>
      <w:r>
        <w:fldChar w:fldCharType="end"/>
      </w:r>
      <w:r>
        <w:t xml:space="preserve">) is especially relevant: even after conditioning on local PV deployment, </w:t>
      </w:r>
      <w:r>
        <w:lastRenderedPageBreak/>
        <w:t>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12FD632D"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1DD27B7C" w14:textId="77777777" w:rsidR="00B86A12" w:rsidRDefault="00000000">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14:paraId="2ED7F820" w14:textId="77777777" w:rsidR="00614286" w:rsidRDefault="00091F08" w:rsidP="00614286">
      <w:pPr>
        <w:pStyle w:val="Heading2"/>
        <w:numPr>
          <w:ilvl w:val="1"/>
          <w:numId w:val="11"/>
        </w:numPr>
      </w:pPr>
      <w:r>
        <w:t>Potential policy measures to address inequities</w:t>
      </w:r>
    </w:p>
    <w:p w14:paraId="2E56A051" w14:textId="77777777" w:rsidR="00614286" w:rsidRPr="00614286" w:rsidRDefault="00614286" w:rsidP="00614286">
      <w:r>
        <w:t>The results imply different levers for different actors, and different emphases by technology. The cross-technology divergence argues against a single “DER equity” mandate. PV, storage, and charging require distinct instruments, and measuring success by undifferentiated deployment counts risks mistaking infrastructure presence for equitable benefit.</w:t>
      </w:r>
    </w:p>
    <w:p w14:paraId="4C512236" w14:textId="77777777" w:rsidR="00614286" w:rsidRPr="00614286" w:rsidRDefault="00614286" w:rsidP="00614286">
      <w:r w:rsidRPr="3DC018EE">
        <w:rPr>
          <w:b/>
          <w:bCs/>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w:t>
      </w:r>
      <w:r>
        <w:fldChar w:fldCharType="begin"/>
      </w:r>
      <w:r>
        <w:instrText xml:space="preserve"> REF _Ref_tbl4 \h </w:instrText>
      </w:r>
      <w:r>
        <w:fldChar w:fldCharType="separate"/>
      </w:r>
      <w:r>
        <w:t>Table 4</w:t>
      </w:r>
      <w:r>
        <w:fldChar w:fldCharType="end"/>
      </w:r>
      <w:r>
        <w:t>) shows the storage gap does not follow PV access. For charging, procurement targets should measure usable residential access through multifamily, curbside, and renter-serving deployment rather than aggregate charger counts, which the subtype results (</w:t>
      </w:r>
      <w:r>
        <w:fldChar w:fldCharType="begin"/>
      </w:r>
      <w:r>
        <w:instrText xml:space="preserve"> REF _Ref_tbl5 \h </w:instrText>
      </w:r>
      <w:r>
        <w:fldChar w:fldCharType="separate"/>
      </w:r>
      <w:r>
        <w:t>Table 5</w:t>
      </w:r>
      <w:r>
        <w:fldChar w:fldCharType="end"/>
      </w:r>
      <w:r>
        <w:t xml:space="preserve"> and </w:t>
      </w:r>
      <w:r>
        <w:fldChar w:fldCharType="begin"/>
      </w:r>
      <w:r>
        <w:instrText xml:space="preserve"> REF _Ref_fig9 \h </w:instrText>
      </w:r>
      <w:r>
        <w:fldChar w:fldCharType="separate"/>
      </w:r>
      <w:r>
        <w:t>Figure 9</w:t>
      </w:r>
      <w:r>
        <w:fldChar w:fldCharType="end"/>
      </w:r>
      <w:r>
        <w:t>) show can overstate access.</w:t>
      </w:r>
    </w:p>
    <w:p w14:paraId="5F9A42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3C03080C"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5B589B4F" w14:textId="77777777" w:rsidR="00091F08" w:rsidRDefault="00091F08" w:rsidP="00091F08">
      <w:pPr>
        <w:pStyle w:val="Heading1"/>
        <w:numPr>
          <w:ilvl w:val="0"/>
          <w:numId w:val="11"/>
        </w:numPr>
      </w:pPr>
      <w:bookmarkStart w:id="46" w:name="_Ref_sec_methods"/>
      <w:commentRangeStart w:id="47"/>
      <w:r>
        <w:lastRenderedPageBreak/>
        <w:t>Methods</w:t>
      </w:r>
      <w:bookmarkEnd w:id="46"/>
      <w:commentRangeEnd w:id="47"/>
      <w:r w:rsidR="009C6396">
        <w:rPr>
          <w:rStyle w:val="CommentReference"/>
          <w:sz w:val="28"/>
          <w:szCs w:val="28"/>
        </w:rPr>
        <w:commentReference w:id="47"/>
      </w:r>
    </w:p>
    <w:p w14:paraId="714B1591" w14:textId="77777777" w:rsidR="00091F08" w:rsidRDefault="00091F08" w:rsidP="00091F08">
      <w:pPr>
        <w:pStyle w:val="Heading2"/>
        <w:numPr>
          <w:ilvl w:val="1"/>
          <w:numId w:val="11"/>
        </w:numPr>
      </w:pPr>
      <w:r>
        <w:t>Empirical Approach</w:t>
      </w:r>
    </w:p>
    <w:p w14:paraId="68873CC8" w14: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t>
      </w:r>
      <w:r w:rsidR="001F19B7">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Section </w:t>
      </w:r>
      <w:r>
        <w:fldChar w:fldCharType="begin"/>
      </w:r>
      <w:r>
        <w:instrText xml:space="preserve"> REF _Ref_sec_m_baseline \r \h </w:instrText>
      </w:r>
      <w:r>
        <w:fldChar w:fldCharType="separate"/>
      </w:r>
      <w:r>
        <w:t>6.6</w:t>
      </w:r>
      <w:r>
        <w:fldChar w:fldCharType="end"/>
      </w:r>
      <w:r>
        <w:t xml:space="preserve"> states the baseline equation, Section </w:t>
      </w:r>
      <w:r>
        <w:fldChar w:fldCharType="begin"/>
      </w:r>
      <w:r>
        <w:instrText xml:space="preserve"> REF _Ref_sec_modelseries \r \h </w:instrText>
      </w:r>
      <w:r>
        <w:fldChar w:fldCharType="separate"/>
      </w:r>
      <w:r>
        <w:t>6.7</w:t>
      </w:r>
      <w:r>
        <w:fldChar w:fldCharType="end"/>
      </w:r>
      <w:r>
        <w:t xml:space="preserve"> defines each rung of the ladder, and </w:t>
      </w:r>
      <w:r>
        <w:fldChar w:fldCharType="begin"/>
      </w:r>
      <w:r>
        <w:instrText xml:space="preserve"> REF _Ref_fig4 \h </w:instrText>
      </w:r>
      <w:r>
        <w:fldChar w:fldCharType="separate"/>
      </w:r>
      <w:r>
        <w:t>Figure 4</w:t>
      </w:r>
      <w:r>
        <w:fldChar w:fldCharType="end"/>
      </w:r>
      <w:r>
        <w:t xml:space="preserve"> shows the resulting coefficient paths. It also supports direct comparison across technologies, which is central to the paper’s multi-DER framing.</w:t>
      </w:r>
    </w:p>
    <w:p w14:paraId="759A5941"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733AE15"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04AA24EA"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0E56CADA" w14:textId="77777777" w:rsidR="00091F08" w:rsidRDefault="00091F08" w:rsidP="00091F08">
      <w:pPr>
        <w:pStyle w:val="Heading2"/>
        <w:numPr>
          <w:ilvl w:val="1"/>
          <w:numId w:val="11"/>
        </w:numPr>
      </w:pPr>
      <w:bookmarkStart w:id="48" w:name="_Ref_sec_m_data"/>
      <w:commentRangeStart w:id="49"/>
      <w:r>
        <w:t>Dataset Construction and Sample</w:t>
      </w:r>
      <w:bookmarkEnd w:id="48"/>
      <w:commentRangeEnd w:id="49"/>
      <w:r w:rsidR="009C6396">
        <w:rPr>
          <w:rStyle w:val="CommentReference"/>
          <w:sz w:val="26"/>
          <w:szCs w:val="26"/>
        </w:rPr>
        <w:commentReference w:id="49"/>
      </w:r>
    </w:p>
    <w:p w14:paraId="32B0B642" w14:textId="77777777" w:rsidR="00091F08" w:rsidRDefault="00091F08" w:rsidP="00091F08">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https://github.com/vineetjnair9/distributed-energy-resources-equity-CA under the MIT License. The harmonized ZIP/ZCTA analysis file will be deposited as a separate Zenodo record under CC-BY-4.0.</w:t>
      </w:r>
    </w:p>
    <w:p w14:paraId="404CCA22" w14:textId="77777777" w:rsidR="00091F08" w:rsidRDefault="00091F08" w:rsidP="00091F08">
      <w:commentRangeStart w:id="50"/>
      <w:r>
        <w:t xml:space="preserve">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charger rows without a valid source ZIP are excluded from ZIP/ZCTA charger outcomes rather than reassigned using latitude/longitude, while valid source-ZIP rows </w:t>
      </w:r>
      <w:r>
        <w:lastRenderedPageBreak/>
        <w:t xml:space="preserve">are retained even if descriptive fields are blank or say No information.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commentRangeEnd w:id="50"/>
      <w:r w:rsidR="009C6396">
        <w:rPr>
          <w:rStyle w:val="CommentReference"/>
          <w:sz w:val="22"/>
          <w:szCs w:val="22"/>
        </w:rPr>
        <w:commentReference w:id="50"/>
      </w:r>
    </w:p>
    <w:p w14:paraId="5CF3511E" w14:textId="77777777" w:rsidR="00091F08" w:rsidRDefault="00091F08" w:rsidP="00091F08">
      <w:r>
        <w:t>After source-specific cleaning, the DER measures are merged with contextual predictors. Demographic and socioeconomic variables come from the 2023 American Community Survey 5-year estimates. Housing structure uses every category in ACS B25024: single-family, multifamily, mobile-home, and boat/RV/van/other shares sum to one. Tenure uses B25003 owner occupancy, with renter occupancy as its complement. Climate and renewable-resource controls come from NASA POWER; utility territory uses a ZIP-to-utility spatial crosswalk; and annualized utility usage provides the electricity-demand proxy.</w:t>
      </w:r>
    </w:p>
    <w:p w14:paraId="7D7BD2C6" w14:textId="77777777" w:rsidR="00091F08" w:rsidRDefault="00091F08" w:rsidP="00091F08">
      <w:r>
        <w:t xml:space="preserve">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1251DED5" w14:textId="77777777" w:rsidR="00091F08" w:rsidRDefault="00091F08" w:rsidP="00091F08">
      <w:pPr>
        <w:pStyle w:val="Heading2"/>
        <w:numPr>
          <w:ilvl w:val="1"/>
          <w:numId w:val="11"/>
        </w:numPr>
      </w:pPr>
      <w:bookmarkStart w:id="51" w:name="_Ref_sec_m_outcomes"/>
      <w:r>
        <w:t>Outcome Variables</w:t>
      </w:r>
      <w:bookmarkEnd w:id="51"/>
    </w:p>
    <w:p w14:paraId="69DE503E"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ZIP/ZCTAs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5925AA47" w14:textId="77777777" w:rsidR="001F19B7" w:rsidRDefault="00091F08" w:rsidP="001F19B7">
      <w:r>
        <w:t>For EV charging:</w:t>
      </w:r>
    </w:p>
    <w:p w14:paraId="2E622B35" w14:textId="34591920"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52" w:name="_Ref_eq_chargers"/>
      <w:r>
        <w:t>(</w:t>
      </w:r>
      <w:r>
        <w:fldChar w:fldCharType="begin"/>
      </w:r>
      <w:r>
        <w:instrText xml:space="preserve"> SEQ Equation \* ARABIC </w:instrText>
      </w:r>
      <w:r>
        <w:fldChar w:fldCharType="separate"/>
      </w:r>
      <w:r>
        <w:t>1</w:t>
      </w:r>
      <w:r>
        <w:fldChar w:fldCharType="end"/>
      </w:r>
      <w:r>
        <w:t>)</w:t>
      </w:r>
      <w:bookmarkEnd w:id="52"/>
    </w:p>
    <w:p w14:paraId="07204AB4" w14:textId="77777777" w:rsidR="00091F08" w:rsidRDefault="00091F08" w:rsidP="00091F08">
      <w:r>
        <w:t>For solar PV:</w:t>
      </w:r>
    </w:p>
    <w:p w14:paraId="7CDE8293"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53" w:name="_Ref_eq_pv"/>
      <w:r>
        <w:t>(</w:t>
      </w:r>
      <w:r>
        <w:fldChar w:fldCharType="begin"/>
      </w:r>
      <w:r>
        <w:instrText xml:space="preserve"> SEQ Equation \* ARABIC </w:instrText>
      </w:r>
      <w:r>
        <w:fldChar w:fldCharType="separate"/>
      </w:r>
      <w:r>
        <w:t>2</w:t>
      </w:r>
      <w:r>
        <w:fldChar w:fldCharType="end"/>
      </w:r>
      <w:r>
        <w:t>)</w:t>
      </w:r>
      <w:bookmarkEnd w:id="53"/>
    </w:p>
    <w:p w14:paraId="7F444187" w14:textId="77777777" w:rsidR="00091F08" w:rsidRDefault="00091F08" w:rsidP="00091F08">
      <w:r>
        <w:t>For battery storage:</w:t>
      </w:r>
    </w:p>
    <w:p w14:paraId="7892C91B"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54" w:name="_Ref_eq_storage"/>
      <w:r>
        <w:t>(</w:t>
      </w:r>
      <w:r>
        <w:fldChar w:fldCharType="begin"/>
      </w:r>
      <w:r>
        <w:instrText xml:space="preserve"> SEQ Equation \* ARABIC </w:instrText>
      </w:r>
      <w:r>
        <w:fldChar w:fldCharType="separate"/>
      </w:r>
      <w:r>
        <w:t>3</w:t>
      </w:r>
      <w:r>
        <w:fldChar w:fldCharType="end"/>
      </w:r>
      <w:r>
        <w:t>)</w:t>
      </w:r>
      <w:bookmarkEnd w:id="54"/>
    </w:p>
    <w:p w14:paraId="323A14C2" w14: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93B2B5E" w14:textId="77777777" w:rsidR="00091F08" w:rsidRDefault="00091F08" w:rsidP="00091F08">
      <w:pPr>
        <w:pStyle w:val="Heading2"/>
        <w:numPr>
          <w:ilvl w:val="1"/>
          <w:numId w:val="11"/>
        </w:numPr>
      </w:pPr>
      <w:bookmarkStart w:id="55" w:name="_Ref_sec_m_predictors"/>
      <w:r>
        <w:t>Key Explanatory Variables</w:t>
      </w:r>
      <w:bookmarkEnd w:id="55"/>
    </w:p>
    <w:p w14:paraId="6DFBADA1" w14:textId="0DBAE160"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6B40FCAF" w14:textId="77777777" w:rsidR="00091F08" w:rsidRDefault="00091F08" w:rsidP="00091F08">
      <w:r>
        <w:lastRenderedPageBreak/>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372AC7E0"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7F42B16A" w14:textId="77777777" w:rsidR="00091F08" w:rsidRDefault="0014223F" w:rsidP="00091F08">
      <w:pPr>
        <w:pStyle w:val="Heading2"/>
        <w:numPr>
          <w:ilvl w:val="1"/>
          <w:numId w:val="11"/>
        </w:numPr>
      </w:pPr>
      <w:bookmarkStart w:id="56" w:name="_Ref_sec_m_controls"/>
      <w:r>
        <w:t>Contextual Controls</w:t>
      </w:r>
      <w:bookmarkEnd w:id="56"/>
    </w:p>
    <w:p w14:paraId="3C9D35EE" w14: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62AC00D" w14: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116B5B2" w14: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ZIP/ZCTA contributes an independent disturbance.</w:t>
      </w:r>
    </w:p>
    <w:p w14:paraId="3F455AFC" w14: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62C04FE9" w14:textId="77777777" w:rsidR="00091F08" w:rsidRDefault="00F51C53" w:rsidP="00091F08">
      <w:pPr>
        <w:pStyle w:val="Heading2"/>
        <w:numPr>
          <w:ilvl w:val="1"/>
          <w:numId w:val="11"/>
        </w:numPr>
      </w:pPr>
      <w:bookmarkStart w:id="57" w:name="_Ref_sec_m_baseline"/>
      <w:r>
        <w:t>Baseline Regression Specification</w:t>
      </w:r>
      <w:bookmarkEnd w:id="57"/>
    </w:p>
    <w:p w14:paraId="06C679BC" w14:textId="77777777" w:rsidR="00091F08" w:rsidRDefault="00091F08" w:rsidP="00091F08">
      <w:r>
        <w:t>The main estimation approach is ordinary least squares regression using the transformed ZIP/ZCTA-level deployment outcomes. The baseline specification is:</w:t>
      </w:r>
    </w:p>
    <w:p w14:paraId="0738DDD8" w14:textId="7F374BB7" w:rsidR="00091F08" w:rsidRDefault="00191111" w:rsidP="3DC018EE">
      <w:pPr>
        <w:tabs>
          <w:tab w:val="right" w:pos="10080"/>
        </w:tabs>
        <w:jc w:val="center"/>
      </w:pPr>
      <w:commentRangeStart w:id="58"/>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9"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9"/>
      <w:commentRangeEnd w:id="58"/>
      <w:r w:rsidR="005C1A7B">
        <w:rPr>
          <w:rStyle w:val="CommentReference"/>
          <w:sz w:val="22"/>
          <w:szCs w:val="22"/>
        </w:rPr>
        <w:commentReference w:id="58"/>
      </w:r>
    </w:p>
    <w:p w14:paraId="2BA351F4" w14:textId="6BDBA16B" w:rsidR="00091F08" w:rsidRDefault="00091F08" w:rsidP="00091F08">
      <w:r>
        <w:t xml:space="preserve">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3.</w:t>
      </w:r>
    </w:p>
    <w:p w14:paraId="338BD71B" w14: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F19B7">
        <w:t>we</w:t>
      </w:r>
      <w:r>
        <w:t xml:space="preserve"> also cluster standard errors at the county level to allow for within-</w:t>
      </w:r>
      <w:r>
        <w:lastRenderedPageBreak/>
        <w:t xml:space="preserve">county correlation in errors. </w:t>
      </w:r>
      <w:r w:rsidR="00581AD7">
        <w:t xml:space="preserve">Because deployment in one ZIP/ZCTA may be related to deployment in its neighbors, we also report </w:t>
      </w:r>
      <w:r w:rsidR="002E28C7">
        <w:t xml:space="preserve">Conley </w:t>
      </w:r>
      <w:r w:rsidR="00581AD7">
        <w:t xml:space="preserve">heteroskedasticity- and autocorrelation-consistent (HAC) standard errors, which allow residuals to be correlated across nearby areas rather than treating each ZIP/ZCTA as independent. </w:t>
      </w:r>
      <w:r>
        <w:t xml:space="preserve">Spatially robust alternatives to both estimators are reported in </w:t>
      </w:r>
      <w:r>
        <w:fldChar w:fldCharType="begin"/>
      </w:r>
      <w:r>
        <w:instrText xml:space="preserve"> REF _Ref_tbl_conley \h </w:instrText>
      </w:r>
      <w:r>
        <w:fldChar w:fldCharType="separate"/>
      </w:r>
      <w:r>
        <w:t>Table 9</w:t>
      </w:r>
      <w:r>
        <w:fldChar w:fldCharType="end"/>
      </w:r>
      <w:r>
        <w:t>.</w:t>
      </w:r>
    </w:p>
    <w:p w14:paraId="16C7FC01" w14:textId="18FD81DD" w:rsidR="00091F08" w:rsidRDefault="00091F08" w:rsidP="00091F08">
      <w:r>
        <w:t xml:space="preserve">Rather than relying on one preferred specification, </w:t>
      </w:r>
      <w:r w:rsidR="001F19B7">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111B79FF" w14:textId="77777777" w:rsidR="00091F08" w:rsidRDefault="00F51C53" w:rsidP="00091F08">
      <w:pPr>
        <w:pStyle w:val="Heading2"/>
        <w:numPr>
          <w:ilvl w:val="1"/>
          <w:numId w:val="11"/>
        </w:numPr>
      </w:pPr>
      <w:bookmarkStart w:id="60" w:name="_Ref236222995"/>
      <w:bookmarkStart w:id="61" w:name="_Ref_sec_modelseries"/>
      <w:commentRangeStart w:id="62"/>
      <w:r>
        <w:t>Model Series</w:t>
      </w:r>
      <w:bookmarkEnd w:id="60"/>
      <w:bookmarkEnd w:id="61"/>
      <w:commentRangeEnd w:id="62"/>
      <w:r w:rsidR="008645D8">
        <w:rPr>
          <w:rStyle w:val="CommentReference"/>
          <w:sz w:val="26"/>
          <w:szCs w:val="26"/>
        </w:rPr>
        <w:commentReference w:id="62"/>
      </w:r>
    </w:p>
    <w:p w14:paraId="6623F7FD" w14:textId="77777777" w:rsidR="00091F08" w:rsidRDefault="002B54C7" w:rsidP="00091F08">
      <w:pPr>
        <w:pStyle w:val="Heading3"/>
        <w:numPr>
          <w:ilvl w:val="2"/>
          <w:numId w:val="11"/>
        </w:numPr>
      </w:pPr>
      <w:r>
        <w:t>Model 1: Baseline Equity Specification</w:t>
      </w:r>
    </w:p>
    <w:p w14:paraId="0CED8246" w14:textId="23C9EE75" w:rsidR="00091F08" w:rsidRDefault="00091F08" w:rsidP="00091F08">
      <w:r>
        <w:t xml:space="preserve">The baseline model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w:t>
      </w:r>
      <w:commentRangeStart w:id="63"/>
      <w:r>
        <w:t xml:space="preserve">Equation </w:t>
      </w:r>
      <w:r>
        <w:fldChar w:fldCharType="begin"/>
      </w:r>
      <w:r>
        <w:instrText xml:space="preserve"> REF _Ref_eq_climate \h </w:instrText>
      </w:r>
      <w:r>
        <w:fldChar w:fldCharType="separate"/>
      </w:r>
      <w:r>
        <w:t>(5)</w:t>
      </w:r>
      <w:r>
        <w:fldChar w:fldCharType="end"/>
      </w:r>
      <w:r>
        <w:t>.</w:t>
      </w:r>
      <w:commentRangeEnd w:id="63"/>
      <w:r w:rsidR="00623188">
        <w:rPr>
          <w:rStyle w:val="CommentReference"/>
          <w:sz w:val="22"/>
          <w:szCs w:val="22"/>
        </w:rPr>
        <w:commentReference w:id="63"/>
      </w:r>
    </w:p>
    <w:p w14:paraId="0EAB7759" w14:textId="14CDC457" w:rsidR="00B140D9" w:rsidRDefault="00191111" w:rsidP="3DC018EE">
      <w:pPr>
        <w:tabs>
          <w:tab w:val="right" w:pos="10080"/>
        </w:tabs>
        <w:jc w:val="center"/>
      </w:pPr>
      <w:r>
        <w:rPr>
          <w:rFonts w:ascii="Cambria Math" w:hAnsi="Cambria Math"/>
          <w:sz w:val="18"/>
        </w:rPr>
        <w:t xml:space="preserve">y_z = β₀ + β RaceSES_z + γ Climate_z + ε_z                                      </w:t>
      </w:r>
      <w:bookmarkStart w:id="64" w:name="_Ref_eq_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5</w:t>
      </w:r>
      <w:r>
        <w:rPr>
          <w:rFonts w:ascii="Cambria Math" w:hAnsi="Cambria Math"/>
          <w:sz w:val="18"/>
        </w:rPr>
        <w:fldChar w:fldCharType="end"/>
      </w:r>
      <w:r>
        <w:rPr>
          <w:rFonts w:ascii="Cambria Math" w:hAnsi="Cambria Math"/>
          <w:sz w:val="18"/>
        </w:rPr>
        <w:t>)</w:t>
      </w:r>
      <w:bookmarkEnd w:id="64"/>
    </w:p>
    <w:p w14:paraId="630E427C" w14:textId="77777777" w:rsidR="00091F08" w:rsidRDefault="00137C58" w:rsidP="00091F08">
      <w:pPr>
        <w:pStyle w:val="Heading3"/>
        <w:numPr>
          <w:ilvl w:val="2"/>
          <w:numId w:val="11"/>
        </w:numPr>
      </w:pPr>
      <w:bookmarkStart w:id="65" w:name="_Ref_sec_model2"/>
      <w:r>
        <w:t>Model 2: Additional Socioeconomic Controls</w:t>
      </w:r>
      <w:bookmarkEnd w:id="65"/>
    </w:p>
    <w:p w14:paraId="1B69928B" w14:textId="34F1FC2C" w:rsidR="00091F08" w:rsidRDefault="00306FC0" w:rsidP="00091F08">
      <w:r>
        <w:t>We estimate four Model 2 variants. Models 2A and 2B add bachelor’s attainment and median housing value</w:t>
      </w:r>
      <w:r w:rsidR="004E68F3">
        <w:t>, respectively</w:t>
      </w:r>
      <w:r>
        <w:t xml:space="preserve">. Model 2C adds </w:t>
      </w:r>
      <w:r w:rsidR="004E68F3">
        <w:t xml:space="preserve">exhaustive housing structure composition with </w:t>
      </w:r>
      <w:r>
        <w:t>multifamily, mobile-home, and boat/RV/van/other shares</w:t>
      </w:r>
      <w:r w:rsidR="004E68F3">
        <w:t>, while single-family units are omitted as reference.</w:t>
      </w:r>
      <w:r>
        <w:t xml:space="preserve"> Model 2D </w:t>
      </w:r>
      <w:r w:rsidR="0006707B">
        <w:t xml:space="preserve">further </w:t>
      </w:r>
      <w:r>
        <w:t>adds owner occupancy</w:t>
      </w:r>
      <w:r w:rsidR="0006707B">
        <w:t>, with renters as the omitted tenure reference</w:t>
      </w:r>
      <w:r>
        <w:t xml:space="preserve">. The implementation fails rather than silently simplifying Models 2C or 2D when a required housing variable is absent or constant. These variants use the general additional-control form in Equation </w:t>
      </w:r>
      <w:r>
        <w:fldChar w:fldCharType="begin"/>
      </w:r>
      <w:r>
        <w:instrText xml:space="preserve"> REF _Ref_eq_sesextra \h </w:instrText>
      </w:r>
      <w:r>
        <w:fldChar w:fldCharType="separate"/>
      </w:r>
      <w:r>
        <w:t>(6)</w:t>
      </w:r>
      <w:r>
        <w:fldChar w:fldCharType="end"/>
      </w:r>
      <w:r>
        <w:t>.</w:t>
      </w:r>
    </w:p>
    <w:p w14:paraId="3C27ABAC" w14:textId="4263F129" w:rsidR="00B140D9" w:rsidRDefault="00191111" w:rsidP="3DC018EE">
      <w:pPr>
        <w:tabs>
          <w:tab w:val="right" w:pos="10080"/>
        </w:tabs>
        <w:jc w:val="center"/>
      </w:pPr>
      <w:r>
        <w:rPr>
          <w:rFonts w:ascii="Cambria Math" w:hAnsi="Cambria Math"/>
          <w:sz w:val="18"/>
        </w:rPr>
        <w:t xml:space="preserve">y_z = β₀ + β RaceSES_z + θ SESextra_z + γ Climate_z + ε_z                       </w:t>
      </w:r>
      <w:bookmarkStart w:id="66" w:name="_Ref_eq_sesextra"/>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6</w:t>
      </w:r>
      <w:r>
        <w:rPr>
          <w:rFonts w:ascii="Cambria Math" w:hAnsi="Cambria Math"/>
          <w:sz w:val="18"/>
        </w:rPr>
        <w:fldChar w:fldCharType="end"/>
      </w:r>
      <w:r>
        <w:rPr>
          <w:rFonts w:ascii="Cambria Math" w:hAnsi="Cambria Math"/>
          <w:sz w:val="18"/>
        </w:rPr>
        <w:t>)</w:t>
      </w:r>
      <w:bookmarkEnd w:id="66"/>
    </w:p>
    <w:p w14:paraId="58F1C2C5" w14:textId="77777777" w:rsidR="00091F08" w:rsidRDefault="00091F08" w:rsidP="00091F08">
      <w:pPr>
        <w:pStyle w:val="Heading3"/>
        <w:numPr>
          <w:ilvl w:val="2"/>
          <w:numId w:val="11"/>
        </w:numPr>
      </w:pPr>
      <w:ins w:id="4004" w:author="Claude (heading consistency)" w:date="2026-08-13T18:40:00Z">
        <w:r>
          <w:t xml:space="preserve">Model 3: </w:t>
        </w:r>
      </w:ins>
      <w:r>
        <w:t>Alternative Climate and Resource Controls</w:t>
      </w:r>
    </w:p>
    <w:p w14:paraId="4DC9DEE0" w14:textId="77777777" w:rsidR="008E511D" w:rsidRDefault="008E511D" w:rsidP="008E511D">
      <w:r>
        <w:t>Model 3A: Heating and cooling degree days</w:t>
      </w:r>
    </w:p>
    <w:p w14:paraId="54781303" w14:textId="77777777" w:rsidR="008E511D" w:rsidRDefault="008E511D" w:rsidP="008E511D">
      <w:r>
        <w:t>Model 3B: Mean temperature only</w:t>
      </w:r>
    </w:p>
    <w:p w14:paraId="1D7E398D" w14:textId="77777777" w:rsidR="008E511D" w:rsidRPr="008E511D" w:rsidRDefault="008E511D" w:rsidP="008E511D">
      <w:r>
        <w:t>Model 3C: Global horizontal irradiance only</w:t>
      </w:r>
    </w:p>
    <w:p w14:paraId="0E729970" w14:textId="0F278F2F" w:rsidR="00091F08" w:rsidRDefault="00091F08" w:rsidP="00091F08">
      <w:r>
        <w:t xml:space="preserve">To test whether results depend on a particular way of capturing geographic context, </w:t>
      </w:r>
      <w:r w:rsidR="001F19B7">
        <w:t>we</w:t>
      </w:r>
      <w:r>
        <w:t xml:space="preserve"> estimate alternative versions of the baseline model with different climate or physical-suitability controls. For PV, this includes solar irradiance. For some outcomes, </w:t>
      </w:r>
      <w:r w:rsidR="001F19B7">
        <w:t>we</w:t>
      </w:r>
      <w:r>
        <w:t xml:space="preserve"> compare degree-day controls with mean-temperature-based controls. For wind-related outcomes, </w:t>
      </w:r>
      <w:r w:rsidR="001F19B7">
        <w:t>we</w:t>
      </w:r>
      <w:r>
        <w:t xml:space="preserve"> use wind resource measures. Equation </w:t>
      </w:r>
      <w:r>
        <w:fldChar w:fldCharType="begin"/>
      </w:r>
      <w:r>
        <w:instrText xml:space="preserve"> REF _Ref_eq_altclimate \h </w:instrText>
      </w:r>
      <w:r>
        <w:fldChar w:fldCharType="separate"/>
      </w:r>
      <w:r>
        <w:t>(7)</w:t>
      </w:r>
      <w:r>
        <w:fldChar w:fldCharType="end"/>
      </w:r>
      <w:r>
        <w:t xml:space="preserve"> shows the resulting specification.</w:t>
      </w:r>
    </w:p>
    <w:p w14:paraId="5D750E8A" w14:textId="7BACB704" w:rsidR="00B140D9" w:rsidRDefault="00191111" w:rsidP="3DC018EE">
      <w:pPr>
        <w:tabs>
          <w:tab w:val="right" w:pos="10080"/>
        </w:tabs>
        <w:jc w:val="center"/>
      </w:pPr>
      <w:r>
        <w:rPr>
          <w:rFonts w:ascii="Cambria Math" w:hAnsi="Cambria Math"/>
          <w:sz w:val="18"/>
        </w:rPr>
        <w:t xml:space="preserve">y_z = β₀ + β RaceSES_z + θ ResourceClimateAlt_z + ε_z                            </w:t>
      </w:r>
      <w:bookmarkStart w:id="67" w:name="_Ref_eq_alt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7</w:t>
      </w:r>
      <w:r>
        <w:rPr>
          <w:rFonts w:ascii="Cambria Math" w:hAnsi="Cambria Math"/>
          <w:sz w:val="18"/>
        </w:rPr>
        <w:fldChar w:fldCharType="end"/>
      </w:r>
      <w:r>
        <w:rPr>
          <w:rFonts w:ascii="Cambria Math" w:hAnsi="Cambria Math"/>
          <w:sz w:val="18"/>
        </w:rPr>
        <w:t>)</w:t>
      </w:r>
      <w:bookmarkEnd w:id="67"/>
    </w:p>
    <w:p w14:paraId="6EBBAE74" w14:textId="77777777" w:rsidR="00091F08" w:rsidRDefault="00091F08" w:rsidP="00091F08">
      <w:pPr>
        <w:pStyle w:val="Heading3"/>
        <w:numPr>
          <w:ilvl w:val="2"/>
          <w:numId w:val="11"/>
        </w:numPr>
      </w:pPr>
      <w:ins w:id="4003" w:author="Claude (heading consistency)" w:date="2026-08-13T18:40:00Z">
        <w:r>
          <w:t xml:space="preserve">Model 4: </w:t>
        </w:r>
      </w:ins>
      <w:r>
        <w:t>Race-by-Income Interactions</w:t>
      </w:r>
    </w:p>
    <w:p w14:paraId="31208EAE" w14:textId="77777777" w:rsidR="008E511D" w:rsidRDefault="008E511D" w:rsidP="008E511D">
      <w:r>
        <w:t>Model 4: Race-by-income interactions (mean-centered)</w:t>
      </w:r>
    </w:p>
    <w:p w14:paraId="490E6A53" w14:textId="77777777" w:rsidR="008E511D" w:rsidRPr="008E511D" w:rsidRDefault="008E511D" w:rsidP="008E511D">
      <w:r>
        <w:t>Model 4R: Race-by-income interactions, reduced (mean-centered)</w:t>
      </w:r>
    </w:p>
    <w:p w14:paraId="4911C612" w14:textId="2BF61675" w:rsidR="00091F08" w:rsidRDefault="00FA0279" w:rsidP="00091F08">
      <w:r>
        <w:t>W</w:t>
      </w:r>
      <w:r w:rsidR="00FC526E">
        <w:t xml:space="preserve">e test whether the income gradient in DER deployment differs across communities by including interaction terms between income and race/ethnicity shares. These variables are mean-centered before interaction so that the main effects remain interpretable. The interacted specification is Equation </w:t>
      </w:r>
      <w:r>
        <w:fldChar w:fldCharType="begin"/>
      </w:r>
      <w:r>
        <w:instrText xml:space="preserve"> REF _Ref_eq_interaction \h </w:instrText>
      </w:r>
      <w:r>
        <w:fldChar w:fldCharType="separate"/>
      </w:r>
      <w:r>
        <w:t>(8)</w:t>
      </w:r>
      <w:r>
        <w:fldChar w:fldCharType="end"/>
      </w:r>
      <w:r w:rsidR="00FC526E">
        <w:t>.</w:t>
      </w:r>
    </w:p>
    <w:p w14:paraId="49E88B29" w14:textId="1AC83FAD" w:rsidR="00B140D9" w:rsidRDefault="00000000" w:rsidP="3DC018EE">
      <w:pPr>
        <w:tabs>
          <w:tab w:val="right" w:pos="10080"/>
        </w:tabs>
        <w:jc w:val="center"/>
      </w:pPr>
      <w:r>
        <w:rPr>
          <w:rFonts w:ascii="Cambria Math" w:hAnsi="Cambria Math"/>
          <w:sz w:val="18"/>
        </w:rPr>
        <w:lastRenderedPageBreak/>
        <w:t xml:space="preserve">y_z = β₀ + β RaceSES_z + δ(Income_z × Race_z) + γX_z + ε_z                       </w:t>
      </w:r>
      <w:bookmarkStart w:id="68" w:name="_Ref_eq_interaction"/>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8</w:t>
      </w:r>
      <w:r>
        <w:rPr>
          <w:rFonts w:ascii="Cambria Math" w:hAnsi="Cambria Math"/>
          <w:sz w:val="18"/>
        </w:rPr>
        <w:fldChar w:fldCharType="end"/>
      </w:r>
      <w:r>
        <w:rPr>
          <w:rFonts w:ascii="Cambria Math" w:hAnsi="Cambria Math"/>
          <w:sz w:val="18"/>
        </w:rPr>
        <w:t>)</w:t>
      </w:r>
      <w:bookmarkEnd w:id="68"/>
    </w:p>
    <w:p w14:paraId="792F8FF0" w14:textId="77777777" w:rsidR="00091F08" w:rsidRDefault="00091F08" w:rsidP="00091F08">
      <w:pPr>
        <w:pStyle w:val="Heading3"/>
        <w:numPr>
          <w:ilvl w:val="2"/>
          <w:numId w:val="11"/>
        </w:numPr>
      </w:pPr>
      <w:bookmarkStart w:id="69" w:name="_Ref_sec_model5"/>
      <w:ins w:id="4002" w:author="Claude (heading consistency)" w:date="2026-08-13T18:40:00Z">
        <w:r>
          <w:t xml:space="preserve">Model 5: </w:t>
        </w:r>
      </w:ins>
      <w:r>
        <w:t>Utility Fixed Effects and Inference Robustness</w:t>
      </w:r>
      <w:bookmarkEnd w:id="69"/>
    </w:p>
    <w:p w14:paraId="30B1E78B" w14:textId="77777777" w:rsidR="008E511D" w:rsidRDefault="008E511D" w:rsidP="008E511D">
      <w:r>
        <w:t>Model 5: Utility territory fixed effects</w:t>
      </w:r>
    </w:p>
    <w:p w14:paraId="340C94FE" w14:textId="77777777" w:rsidR="008E511D" w:rsidRPr="008E511D" w:rsidRDefault="008E511D" w:rsidP="008E511D">
      <w:r>
        <w:t>Model 5C: County-clustered standard errors</w:t>
      </w:r>
    </w:p>
    <w:p w14:paraId="61BC916A" w14:textId="0F3F9A08" w:rsidR="00091F08" w:rsidRDefault="00FA0279" w:rsidP="00091F08">
      <w:r>
        <w:t>We</w:t>
      </w:r>
      <w:r w:rsidR="00FC526E">
        <w:t xml:space="preserve"> estimate specifications with utility territory fixed effects to absorb institutional differences across service areas. </w:t>
      </w:r>
      <w:r>
        <w:t>We</w:t>
      </w:r>
      <w:r w:rsidR="00FC526E">
        <w:t xml:space="preserve"> also estimate county-clustered standard errors as a robustness check for inference. Equation </w:t>
      </w:r>
      <w:r>
        <w:fldChar w:fldCharType="begin"/>
      </w:r>
      <w:r>
        <w:instrText xml:space="preserve"> REF _Ref_eq_utilityfe \h </w:instrText>
      </w:r>
      <w:r>
        <w:fldChar w:fldCharType="separate"/>
      </w:r>
      <w:r>
        <w:t>(9)</w:t>
      </w:r>
      <w:r>
        <w:fldChar w:fldCharType="end"/>
      </w:r>
      <w:r w:rsidR="00FC526E">
        <w:t xml:space="preserve"> adds the utility fixed effect.</w:t>
      </w:r>
    </w:p>
    <w:p w14:paraId="1A2371BE" w14:textId="1604D1A4" w:rsidR="00B140D9" w:rsidRDefault="00191111" w:rsidP="3DC018EE">
      <w:pPr>
        <w:tabs>
          <w:tab w:val="right" w:pos="10080"/>
        </w:tabs>
        <w:jc w:val="center"/>
      </w:pPr>
      <w:r>
        <w:rPr>
          <w:rFonts w:ascii="Cambria Math" w:hAnsi="Cambria Math"/>
          <w:sz w:val="18"/>
        </w:rPr>
        <w:t xml:space="preserve">y_z = β₀ + β RaceSES_z + γX_z + δ Utility_z + ε_z                                </w:t>
      </w:r>
      <w:bookmarkStart w:id="70" w:name="_Ref_eq_utili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9</w:t>
      </w:r>
      <w:r>
        <w:rPr>
          <w:rFonts w:ascii="Cambria Math" w:hAnsi="Cambria Math"/>
          <w:sz w:val="18"/>
        </w:rPr>
        <w:fldChar w:fldCharType="end"/>
      </w:r>
      <w:r>
        <w:rPr>
          <w:rFonts w:ascii="Cambria Math" w:hAnsi="Cambria Math"/>
          <w:sz w:val="18"/>
        </w:rPr>
        <w:t>)</w:t>
      </w:r>
      <w:bookmarkEnd w:id="70"/>
    </w:p>
    <w:p w14:paraId="5CCF3E85" w14:textId="77777777" w:rsidR="00091F08" w:rsidRDefault="00091F08" w:rsidP="008E511D">
      <w:pPr>
        <w:pStyle w:val="Heading3"/>
        <w:numPr>
          <w:ilvl w:val="2"/>
          <w:numId w:val="11"/>
        </w:numPr>
        <w:tabs>
          <w:tab w:val="left" w:pos="2647"/>
        </w:tabs>
      </w:pPr>
      <w:ins w:id="4001" w:author="Claude (heading consistency)" w:date="2026-08-13T18:40:00Z">
        <w:r>
          <w:t xml:space="preserve">Model 6: </w:t>
        </w:r>
      </w:ins>
      <w:r>
        <w:t>Geographic Robustness</w:t>
      </w:r>
      <w:r>
        <w:tab/>
      </w:r>
    </w:p>
    <w:p w14:paraId="159E4C83" w14:textId="77777777" w:rsidR="008E511D" w:rsidRDefault="008E511D" w:rsidP="008E511D">
      <w:r>
        <w:t>Model 6A: Latitude and longitude controls</w:t>
      </w:r>
    </w:p>
    <w:p w14:paraId="74E9E90C" w14:textId="77777777" w:rsidR="008E511D" w:rsidRPr="008E511D" w:rsidRDefault="008E511D" w:rsidP="008E511D">
      <w:r>
        <w:t>Model 6B: County fixed effects</w:t>
      </w:r>
    </w:p>
    <w:p w14:paraId="4C9E58AF" w14:textId="49BF91A9" w:rsidR="00091F08" w:rsidRDefault="00091F08" w:rsidP="00091F08">
      <w:r>
        <w:t xml:space="preserve">Additional specifications introduce latitude and longitude or county fixed effects to test whether the main patterns are simply reflecting broad regional gradients within California rather than more local disparities. Equations </w:t>
      </w:r>
      <w:r>
        <w:fldChar w:fldCharType="begin"/>
      </w:r>
      <w:r>
        <w:instrText xml:space="preserve"> REF _Ref_eq_geo \h </w:instrText>
      </w:r>
      <w:r>
        <w:fldChar w:fldCharType="separate"/>
      </w:r>
      <w:r>
        <w:t>(10)</w:t>
      </w:r>
      <w:r>
        <w:fldChar w:fldCharType="end"/>
      </w:r>
      <w:r>
        <w:t xml:space="preserve"> and </w:t>
      </w:r>
      <w:r>
        <w:fldChar w:fldCharType="begin"/>
      </w:r>
      <w:r>
        <w:instrText xml:space="preserve"> REF _Ref_eq_countyfe \h </w:instrText>
      </w:r>
      <w:r>
        <w:fldChar w:fldCharType="separate"/>
      </w:r>
      <w:r>
        <w:t>(11)</w:t>
      </w:r>
      <w:r>
        <w:fldChar w:fldCharType="end"/>
      </w:r>
      <w:r>
        <w:t xml:space="preserve"> give the coordinate-control and county fixed-effect versions.</w:t>
      </w:r>
    </w:p>
    <w:p w14:paraId="71BD1DFE" w14:textId="5543D344" w:rsidR="00B140D9" w:rsidRDefault="00191111" w:rsidP="3DC018EE">
      <w:pPr>
        <w:tabs>
          <w:tab w:val="right" w:pos="10080"/>
        </w:tabs>
        <w:jc w:val="center"/>
      </w:pPr>
      <w:r>
        <w:rPr>
          <w:rFonts w:ascii="Cambria Math" w:hAnsi="Cambria Math"/>
          <w:sz w:val="18"/>
        </w:rPr>
        <w:t xml:space="preserve">y_z = β₀ + β RaceSES_z + γX_z + θ Geo_z + ε_z                                  </w:t>
      </w:r>
      <w:bookmarkStart w:id="71" w:name="_Ref_eq_geo"/>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10</w:t>
      </w:r>
      <w:r>
        <w:rPr>
          <w:rFonts w:ascii="Cambria Math" w:hAnsi="Cambria Math"/>
          <w:sz w:val="18"/>
        </w:rPr>
        <w:fldChar w:fldCharType="end"/>
      </w:r>
      <w:r>
        <w:rPr>
          <w:rFonts w:ascii="Cambria Math" w:hAnsi="Cambria Math"/>
          <w:sz w:val="18"/>
        </w:rPr>
        <w:t>)</w:t>
      </w:r>
      <w:bookmarkEnd w:id="71"/>
    </w:p>
    <w:p w14:paraId="7F34931A" w14:textId="77777777" w:rsidR="004A1694" w:rsidRDefault="004A1694" w:rsidP="00091F08">
      <w:r>
        <w:t>With county fixed effects:</w:t>
      </w:r>
    </w:p>
    <w:p w14:paraId="1EFC59FD" w14:textId="260CAD7F" w:rsidR="004A1694" w:rsidRDefault="00191111" w:rsidP="3DC018EE">
      <w:pPr>
        <w:tabs>
          <w:tab w:val="right" w:pos="10080"/>
        </w:tabs>
        <w:jc w:val="center"/>
      </w:pPr>
      <w:r>
        <w:rPr>
          <w:rFonts w:ascii="Cambria Math" w:hAnsi="Cambria Math"/>
          <w:sz w:val="18"/>
        </w:rPr>
        <w:t xml:space="preserve">y_z = β₀ + β RaceSES_z + γX_z + δ County_z + ε_z                               </w:t>
      </w:r>
      <w:bookmarkStart w:id="72" w:name="_Ref_eq_coun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11</w:t>
      </w:r>
      <w:r>
        <w:rPr>
          <w:rFonts w:ascii="Cambria Math" w:hAnsi="Cambria Math"/>
          <w:sz w:val="18"/>
        </w:rPr>
        <w:fldChar w:fldCharType="end"/>
      </w:r>
      <w:r>
        <w:rPr>
          <w:rFonts w:ascii="Cambria Math" w:hAnsi="Cambria Math"/>
          <w:sz w:val="18"/>
        </w:rPr>
        <w:t>)</w:t>
      </w:r>
      <w:bookmarkEnd w:id="72"/>
    </w:p>
    <w:p w14:paraId="5214F708" w14:textId="77777777" w:rsidR="00091F08" w:rsidRDefault="002B54C7" w:rsidP="00091F08">
      <w:pPr>
        <w:pStyle w:val="Heading3"/>
        <w:numPr>
          <w:ilvl w:val="2"/>
          <w:numId w:val="11"/>
        </w:numPr>
      </w:pPr>
      <w:bookmarkStart w:id="73" w:name="_Ref_sec_model7"/>
      <w:r>
        <w:t>Model 7: Infrastructure Context Controls</w:t>
      </w:r>
      <w:bookmarkEnd w:id="73"/>
    </w:p>
    <w:p w14:paraId="0955C99F" w14:textId="77777777" w:rsidR="008E511D" w:rsidRPr="008E511D" w:rsidRDefault="008E511D" w:rsidP="008E511D">
      <w:r>
        <w:t>Model 7PC: Per-capita infrastructure controls</w:t>
      </w:r>
    </w:p>
    <w:p w14:paraId="3B2498D3" w14:textId="4F68BA27" w:rsidR="00091F08" w:rsidRDefault="00FA0279" w:rsidP="00091F08">
      <w:r>
        <w:t>We</w:t>
      </w:r>
      <w:r w:rsidR="00FC526E">
        <w:t xml:space="preserve"> add measures of existing energy infrastructure to examine whether local deployment patterns are partly explained by the surrounding energy-system context. These models test whether communities with more existing infrastructure also mechanically appear to have more DER deployment. Equation </w:t>
      </w:r>
      <w:r>
        <w:fldChar w:fldCharType="begin"/>
      </w:r>
      <w:r>
        <w:instrText xml:space="preserve"> REF _Ref_eq_infrastructure \h </w:instrText>
      </w:r>
      <w:r>
        <w:fldChar w:fldCharType="separate"/>
      </w:r>
      <w:r>
        <w:t>(12)</w:t>
      </w:r>
      <w:r>
        <w:fldChar w:fldCharType="end"/>
      </w:r>
      <w:r w:rsidR="00FC526E">
        <w:t xml:space="preserve"> adds the infrastructure block.</w:t>
      </w:r>
    </w:p>
    <w:p w14:paraId="0607BC1C" w14:textId="7FBA3BE9" w:rsidR="004A1694" w:rsidRDefault="00191111" w:rsidP="3DC018EE">
      <w:pPr>
        <w:tabs>
          <w:tab w:val="right" w:pos="10080"/>
        </w:tabs>
        <w:jc w:val="center"/>
      </w:pPr>
      <w:r>
        <w:rPr>
          <w:rFonts w:ascii="Cambria Math" w:hAnsi="Cambria Math"/>
          <w:sz w:val="18"/>
        </w:rPr>
        <w:t xml:space="preserve">y_z = β₀ + β RaceSES_z + γX_z + λ Infrastructure_z + ε_z                       </w:t>
      </w:r>
      <w:bookmarkStart w:id="74" w:name="_Ref_eq_infrastructur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12</w:t>
      </w:r>
      <w:r>
        <w:rPr>
          <w:rFonts w:ascii="Cambria Math" w:hAnsi="Cambria Math"/>
          <w:sz w:val="18"/>
        </w:rPr>
        <w:fldChar w:fldCharType="end"/>
      </w:r>
      <w:r>
        <w:rPr>
          <w:rFonts w:ascii="Cambria Math" w:hAnsi="Cambria Math"/>
          <w:sz w:val="18"/>
        </w:rPr>
        <w:t>)</w:t>
      </w:r>
      <w:bookmarkEnd w:id="74"/>
    </w:p>
    <w:p w14:paraId="71C82F66" w14:textId="77777777" w:rsidR="008159BC" w:rsidRPr="008159BC" w:rsidRDefault="002B54C7" w:rsidP="008159BC">
      <w:pPr>
        <w:pStyle w:val="Heading3"/>
        <w:numPr>
          <w:ilvl w:val="2"/>
          <w:numId w:val="11"/>
        </w:numPr>
      </w:pPr>
      <w:bookmarkStart w:id="75" w:name="_Ref_sec_model8"/>
      <w:r>
        <w:t>Model 8:  Electricity Demand Controls</w:t>
      </w:r>
      <w:bookmarkEnd w:id="75"/>
    </w:p>
    <w:p w14:paraId="27CF42DC" w14:textId="2699605E" w:rsidR="00091F08" w:rsidRDefault="00C47129" w:rsidP="00091F08">
      <w:r>
        <w:t xml:space="preserve">Here, </w:t>
      </w:r>
      <w:r w:rsidR="001F19B7">
        <w:t>we</w:t>
      </w:r>
      <w:r>
        <w:t xml:space="preserve"> add a demand proxy based on annual electricity consumption. This is particularly relevant for EV charging, where infrastructure deployment may track commercial activity and underlying load as much as residential adoption potential. Equation </w:t>
      </w:r>
      <w:r>
        <w:fldChar w:fldCharType="begin"/>
      </w:r>
      <w:r>
        <w:instrText xml:space="preserve"> REF _Ref_eq_demand \h </w:instrText>
      </w:r>
      <w:r>
        <w:fldChar w:fldCharType="separate"/>
      </w:r>
      <w:r>
        <w:t>(13)</w:t>
      </w:r>
      <w:r>
        <w:fldChar w:fldCharType="end"/>
      </w:r>
      <w:r>
        <w:t xml:space="preserve"> adds the demand proxy.</w:t>
      </w:r>
    </w:p>
    <w:p w14:paraId="5544AD7D" w14:textId="4703D4CD" w:rsidR="00184A8A" w:rsidRDefault="00000000">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1,390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14:paraId="46C07DC2" w14:textId="6512C040" w:rsidR="008159BC" w:rsidRDefault="00191111" w:rsidP="3DC018EE">
      <w:pPr>
        <w:tabs>
          <w:tab w:val="right" w:pos="10080"/>
        </w:tabs>
        <w:jc w:val="center"/>
      </w:pPr>
      <w:r>
        <w:rPr>
          <w:rFonts w:ascii="Cambria Math" w:hAnsi="Cambria Math"/>
          <w:sz w:val="18"/>
        </w:rPr>
        <w:t xml:space="preserve">y_z = β₀ + β RaceSES_z + γX_z + λ Infrastructure_z + ϕ Demand_z + ε_z          </w:t>
      </w:r>
      <w:bookmarkStart w:id="76" w:name="_Ref_eq_demand"/>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13</w:t>
      </w:r>
      <w:r>
        <w:rPr>
          <w:rFonts w:ascii="Cambria Math" w:hAnsi="Cambria Math"/>
          <w:sz w:val="18"/>
        </w:rPr>
        <w:fldChar w:fldCharType="end"/>
      </w:r>
      <w:r>
        <w:rPr>
          <w:rFonts w:ascii="Cambria Math" w:hAnsi="Cambria Math"/>
          <w:sz w:val="18"/>
        </w:rPr>
        <w:t>)</w:t>
      </w:r>
      <w:bookmarkEnd w:id="76"/>
    </w:p>
    <w:p w14:paraId="61A56426" w14:textId="77777777" w:rsidR="008159BC" w:rsidRPr="008159BC" w:rsidRDefault="008159BC" w:rsidP="008159BC">
      <w:pPr>
        <w:pStyle w:val="Heading3"/>
        <w:numPr>
          <w:ilvl w:val="2"/>
          <w:numId w:val="11"/>
        </w:numPr>
      </w:pPr>
      <w:bookmarkStart w:id="77" w:name="_Ref_sec_model9"/>
      <w:r>
        <w:lastRenderedPageBreak/>
        <w:t>Models 9 and 9A: Outcome-Specific DER Cross-Control and Extension Models</w:t>
      </w:r>
      <w:bookmarkEnd w:id="77"/>
    </w:p>
    <w:p w14:paraId="20FFFC7E" w14:textId="1B6649BE" w:rsidR="002B54C7" w:rsidRPr="002B54C7" w:rsidRDefault="002B54C7" w:rsidP="008159BC">
      <w:r>
        <w:t xml:space="preserve">Model 9 (storage, with PV control) adds local PV deployment to the storage model, to test whether storage disparities persist after conditioning on upstream PV deployment. Equation </w:t>
      </w:r>
      <w:r>
        <w:fldChar w:fldCharType="begin"/>
      </w:r>
      <w:r>
        <w:instrText xml:space="preserve"> REF _Ref_eq_dercontrol \h </w:instrText>
      </w:r>
      <w:r>
        <w:fldChar w:fldCharType="separate"/>
      </w:r>
      <w:r>
        <w:t>(14)</w:t>
      </w:r>
      <w:r>
        <w:fldChar w:fldCharType="end"/>
      </w:r>
      <w:r>
        <w:t xml:space="preserve"> states the combined specification. Model 9A (predicting burden) instead adds DER deployment terms to the energy-burden outcome models, to examine whether DER deployment is associated with household energy burden or affordability gaps. These are two distinct specifications with different outcomes and different control sets; they are labelled separately in all exported tables and figures, as "Model 9 + pv control (most controlled)" and "Model 9A (predicting burden)" respectively.</w:t>
      </w:r>
    </w:p>
    <w:p w14:paraId="13D83655" w14:textId="3E27C67B" w:rsidR="002B54C7" w:rsidRPr="002B54C7" w:rsidRDefault="00191111" w:rsidP="3DC018EE">
      <w:pPr>
        <w:tabs>
          <w:tab w:val="right" w:pos="10080"/>
        </w:tabs>
        <w:jc w:val="center"/>
      </w:pPr>
      <w:r>
        <w:rPr>
          <w:rFonts w:ascii="Cambria Math" w:hAnsi="Cambria Math"/>
          <w:sz w:val="18"/>
        </w:rPr>
        <w:t xml:space="preserve">y_z = β₀ + β RaceSES_z + γX_z + λ Infrastructure_z + ϕ Demand_z + ψ DER_z + ε_z </w:t>
      </w:r>
      <w:bookmarkStart w:id="78" w:name="_Ref_eq_dercontrol"/>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14</w:t>
      </w:r>
      <w:r>
        <w:rPr>
          <w:rFonts w:ascii="Cambria Math" w:hAnsi="Cambria Math"/>
          <w:sz w:val="18"/>
        </w:rPr>
        <w:fldChar w:fldCharType="end"/>
      </w:r>
      <w:r>
        <w:rPr>
          <w:rFonts w:ascii="Cambria Math" w:hAnsi="Cambria Math"/>
          <w:sz w:val="18"/>
        </w:rPr>
        <w:t>)</w:t>
      </w:r>
      <w:bookmarkEnd w:id="78"/>
    </w:p>
    <w:p w14:paraId="68A91FE3" w14:textId="0C77ACA2" w:rsidR="002B54C7" w:rsidRDefault="002B54C7" w:rsidP="00091F08">
      <w:r>
        <w:t xml:space="preserve">Because these two variants differ in both outcome and control set, </w:t>
      </w:r>
      <w:r w:rsidR="001F19B7">
        <w:t>we</w:t>
      </w:r>
      <w:r>
        <w:t xml:space="preserve"> treat them as targeted robustness and extension models rather than a single, uniform specification applied across all outcomes.</w:t>
      </w:r>
    </w:p>
    <w:p w14:paraId="3B392C78" w14:textId="6EC3ED19" w:rsidR="00091F08" w:rsidRDefault="00091F08" w:rsidP="00091F08">
      <w:r>
        <w:t xml:space="preserve">Taken together, this model ladder allows us to ask a structured question: do racial/ethnic disparities shrink meaningfully once </w:t>
      </w:r>
      <w:r w:rsidR="001F19B7">
        <w:t>we</w:t>
      </w:r>
      <w:r>
        <w:t xml:space="preserve"> account for socioeconomic status, geography, utility context, and infrastructure, or do they remain persistent across specifications?</w:t>
      </w:r>
    </w:p>
    <w:p w14:paraId="1B6BCBBE" w14:textId="77777777" w:rsidR="00091F08" w:rsidRDefault="0042424C" w:rsidP="00091F08">
      <w:pPr>
        <w:pStyle w:val="Heading2"/>
        <w:numPr>
          <w:ilvl w:val="1"/>
          <w:numId w:val="11"/>
        </w:numPr>
      </w:pPr>
      <w:bookmarkStart w:id="79" w:name="_Ref_sec_m_estimation"/>
      <w:r>
        <w:t>Estimation and Inference</w:t>
      </w:r>
      <w:bookmarkEnd w:id="79"/>
    </w:p>
    <w:p w14:paraId="1173E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27048056" w14:textId="77777777" w:rsidR="00091F08" w:rsidRDefault="0042424C" w:rsidP="00091F08">
      <w:pPr>
        <w:pStyle w:val="Heading2"/>
        <w:numPr>
          <w:ilvl w:val="1"/>
          <w:numId w:val="11"/>
        </w:numPr>
      </w:pPr>
      <w:bookmarkStart w:id="80" w:name="_Ref_sec_m_robustness"/>
      <w:r>
        <w:t>Robustness and Diagnostic Checks</w:t>
      </w:r>
      <w:bookmarkEnd w:id="80"/>
    </w:p>
    <w:p w14:paraId="72BC3B5B" w14: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Table 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Figure 2</w:t>
      </w:r>
      <w:r>
        <w:fldChar w:fldCharType="end"/>
      </w:r>
      <w:r>
        <w:t xml:space="preserve">, and </w:t>
      </w:r>
      <w:r>
        <w:fldChar w:fldCharType="begin"/>
      </w:r>
      <w:r>
        <w:instrText xml:space="preserve"> REF _Ref_fig4 \h </w:instrText>
      </w:r>
      <w:r>
        <w:fldChar w:fldCharType="separate"/>
      </w:r>
      <w:r>
        <w:t>Figure 4</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w:t>
      </w:r>
    </w:p>
    <w:p w14:paraId="3A3E0347"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Table 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78107FF3" w14: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(Figure 17, Figure 18, </w:t>
      </w:r>
      <w:r>
        <w:lastRenderedPageBreak/>
        <w:t>and Figure 20). These models are not the basis for the paper’s main claims. Instead, they serve as a diagnostic check on whether simple linear models are missing strong nonlinear structure. The substantive conclusions remain grounded in the interpretable OLS results.</w:t>
      </w:r>
    </w:p>
    <w:p w14:paraId="2C098038" w14:textId="77777777" w:rsidR="00091F08" w:rsidRDefault="00D32F87" w:rsidP="00CF0667">
      <w:pPr>
        <w:pStyle w:val="Heading2"/>
        <w:numPr>
          <w:ilvl w:val="1"/>
          <w:numId w:val="11"/>
        </w:numPr>
        <w:jc w:val="both"/>
      </w:pPr>
      <w:bookmarkStart w:id="81" w:name="_Ref_sec_limitations"/>
      <w:r>
        <w:t>Methodological Limitations</w:t>
      </w:r>
      <w:bookmarkEnd w:id="81"/>
    </w:p>
    <w:p w14:paraId="0388B040" w14:textId="182BC91D" w:rsidR="00091F08" w:rsidRDefault="00091F08" w:rsidP="00091F08">
      <w:r>
        <w:t xml:space="preserve">This methodology identifies area-level associations, not causal effects. </w:t>
      </w:r>
      <w:r w:rsidR="00833BDD">
        <w:t>Housing</w:t>
      </w:r>
      <w:r>
        <w:t xml:space="preserve"> structure and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14:paraId="4182A31D" w14:textId="77777777" w:rsidR="00B86A12" w:rsidRDefault="00000000">
      <w:r>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14:paraId="4BB864CE" w14:textId="77777777" w:rsidR="00B86A12" w:rsidRDefault="00000000">
      <w:r>
        <w:t xml:space="preserve">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(Section </w:t>
      </w:r>
      <w:r>
        <w:fldChar w:fldCharType="begin"/>
      </w:r>
      <w:r>
        <w:instrText xml:space="preserve"> REF _Ref_sec_m_data \r \h </w:instrText>
      </w:r>
      <w:r>
        <w:fldChar w:fldCharType="separate"/>
      </w:r>
      <w:r>
        <w:t>6.2</w:t>
      </w:r>
      <w:r>
        <w:fldChar w:fldCharType="end"/>
      </w:r>
      <w:r>
        <w:t>), so the charger outcomes should be interpreted as valid-source-ZIP charger records.</w:t>
      </w:r>
    </w:p>
    <w:p w14:paraId="7C00016F" w14:textId="77777777" w:rsidR="00B86A12" w:rsidRDefault="00000000">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(Section 4.8; Figure 16).</w:t>
      </w:r>
    </w:p>
    <w:p w14:paraId="2743EDEC"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5782CD68" w14:textId="59819CF4" w:rsidR="00E062E0" w:rsidRDefault="00000000" w:rsidP="00524914">
      <w:pPr>
        <w:pStyle w:val="Heading1"/>
        <w:numPr>
          <w:ilvl w:val="0"/>
          <w:numId w:val="11"/>
        </w:numPr>
      </w:pPr>
      <w:bookmarkStart w:id="82" w:name="_Ref_sec_conclusion"/>
      <w:r>
        <w:t>Conclusion</w:t>
      </w:r>
      <w:bookmarkEnd w:id="82"/>
    </w:p>
    <w:p w14:paraId="2F374255" w14:textId="3ABD2E62" w:rsidR="00524914" w:rsidRDefault="00E062E0">
      <w:r>
        <w:t xml:space="preserve">This paper asks whether racial and socioeconomic disparities in distributed energy resource deployment persist across California ZIP/ZCTA areas once socioeconomic, housing,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while EV charging shows a more complicated pattern (Section </w:t>
      </w:r>
      <w:r>
        <w:fldChar w:fldCharType="begin"/>
      </w:r>
      <w:r>
        <w:instrText xml:space="preserve"> REF _Ref_sec_r_chargers \r \h </w:instrText>
      </w:r>
      <w:r>
        <w:fldChar w:fldCharType="separate"/>
      </w:r>
      <w:r>
        <w:t>4.4</w:t>
      </w:r>
      <w:r>
        <w:fldChar w:fldCharType="end"/>
      </w:r>
      <w:r>
        <w:t xml:space="preserve">) in which aggregate charger counts can obscure meaningful differences across charger types. Disparities do persist, subject to two qualifications the analysis makes explicit. Area-level housing structure and tenure absorb 32 to 53 percent of the race coefficients for solar PV and storage, so a substantial part of what reads as a racial gap actually tracks the housing stock. What remains is uneven in precision: the Asian-share coefficients for PV and storage hold at every distance cutoff under spatially robust standard errors, while the Black-share coefficients weaken once </w:t>
      </w:r>
      <w:r w:rsidR="001F19B7">
        <w:t>we</w:t>
      </w:r>
      <w:r>
        <w:t xml:space="preserve"> model spatial dependence (</w:t>
      </w:r>
      <w:r>
        <w:fldChar w:fldCharType="begin"/>
      </w:r>
      <w:r>
        <w:instrText xml:space="preserve"> REF _Ref_tbl_conley \h </w:instrText>
      </w:r>
      <w:r>
        <w:fldChar w:fldCharType="separate"/>
      </w:r>
      <w:r>
        <w:t>Table 9</w:t>
      </w:r>
      <w:r>
        <w:fldChar w:fldCharType="end"/>
      </w:r>
      <w:r>
        <w:t xml:space="preserve">). </w:t>
      </w:r>
    </w:p>
    <w:p w14:paraId="51618946" w14:textId="592B732A" w:rsidR="00B86A12" w:rsidRDefault="00000000">
      <w:r>
        <w:lastRenderedPageBreak/>
        <w:t xml:space="preserve">The broader lesson is that clean energy inequality is not one phenomenon (Section </w:t>
      </w:r>
      <w:r>
        <w:fldChar w:fldCharType="begin"/>
      </w:r>
      <w:r>
        <w:instrText xml:space="preserve"> REF _Ref_sec_r_overall \r \h </w:instrText>
      </w:r>
      <w:r>
        <w:fldChar w:fldCharType="separate"/>
      </w:r>
      <w:r>
        <w:t>4.9</w:t>
      </w:r>
      <w:r>
        <w:fldChar w:fldCharType="end"/>
      </w:r>
      <w:r>
        <w:t>).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r w:rsidR="00524914">
        <w:t xml:space="preserve"> </w:t>
      </w:r>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14:paraId="25DC1DD8" w14:textId="77777777" w:rsidR="00B86A12" w:rsidRDefault="00000000">
      <w:pPr>
        <w:pStyle w:val="Heading1"/>
      </w:pPr>
      <w:bookmarkStart w:id="83" w:name="_Ref_sec_appendix"/>
      <w:commentRangeStart w:id="84"/>
      <w:r>
        <w:t>Appendix: Additional Robustness Visuals</w:t>
      </w:r>
      <w:bookmarkEnd w:id="83"/>
      <w:commentRangeEnd w:id="84"/>
      <w:r w:rsidR="002E28C7">
        <w:rPr>
          <w:rStyle w:val="CommentReference"/>
          <w:sz w:val="28"/>
          <w:szCs w:val="28"/>
        </w:rPr>
        <w:commentReference w:id="84"/>
      </w:r>
    </w:p>
    <w:p w14:paraId="0871B207" w14:textId="77777777" w:rsidR="00B86A12" w:rsidRDefault="00000000">
      <w:r>
        <w:t>This appendix keeps the heavier visual material out of the main results flow while preserving model-comparison, spatial, wind, and housing-control checks (Figures 17 through 21), followed by the statistical diagnostics in Tables 7 through 9.</w:t>
      </w:r>
    </w:p>
    <w:p w14:paraId="0CC75FC2" w14:textId="77777777" w:rsidR="00B86A12" w:rsidRDefault="00000000">
      <w:pPr>
        <w:pStyle w:val="Heading3"/>
      </w:pPr>
      <w:r>
        <w:t>Outcome-specific model comparisons</w:t>
      </w:r>
    </w:p>
    <w:p w14:paraId="18A379EC"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8"/>
                    <a:stretch>
                      <a:fillRect/>
                    </a:stretch>
                  </pic:blipFill>
                  <pic:spPr>
                    <a:xfrm>
                      <a:off x="0" y="0"/>
                      <a:ext cx="5943600" cy="3366210"/>
                    </a:xfrm>
                    <a:prstGeom prst="rect">
                      <a:avLst/>
                    </a:prstGeom>
                  </pic:spPr>
                </pic:pic>
              </a:graphicData>
            </a:graphic>
          </wp:inline>
        </w:drawing>
      </w:r>
    </w:p>
    <w:p w14:paraId="57B14534" w14:textId="164AE088"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17</w:t>
      </w:r>
      <w:r>
        <w:fldChar w:fldCharType="end"/>
      </w:r>
      <w:r>
        <w:t xml:space="preserve">: </w:t>
      </w:r>
      <w:r w:rsidRPr="00D3151F">
        <w:t>Storage adoption: cross-validated predictive comparison of linear and nonlinear models. Error bars are +/- 1 SD across the five cross-validation folds.</w:t>
      </w:r>
    </w:p>
    <w:p w14:paraId="3B2E49EB" w14:textId="77777777" w:rsidR="00B86A12" w:rsidRDefault="00000000">
      <w:r>
        <w:t>Storage model-comparison figure (Figure 17). The same appendix folder also includes EV charging (Figure 18) and wind (Figure 20) comparison exports for side-by-side review.</w:t>
      </w:r>
    </w:p>
    <w:p w14:paraId="79D69E39" w14:textId="77777777" w:rsidR="00B86A12" w:rsidRDefault="00000000">
      <w:pPr>
        <w:pStyle w:val="Heading3"/>
      </w:pPr>
      <w:r>
        <w:lastRenderedPageBreak/>
        <w:t>EV charging model comparison</w:t>
      </w:r>
    </w:p>
    <w:p w14:paraId="326A1140"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9"/>
                    <a:stretch>
                      <a:fillRect/>
                    </a:stretch>
                  </pic:blipFill>
                  <pic:spPr>
                    <a:xfrm>
                      <a:off x="0" y="0"/>
                      <a:ext cx="5943600" cy="3366210"/>
                    </a:xfrm>
                    <a:prstGeom prst="rect">
                      <a:avLst/>
                    </a:prstGeom>
                  </pic:spPr>
                </pic:pic>
              </a:graphicData>
            </a:graphic>
          </wp:inline>
        </w:drawing>
      </w:r>
    </w:p>
    <w:p w14:paraId="3980F974" w14:textId="65F08BFA"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18</w:t>
      </w:r>
      <w:r>
        <w:fldChar w:fldCharType="end"/>
      </w:r>
      <w:r>
        <w:t xml:space="preserve">: </w:t>
      </w:r>
      <w:r w:rsidRPr="00B053F2">
        <w:t>Aggregate EV charging: cross-validated predictive comparison of linear and nonlinear models.</w:t>
      </w:r>
    </w:p>
    <w:p w14:paraId="1422C039" w14:textId="77777777" w:rsidR="00B86A12" w:rsidRDefault="00000000">
      <w:r>
        <w:t>Aggregate charging comparison across the model ladder (Figure 18), included here rather than inline so the main section can focus on the headline robustness (Figure 8) and subtype composition (Figure 9) figures.</w:t>
      </w:r>
    </w:p>
    <w:p w14:paraId="14351929" w14:textId="77777777" w:rsidR="00B86A12" w:rsidRDefault="00000000">
      <w:pPr>
        <w:pStyle w:val="Heading3"/>
      </w:pPr>
      <w:r>
        <w:t>Representative baseline spatial maps</w:t>
      </w:r>
    </w:p>
    <w:p w14:paraId="0E0561EB" w14:textId="77777777" w:rsidR="008A7C5A" w:rsidRDefault="00000000" w:rsidP="008A7C5A">
      <w:pPr>
        <w:keepNext/>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0"/>
                    <a:stretch>
                      <a:fillRect/>
                    </a:stretch>
                  </pic:blipFill>
                  <pic:spPr>
                    <a:xfrm>
                      <a:off x="0" y="0"/>
                      <a:ext cx="5943600" cy="2830607"/>
                    </a:xfrm>
                    <a:prstGeom prst="rect">
                      <a:avLst/>
                    </a:prstGeom>
                  </pic:spPr>
                </pic:pic>
              </a:graphicData>
            </a:graphic>
          </wp:inline>
        </w:drawing>
      </w:r>
    </w:p>
    <w:p w14:paraId="5412F430" w14:textId="1FE55BBB" w:rsidR="00B86A12" w:rsidRDefault="008A7C5A" w:rsidP="008A7C5A">
      <w:pPr>
        <w:pStyle w:val="Caption"/>
        <w:jc w:val="center"/>
      </w:pPr>
      <w:bookmarkStart w:id="85" w:name="_Ref_fig19"/>
      <w:r>
        <w:t xml:space="preserve">Figure </w:t>
      </w:r>
      <w:r>
        <w:fldChar w:fldCharType="begin"/>
      </w:r>
      <w:r>
        <w:instrText xml:space="preserve"> SEQ Figure \* ARABIC </w:instrText>
      </w:r>
      <w:r>
        <w:fldChar w:fldCharType="separate"/>
      </w:r>
      <w:r>
        <w:rPr>
          <w:noProof/>
        </w:rPr>
        <w:t>19</w:t>
      </w:r>
      <w:r>
        <w:fldChar w:fldCharType="end"/>
      </w:r>
      <w:bookmarkEnd w:id="85"/>
      <w:r>
        <w:t xml:space="preserve">: </w:t>
      </w:r>
      <w:r w:rsidRPr="00D75DDC">
        <w:t>Representative baseline spatial output for rooftop PV: observed adoption and Model 1 standardized residuals by ZIP/ZCTA.</w:t>
      </w:r>
    </w:p>
    <w:p w14:paraId="79D8B383" w14:textId="77777777" w:rsidR="00B86A12" w:rsidRDefault="00000000">
      <w:r>
        <w:t>Representative baseline spatial output for rooftop PV (Figure 19). Matching storage and charging spatial maps are linked in the same appendix asset folder; the statewide observed geography for all three outcomes is shown in Figure 1.</w:t>
      </w:r>
    </w:p>
    <w:p w14:paraId="096B98E9" w14:textId="77777777" w:rsidR="00B86A12" w:rsidRDefault="00000000">
      <w:pPr>
        <w:pStyle w:val="Heading3"/>
      </w:pPr>
      <w:r>
        <w:lastRenderedPageBreak/>
        <w:t>Supplementary wind comparison</w:t>
      </w:r>
    </w:p>
    <w:p w14:paraId="35A9F4DD"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1"/>
                    <a:stretch>
                      <a:fillRect/>
                    </a:stretch>
                  </pic:blipFill>
                  <pic:spPr>
                    <a:xfrm>
                      <a:off x="0" y="0"/>
                      <a:ext cx="5943600" cy="3367847"/>
                    </a:xfrm>
                    <a:prstGeom prst="rect">
                      <a:avLst/>
                    </a:prstGeom>
                  </pic:spPr>
                </pic:pic>
              </a:graphicData>
            </a:graphic>
          </wp:inline>
        </w:drawing>
      </w:r>
    </w:p>
    <w:p w14:paraId="7FD5E0E8" w14:textId="46E3273D" w:rsidR="00B86A12" w:rsidRDefault="008A7C5A" w:rsidP="008A7C5A">
      <w:pPr>
        <w:pStyle w:val="Caption"/>
        <w:jc w:val="center"/>
      </w:pPr>
      <w:r>
        <w:t xml:space="preserve">Figure </w:t>
      </w:r>
      <w:r>
        <w:fldChar w:fldCharType="begin"/>
      </w:r>
      <w:r>
        <w:instrText xml:space="preserve"> SEQ Figure \* ARABIC </w:instrText>
      </w:r>
      <w:r>
        <w:fldChar w:fldCharType="separate"/>
      </w:r>
      <w:r>
        <w:rPr>
          <w:noProof/>
        </w:rPr>
        <w:t>20</w:t>
      </w:r>
      <w:r>
        <w:fldChar w:fldCharType="end"/>
      </w:r>
      <w:r>
        <w:t xml:space="preserve">: </w:t>
      </w:r>
      <w:r w:rsidRPr="00D67ABE">
        <w:t>Wind capacity: cross-validated predictive comparison of linear and nonlinear models, included as contextual material.</w:t>
      </w:r>
    </w:p>
    <w:p w14:paraId="778B1E77" w14:textId="77777777" w:rsidR="00B86A12" w:rsidRDefault="00000000">
      <w:r>
        <w:t>Wind remains supplementary in the paper (Section 4.8), but the model-comparison export (Figure 20) is preserved here as a contextual benchmark against the consumer-facing DER outcomes.</w:t>
      </w:r>
    </w:p>
    <w:p w14:paraId="2F1CBF68" w14:textId="77777777" w:rsidR="00184A8A" w:rsidRDefault="00000000">
      <w:pPr>
        <w:pStyle w:val="Heading3"/>
      </w:pPr>
      <w:r>
        <w:t>Housing structure and tenure attenuation</w:t>
      </w:r>
    </w:p>
    <w:p w14:paraId="4DAC577E" w14:textId="77777777" w:rsidR="008A7C5A" w:rsidRDefault="00000000" w:rsidP="008A7C5A">
      <w:pPr>
        <w:keepNext/>
      </w:pPr>
      <w:r>
        <w:rPr>
          <w:noProof/>
        </w:rPr>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42"/>
                    <a:stretch>
                      <a:fillRect/>
                    </a:stretch>
                  </pic:blipFill>
                  <pic:spPr>
                    <a:xfrm>
                      <a:off x="0" y="0"/>
                      <a:ext cx="5852160" cy="2338610"/>
                    </a:xfrm>
                    <a:prstGeom prst="rect">
                      <a:avLst/>
                    </a:prstGeom>
                  </pic:spPr>
                </pic:pic>
              </a:graphicData>
            </a:graphic>
          </wp:inline>
        </w:drawing>
      </w:r>
    </w:p>
    <w:p w14:paraId="7CE7BC23" w14:textId="2768DB2F" w:rsidR="00184A8A" w:rsidRDefault="008A7C5A" w:rsidP="008A7C5A">
      <w:pPr>
        <w:pStyle w:val="Caption"/>
      </w:pPr>
      <w:r>
        <w:t xml:space="preserve">Figure </w:t>
      </w:r>
      <w:r>
        <w:fldChar w:fldCharType="begin"/>
      </w:r>
      <w:r>
        <w:instrText xml:space="preserve"> SEQ Figure \* ARABIC </w:instrText>
      </w:r>
      <w:r>
        <w:fldChar w:fldCharType="separate"/>
      </w:r>
      <w:r>
        <w:rPr>
          <w:noProof/>
        </w:rPr>
        <w:t>21</w:t>
      </w:r>
      <w:r>
        <w:fldChar w:fldCharType="end"/>
      </w:r>
      <w:r>
        <w:t xml:space="preserve">: </w:t>
      </w:r>
      <w:r w:rsidRPr="00AA5AFE">
        <w:t>Race-coefficient attenuation after adding exhaustive B25024 housing structure and B25003 tenure controls. Hollow points are the standardized baseline; filled points are Model 2D.</w:t>
      </w:r>
    </w:p>
    <w:p w14:paraId="13753785" w14:textId="77777777" w:rsidR="00184A8A" w:rsidRDefault="00000000">
      <w:r>
        <w:t>Structure coefficients use single-family housing as the omitted reference, and tenure uses renters as the omitted reference.</w:t>
      </w:r>
    </w:p>
    <w:p w14:paraId="12DF93E1" w14:textId="77777777" w:rsidR="00184A8A" w:rsidRDefault="3DC018EE">
      <w:pPr>
        <w:pStyle w:val="Heading2"/>
      </w:pPr>
      <w:bookmarkStart w:id="86" w:name="_Ref_sec_appx_diag"/>
      <w:r>
        <w:t>Statistical robustness and diagnostics</w:t>
      </w:r>
      <w:bookmarkEnd w:id="86"/>
    </w:p>
    <w:p w14:paraId="2638D8CF" w14:textId="3C2E2FDC" w:rsidR="00184A8A" w:rsidRDefault="3DC018EE">
      <w:r>
        <w:t>The remainder of the appendix reports diagnostic checks on the estimating equations rather than additional descriptive figures (</w:t>
      </w:r>
      <w:r>
        <w:fldChar w:fldCharType="begin"/>
      </w:r>
      <w:r>
        <w:instrText xml:space="preserve"> REF _Ref_tbl_vif \h </w:instrText>
      </w:r>
      <w:r>
        <w:fldChar w:fldCharType="separate"/>
      </w:r>
      <w:r>
        <w:t>Table 7</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 xml:space="preserve">). These do not alter any point estimate; they </w:t>
      </w:r>
      <w:r w:rsidR="00585544">
        <w:t>characterize</w:t>
      </w:r>
      <w:r>
        <w:t xml:space="preserve"> how </w:t>
      </w:r>
      <w:r>
        <w:lastRenderedPageBreak/>
        <w:t xml:space="preserve">much confidence the standard errors deserve and where the specification is strained. Section </w:t>
      </w:r>
      <w:r>
        <w:fldChar w:fldCharType="begin"/>
      </w:r>
      <w:r>
        <w:instrText xml:space="preserve"> REF _Ref_sec_m_robustness \r \h </w:instrText>
      </w:r>
      <w:r>
        <w:fldChar w:fldCharType="separate"/>
      </w:r>
      <w:r>
        <w:t>6.9</w:t>
      </w:r>
      <w:r>
        <w:fldChar w:fldCharType="end"/>
      </w:r>
      <w:r>
        <w:t xml:space="preserve"> describes the diagnostic strategy these checks implement.</w:t>
      </w:r>
    </w:p>
    <w:p w14:paraId="6DE24E45" w14:textId="77777777" w:rsidR="00184A8A" w:rsidRDefault="3DC018EE">
      <w:pPr>
        <w:pStyle w:val="Heading3"/>
        <w:pageBreakBefore/>
      </w:pPr>
      <w:r>
        <w:lastRenderedPageBreak/>
        <w:t>Multicollinearity diagnostics</w:t>
      </w:r>
    </w:p>
    <w:p w14:paraId="1DE19B70" w14:textId="77777777" w:rsidR="00184A8A" w:rsidRDefault="00000000">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VIF tables for every model and outcome are exported alongside the coefficient tables.</w:t>
      </w:r>
    </w:p>
    <w:p w14:paraId="7314E097" w14:textId="77777777" w:rsidR="00184A8A" w:rsidRDefault="3DC018EE">
      <w:pPr>
        <w:pStyle w:val="Caption"/>
        <w:keepNext/>
      </w:pPr>
      <w:bookmarkStart w:id="87" w:name="_Ref_tbl_vif"/>
      <w:r>
        <w:t xml:space="preserve">Table </w:t>
      </w:r>
      <w:r>
        <w:fldChar w:fldCharType="begin"/>
      </w:r>
      <w:r>
        <w:instrText xml:space="preserve"> SEQ Table \* ARABIC </w:instrText>
      </w:r>
      <w:r>
        <w:fldChar w:fldCharType="separate"/>
      </w:r>
      <w:r>
        <w:t>7</w:t>
      </w:r>
      <w:r>
        <w:fldChar w:fldCharType="end"/>
      </w:r>
      <w:bookmarkEnd w:id="87"/>
      <w:r>
        <w:t>: Variance inflation factors across four Solar PV specifications. Values above about 10 indicate a coefficient is not separately identified; an em dash means the predictor does not enter that model.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125EA7F5" w14:textId="77777777" w:rsidTr="3DC018EE">
        <w:trPr>
          <w:tblHeader/>
          <w:trHeight w:val="300"/>
        </w:trPr>
        <w:tc>
          <w:tcPr>
            <w:tcW w:w="2600" w:type="dxa"/>
            <w:tcBorders>
              <w:bottom w:val="single" w:sz="6" w:space="0" w:color="auto"/>
            </w:tcBorders>
            <w:shd w:val="clear" w:color="auto" w:fill="F2EFE7"/>
          </w:tcPr>
          <w:p w14:paraId="02F8F6F2" w14:textId="77777777" w:rsidR="00184A8A" w:rsidRDefault="3DC018EE">
            <w:r>
              <w:rPr>
                <w:b/>
                <w:bCs/>
              </w:rPr>
              <w:t>Predictor</w:t>
            </w:r>
          </w:p>
        </w:tc>
        <w:tc>
          <w:tcPr>
            <w:tcW w:w="1500" w:type="dxa"/>
            <w:tcBorders>
              <w:bottom w:val="single" w:sz="6" w:space="0" w:color="auto"/>
            </w:tcBorders>
            <w:shd w:val="clear" w:color="auto" w:fill="F2EFE7"/>
          </w:tcPr>
          <w:p w14:paraId="24265F95" w14:textId="77777777" w:rsidR="00184A8A" w:rsidRDefault="3DC018EE">
            <w:r>
              <w:rPr>
                <w:b/>
                <w:bCs/>
              </w:rPr>
              <w:t>M1 baseline</w:t>
            </w:r>
          </w:p>
        </w:tc>
        <w:tc>
          <w:tcPr>
            <w:tcW w:w="1700" w:type="dxa"/>
            <w:tcBorders>
              <w:bottom w:val="single" w:sz="6" w:space="0" w:color="auto"/>
            </w:tcBorders>
            <w:shd w:val="clear" w:color="auto" w:fill="F2EFE7"/>
          </w:tcPr>
          <w:p w14:paraId="6F2D9D69" w14:textId="77777777" w:rsidR="00184A8A" w:rsidRDefault="3DC018EE">
            <w:r>
              <w:rPr>
                <w:b/>
                <w:bCs/>
              </w:rPr>
              <w:t>M2 + housing value</w:t>
            </w:r>
          </w:p>
        </w:tc>
        <w:tc>
          <w:tcPr>
            <w:tcW w:w="1900" w:type="dxa"/>
            <w:tcBorders>
              <w:bottom w:val="single" w:sz="6" w:space="0" w:color="auto"/>
            </w:tcBorders>
            <w:shd w:val="clear" w:color="auto" w:fill="F2EFE7"/>
          </w:tcPr>
          <w:p w14:paraId="43FCC486" w14:textId="77777777" w:rsidR="00184A8A" w:rsidRDefault="3DC018EE">
            <w:r>
              <w:rPr>
                <w:b/>
                <w:bCs/>
              </w:rPr>
              <w:t>M2D + structure/tenure</w:t>
            </w:r>
          </w:p>
        </w:tc>
        <w:tc>
          <w:tcPr>
            <w:tcW w:w="2100" w:type="dxa"/>
            <w:tcBorders>
              <w:bottom w:val="single" w:sz="6" w:space="0" w:color="auto"/>
            </w:tcBorders>
            <w:shd w:val="clear" w:color="auto" w:fill="F2EFE7"/>
          </w:tcPr>
          <w:p w14:paraId="530C1A6D" w14:textId="77777777" w:rsidR="00184A8A" w:rsidRDefault="3DC018EE">
            <w:r>
              <w:rPr>
                <w:b/>
                <w:bCs/>
              </w:rPr>
              <w:t>M7 per-capita infrastructure</w:t>
            </w:r>
          </w:p>
        </w:tc>
      </w:tr>
      <w:tr w:rsidR="00184A8A" w14:paraId="4D79199F" w14:textId="77777777" w:rsidTr="3DC018EE">
        <w:trPr>
          <w:trHeight w:val="300"/>
        </w:trPr>
        <w:tc>
          <w:tcPr>
            <w:tcW w:w="2600" w:type="dxa"/>
          </w:tcPr>
          <w:p w14:paraId="545E2C1B" w14:textId="77777777" w:rsidR="00184A8A" w:rsidRDefault="3DC018EE">
            <w:r>
              <w:t>Log median income</w:t>
            </w:r>
          </w:p>
        </w:tc>
        <w:tc>
          <w:tcPr>
            <w:tcW w:w="1500" w:type="dxa"/>
          </w:tcPr>
          <w:p w14:paraId="3BCEFA4D" w14:textId="77777777" w:rsidR="00184A8A" w:rsidRDefault="00000000">
            <w:r>
              <w:t>3.09</w:t>
            </w:r>
          </w:p>
        </w:tc>
        <w:tc>
          <w:tcPr>
            <w:tcW w:w="1700" w:type="dxa"/>
          </w:tcPr>
          <w:p w14:paraId="0E65246F" w14:textId="77777777" w:rsidR="00184A8A" w:rsidRDefault="00000000">
            <w:r>
              <w:t>4.94</w:t>
            </w:r>
          </w:p>
        </w:tc>
        <w:tc>
          <w:tcPr>
            <w:tcW w:w="1900" w:type="dxa"/>
          </w:tcPr>
          <w:p w14:paraId="59335C3D" w14:textId="77777777" w:rsidR="00184A8A" w:rsidRDefault="00000000">
            <w:r>
              <w:t>3.64</w:t>
            </w:r>
          </w:p>
        </w:tc>
        <w:tc>
          <w:tcPr>
            <w:tcW w:w="2100" w:type="dxa"/>
          </w:tcPr>
          <w:p w14:paraId="2266668E" w14:textId="77777777" w:rsidR="00184A8A" w:rsidRDefault="00000000">
            <w:r>
              <w:t>3.18</w:t>
            </w:r>
          </w:p>
        </w:tc>
      </w:tr>
      <w:tr w:rsidR="00184A8A" w14:paraId="4A3BCD05" w14:textId="77777777" w:rsidTr="3DC018EE">
        <w:trPr>
          <w:trHeight w:val="300"/>
        </w:trPr>
        <w:tc>
          <w:tcPr>
            <w:tcW w:w="2600" w:type="dxa"/>
          </w:tcPr>
          <w:p w14:paraId="39D8BFE7" w14:textId="77777777" w:rsidR="00184A8A" w:rsidRDefault="3DC018EE">
            <w:r>
              <w:t>Poverty rate</w:t>
            </w:r>
          </w:p>
        </w:tc>
        <w:tc>
          <w:tcPr>
            <w:tcW w:w="1500" w:type="dxa"/>
          </w:tcPr>
          <w:p w14:paraId="4B46E446" w14:textId="77777777" w:rsidR="00184A8A" w:rsidRDefault="00000000">
            <w:r>
              <w:t>2.59</w:t>
            </w:r>
          </w:p>
        </w:tc>
        <w:tc>
          <w:tcPr>
            <w:tcW w:w="1700" w:type="dxa"/>
          </w:tcPr>
          <w:p w14:paraId="79B025B9" w14:textId="77777777" w:rsidR="00184A8A" w:rsidRDefault="00000000">
            <w:r>
              <w:t>2.68</w:t>
            </w:r>
          </w:p>
        </w:tc>
        <w:tc>
          <w:tcPr>
            <w:tcW w:w="1900" w:type="dxa"/>
          </w:tcPr>
          <w:p w14:paraId="75A4114E" w14:textId="77777777" w:rsidR="00184A8A" w:rsidRDefault="00000000">
            <w:r>
              <w:t>2.80</w:t>
            </w:r>
          </w:p>
        </w:tc>
        <w:tc>
          <w:tcPr>
            <w:tcW w:w="2100" w:type="dxa"/>
          </w:tcPr>
          <w:p w14:paraId="3238DB24" w14:textId="77777777" w:rsidR="00184A8A" w:rsidRDefault="00000000">
            <w:r>
              <w:t>2.61</w:t>
            </w:r>
          </w:p>
        </w:tc>
      </w:tr>
      <w:tr w:rsidR="00184A8A" w14:paraId="0063628C" w14:textId="77777777" w:rsidTr="3DC018EE">
        <w:trPr>
          <w:trHeight w:val="300"/>
        </w:trPr>
        <w:tc>
          <w:tcPr>
            <w:tcW w:w="2600" w:type="dxa"/>
          </w:tcPr>
          <w:p w14:paraId="73350398" w14:textId="77777777" w:rsidR="00184A8A" w:rsidRDefault="3DC018EE">
            <w:r>
              <w:t>% Hispanic</w:t>
            </w:r>
          </w:p>
        </w:tc>
        <w:tc>
          <w:tcPr>
            <w:tcW w:w="1500" w:type="dxa"/>
          </w:tcPr>
          <w:p w14:paraId="53D7C2B2" w14:textId="77777777" w:rsidR="00184A8A" w:rsidRDefault="00000000">
            <w:r>
              <w:t>1.42</w:t>
            </w:r>
          </w:p>
        </w:tc>
        <w:tc>
          <w:tcPr>
            <w:tcW w:w="1700" w:type="dxa"/>
          </w:tcPr>
          <w:p w14:paraId="175516D6" w14:textId="77777777" w:rsidR="00184A8A" w:rsidRDefault="00000000">
            <w:r>
              <w:t>1.43</w:t>
            </w:r>
          </w:p>
        </w:tc>
        <w:tc>
          <w:tcPr>
            <w:tcW w:w="1900" w:type="dxa"/>
          </w:tcPr>
          <w:p w14:paraId="3659BFFF" w14:textId="77777777" w:rsidR="00184A8A" w:rsidRDefault="00000000">
            <w:r>
              <w:t>1.61</w:t>
            </w:r>
          </w:p>
        </w:tc>
        <w:tc>
          <w:tcPr>
            <w:tcW w:w="2100" w:type="dxa"/>
          </w:tcPr>
          <w:p w14:paraId="2C277294" w14:textId="77777777" w:rsidR="00184A8A" w:rsidRDefault="00000000">
            <w:r>
              <w:t>1.46</w:t>
            </w:r>
          </w:p>
        </w:tc>
      </w:tr>
      <w:tr w:rsidR="00184A8A" w14:paraId="614F5844" w14:textId="77777777" w:rsidTr="3DC018EE">
        <w:trPr>
          <w:trHeight w:val="300"/>
        </w:trPr>
        <w:tc>
          <w:tcPr>
            <w:tcW w:w="2600" w:type="dxa"/>
          </w:tcPr>
          <w:p w14:paraId="7FC852F9" w14:textId="77777777" w:rsidR="00184A8A" w:rsidRDefault="3DC018EE">
            <w:r>
              <w:t>% Asian</w:t>
            </w:r>
          </w:p>
        </w:tc>
        <w:tc>
          <w:tcPr>
            <w:tcW w:w="1500" w:type="dxa"/>
          </w:tcPr>
          <w:p w14:paraId="43240A8D" w14:textId="77777777" w:rsidR="00184A8A" w:rsidRDefault="00000000">
            <w:r>
              <w:t>1.26</w:t>
            </w:r>
          </w:p>
        </w:tc>
        <w:tc>
          <w:tcPr>
            <w:tcW w:w="1700" w:type="dxa"/>
          </w:tcPr>
          <w:p w14:paraId="58B5A142" w14:textId="77777777" w:rsidR="00184A8A" w:rsidRDefault="00000000">
            <w:r>
              <w:t>1.29</w:t>
            </w:r>
          </w:p>
        </w:tc>
        <w:tc>
          <w:tcPr>
            <w:tcW w:w="1900" w:type="dxa"/>
          </w:tcPr>
          <w:p w14:paraId="4AF8393E" w14:textId="77777777" w:rsidR="00184A8A" w:rsidRDefault="00000000">
            <w:r>
              <w:t>1.37</w:t>
            </w:r>
          </w:p>
        </w:tc>
        <w:tc>
          <w:tcPr>
            <w:tcW w:w="2100" w:type="dxa"/>
          </w:tcPr>
          <w:p w14:paraId="2FB8D851" w14:textId="77777777" w:rsidR="00184A8A" w:rsidRDefault="00000000">
            <w:r>
              <w:t>1.34</w:t>
            </w:r>
          </w:p>
        </w:tc>
      </w:tr>
      <w:tr w:rsidR="00184A8A" w14:paraId="47D2401C" w14:textId="77777777" w:rsidTr="3DC018EE">
        <w:trPr>
          <w:trHeight w:val="300"/>
        </w:trPr>
        <w:tc>
          <w:tcPr>
            <w:tcW w:w="2600" w:type="dxa"/>
          </w:tcPr>
          <w:p w14:paraId="3BFA156D" w14:textId="77777777" w:rsidR="00184A8A" w:rsidRDefault="3DC018EE">
            <w:r>
              <w:t>Solar irradiance (GHI)</w:t>
            </w:r>
          </w:p>
        </w:tc>
        <w:tc>
          <w:tcPr>
            <w:tcW w:w="1500" w:type="dxa"/>
          </w:tcPr>
          <w:p w14:paraId="0414BF95" w14:textId="77777777" w:rsidR="00184A8A" w:rsidRDefault="00000000">
            <w:r>
              <w:t>1.15</w:t>
            </w:r>
          </w:p>
        </w:tc>
        <w:tc>
          <w:tcPr>
            <w:tcW w:w="1700" w:type="dxa"/>
          </w:tcPr>
          <w:p w14:paraId="2B066776" w14:textId="77777777" w:rsidR="00184A8A" w:rsidRDefault="00000000">
            <w:r>
              <w:t>1.18</w:t>
            </w:r>
          </w:p>
        </w:tc>
        <w:tc>
          <w:tcPr>
            <w:tcW w:w="1900" w:type="dxa"/>
          </w:tcPr>
          <w:p w14:paraId="2FBBD36A" w14:textId="77777777" w:rsidR="00184A8A" w:rsidRDefault="00000000">
            <w:r>
              <w:t>1.18</w:t>
            </w:r>
          </w:p>
        </w:tc>
        <w:tc>
          <w:tcPr>
            <w:tcW w:w="2100" w:type="dxa"/>
          </w:tcPr>
          <w:p w14:paraId="53AA502A" w14:textId="77777777" w:rsidR="00184A8A" w:rsidRDefault="00000000">
            <w:r>
              <w:t>1.15</w:t>
            </w:r>
          </w:p>
        </w:tc>
      </w:tr>
      <w:tr w:rsidR="00184A8A" w14:paraId="2965DE65" w14:textId="77777777" w:rsidTr="3DC018EE">
        <w:trPr>
          <w:trHeight w:val="300"/>
        </w:trPr>
        <w:tc>
          <w:tcPr>
            <w:tcW w:w="2600" w:type="dxa"/>
          </w:tcPr>
          <w:p w14:paraId="67F25EBE" w14:textId="77777777" w:rsidR="00184A8A" w:rsidRDefault="3DC018EE">
            <w:r>
              <w:t>% Black</w:t>
            </w:r>
          </w:p>
        </w:tc>
        <w:tc>
          <w:tcPr>
            <w:tcW w:w="1500" w:type="dxa"/>
          </w:tcPr>
          <w:p w14:paraId="5829806E" w14:textId="77777777" w:rsidR="00184A8A" w:rsidRDefault="00000000">
            <w:r>
              <w:t>1.04</w:t>
            </w:r>
          </w:p>
        </w:tc>
        <w:tc>
          <w:tcPr>
            <w:tcW w:w="1700" w:type="dxa"/>
          </w:tcPr>
          <w:p w14:paraId="4B30DAE5" w14:textId="77777777" w:rsidR="00184A8A" w:rsidRDefault="00000000">
            <w:r>
              <w:t>1.05</w:t>
            </w:r>
          </w:p>
        </w:tc>
        <w:tc>
          <w:tcPr>
            <w:tcW w:w="1900" w:type="dxa"/>
          </w:tcPr>
          <w:p w14:paraId="2C4A625A" w14:textId="77777777" w:rsidR="00184A8A" w:rsidRDefault="00000000">
            <w:r>
              <w:t>1.13</w:t>
            </w:r>
          </w:p>
        </w:tc>
        <w:tc>
          <w:tcPr>
            <w:tcW w:w="2100" w:type="dxa"/>
          </w:tcPr>
          <w:p w14:paraId="3CABE465" w14:textId="77777777" w:rsidR="00184A8A" w:rsidRDefault="00000000">
            <w:r>
              <w:t>1.06</w:t>
            </w:r>
          </w:p>
        </w:tc>
      </w:tr>
      <w:tr w:rsidR="00184A8A" w14:paraId="07202BFF" w14:textId="77777777" w:rsidTr="3DC018EE">
        <w:trPr>
          <w:trHeight w:val="300"/>
        </w:trPr>
        <w:tc>
          <w:tcPr>
            <w:tcW w:w="2600" w:type="dxa"/>
          </w:tcPr>
          <w:p w14:paraId="44118B27" w14:textId="77777777" w:rsidR="00184A8A" w:rsidRDefault="3DC018EE">
            <w:r>
              <w:t>Log housing value</w:t>
            </w:r>
          </w:p>
        </w:tc>
        <w:tc>
          <w:tcPr>
            <w:tcW w:w="1500" w:type="dxa"/>
          </w:tcPr>
          <w:p w14:paraId="7014356D" w14:textId="77777777" w:rsidR="00184A8A" w:rsidRDefault="00000000">
            <w:r>
              <w:t>—</w:t>
            </w:r>
          </w:p>
        </w:tc>
        <w:tc>
          <w:tcPr>
            <w:tcW w:w="1700" w:type="dxa"/>
          </w:tcPr>
          <w:p w14:paraId="525283C4" w14:textId="77777777" w:rsidR="00184A8A" w:rsidRDefault="00000000">
            <w:r>
              <w:t>2.84</w:t>
            </w:r>
          </w:p>
        </w:tc>
        <w:tc>
          <w:tcPr>
            <w:tcW w:w="1900" w:type="dxa"/>
          </w:tcPr>
          <w:p w14:paraId="4295E912" w14:textId="77777777" w:rsidR="00184A8A" w:rsidRDefault="00000000">
            <w:r>
              <w:t>—</w:t>
            </w:r>
          </w:p>
        </w:tc>
        <w:tc>
          <w:tcPr>
            <w:tcW w:w="2100" w:type="dxa"/>
          </w:tcPr>
          <w:p w14:paraId="0C1B1C7A" w14:textId="77777777" w:rsidR="00184A8A" w:rsidRDefault="00000000">
            <w:r>
              <w:t>—</w:t>
            </w:r>
          </w:p>
        </w:tc>
      </w:tr>
      <w:tr w:rsidR="00184A8A" w14:paraId="19656DEA" w14:textId="77777777" w:rsidTr="3DC018EE">
        <w:trPr>
          <w:trHeight w:val="300"/>
        </w:trPr>
        <w:tc>
          <w:tcPr>
            <w:tcW w:w="2600" w:type="dxa"/>
          </w:tcPr>
          <w:p w14:paraId="78448789" w14:textId="77777777" w:rsidR="00184A8A" w:rsidRDefault="3DC018EE">
            <w:r>
              <w:t>% owner-occupied</w:t>
            </w:r>
          </w:p>
        </w:tc>
        <w:tc>
          <w:tcPr>
            <w:tcW w:w="1500" w:type="dxa"/>
          </w:tcPr>
          <w:p w14:paraId="781091EB" w14:textId="77777777" w:rsidR="00184A8A" w:rsidRDefault="00000000">
            <w:r>
              <w:t>—</w:t>
            </w:r>
          </w:p>
        </w:tc>
        <w:tc>
          <w:tcPr>
            <w:tcW w:w="1700" w:type="dxa"/>
          </w:tcPr>
          <w:p w14:paraId="2EBAEE04" w14:textId="77777777" w:rsidR="00184A8A" w:rsidRDefault="00000000">
            <w:r>
              <w:t>—</w:t>
            </w:r>
          </w:p>
        </w:tc>
        <w:tc>
          <w:tcPr>
            <w:tcW w:w="1900" w:type="dxa"/>
            <w:shd w:val="clear" w:color="auto" w:fill="F6E7DA"/>
          </w:tcPr>
          <w:p w14:paraId="5449DCDA" w14:textId="77777777" w:rsidR="00184A8A" w:rsidRDefault="00000000">
            <w:r>
              <w:t>5.30</w:t>
            </w:r>
          </w:p>
        </w:tc>
        <w:tc>
          <w:tcPr>
            <w:tcW w:w="2100" w:type="dxa"/>
          </w:tcPr>
          <w:p w14:paraId="30AA8963" w14:textId="77777777" w:rsidR="00184A8A" w:rsidRDefault="00000000">
            <w:r>
              <w:t>—</w:t>
            </w:r>
          </w:p>
        </w:tc>
      </w:tr>
      <w:tr w:rsidR="00184A8A" w14:paraId="3133C227" w14:textId="77777777" w:rsidTr="3DC018EE">
        <w:trPr>
          <w:trHeight w:val="300"/>
        </w:trPr>
        <w:tc>
          <w:tcPr>
            <w:tcW w:w="2600" w:type="dxa"/>
          </w:tcPr>
          <w:p w14:paraId="63366067" w14:textId="77777777" w:rsidR="00184A8A" w:rsidRDefault="3DC018EE">
            <w:r>
              <w:t>% multifamily units</w:t>
            </w:r>
          </w:p>
        </w:tc>
        <w:tc>
          <w:tcPr>
            <w:tcW w:w="1500" w:type="dxa"/>
          </w:tcPr>
          <w:p w14:paraId="381D4AAD" w14:textId="77777777" w:rsidR="00184A8A" w:rsidRDefault="00000000">
            <w:r>
              <w:t>—</w:t>
            </w:r>
          </w:p>
        </w:tc>
        <w:tc>
          <w:tcPr>
            <w:tcW w:w="1700" w:type="dxa"/>
          </w:tcPr>
          <w:p w14:paraId="56C6A0F8" w14:textId="77777777" w:rsidR="00184A8A" w:rsidRDefault="00000000">
            <w:r>
              <w:t>—</w:t>
            </w:r>
          </w:p>
        </w:tc>
        <w:tc>
          <w:tcPr>
            <w:tcW w:w="1900" w:type="dxa"/>
          </w:tcPr>
          <w:p w14:paraId="1D1A26EF" w14:textId="77777777" w:rsidR="00184A8A" w:rsidRDefault="00000000">
            <w:r>
              <w:t>4.62</w:t>
            </w:r>
          </w:p>
        </w:tc>
        <w:tc>
          <w:tcPr>
            <w:tcW w:w="2100" w:type="dxa"/>
          </w:tcPr>
          <w:p w14:paraId="0F545454" w14:textId="77777777" w:rsidR="00184A8A" w:rsidRDefault="00000000">
            <w:r>
              <w:t>—</w:t>
            </w:r>
          </w:p>
        </w:tc>
      </w:tr>
      <w:tr w:rsidR="00184A8A" w14:paraId="076ACD85" w14:textId="77777777" w:rsidTr="3DC018EE">
        <w:trPr>
          <w:trHeight w:val="300"/>
        </w:trPr>
        <w:tc>
          <w:tcPr>
            <w:tcW w:w="2600" w:type="dxa"/>
          </w:tcPr>
          <w:p w14:paraId="29AC2F61" w14:textId="77777777" w:rsidR="00184A8A" w:rsidRDefault="3DC018EE">
            <w:r>
              <w:t>% mobile-home units</w:t>
            </w:r>
          </w:p>
        </w:tc>
        <w:tc>
          <w:tcPr>
            <w:tcW w:w="1500" w:type="dxa"/>
          </w:tcPr>
          <w:p w14:paraId="4DA27494" w14:textId="77777777" w:rsidR="00184A8A" w:rsidRDefault="00000000">
            <w:r>
              <w:t>—</w:t>
            </w:r>
          </w:p>
        </w:tc>
        <w:tc>
          <w:tcPr>
            <w:tcW w:w="1700" w:type="dxa"/>
          </w:tcPr>
          <w:p w14:paraId="6C5F3186" w14:textId="77777777" w:rsidR="00184A8A" w:rsidRDefault="00000000">
            <w:r>
              <w:t>—</w:t>
            </w:r>
          </w:p>
        </w:tc>
        <w:tc>
          <w:tcPr>
            <w:tcW w:w="1900" w:type="dxa"/>
          </w:tcPr>
          <w:p w14:paraId="1AFBC0C4" w14:textId="77777777" w:rsidR="00184A8A" w:rsidRDefault="00000000">
            <w:r>
              <w:t>1.56</w:t>
            </w:r>
          </w:p>
        </w:tc>
        <w:tc>
          <w:tcPr>
            <w:tcW w:w="2100" w:type="dxa"/>
          </w:tcPr>
          <w:p w14:paraId="471EE603" w14:textId="77777777" w:rsidR="00184A8A" w:rsidRDefault="00000000">
            <w:r>
              <w:t>—</w:t>
            </w:r>
          </w:p>
        </w:tc>
      </w:tr>
      <w:tr w:rsidR="00184A8A" w14:paraId="7B8DD7BA" w14:textId="77777777">
        <w:tc>
          <w:tcPr>
            <w:tcW w:w="2600" w:type="dxa"/>
          </w:tcPr>
          <w:p w14:paraId="275B2549" w14:textId="77777777" w:rsidR="00184A8A" w:rsidRDefault="00000000">
            <w:r>
              <w:t>% boat/RV/van/other units</w:t>
            </w:r>
          </w:p>
        </w:tc>
        <w:tc>
          <w:tcPr>
            <w:tcW w:w="1500" w:type="dxa"/>
          </w:tcPr>
          <w:p w14:paraId="6EB21D4F" w14:textId="77777777" w:rsidR="00184A8A" w:rsidRDefault="00000000">
            <w:r>
              <w:t>—</w:t>
            </w:r>
          </w:p>
        </w:tc>
        <w:tc>
          <w:tcPr>
            <w:tcW w:w="1700" w:type="dxa"/>
          </w:tcPr>
          <w:p w14:paraId="421B5DF4" w14:textId="77777777" w:rsidR="00184A8A" w:rsidRDefault="00000000">
            <w:r>
              <w:t>—</w:t>
            </w:r>
          </w:p>
        </w:tc>
        <w:tc>
          <w:tcPr>
            <w:tcW w:w="1900" w:type="dxa"/>
          </w:tcPr>
          <w:p w14:paraId="2EF03607" w14:textId="77777777" w:rsidR="00184A8A" w:rsidRDefault="00000000">
            <w:r>
              <w:t>1.11</w:t>
            </w:r>
          </w:p>
        </w:tc>
        <w:tc>
          <w:tcPr>
            <w:tcW w:w="2100" w:type="dxa"/>
          </w:tcPr>
          <w:p w14:paraId="505582F5" w14:textId="77777777" w:rsidR="00184A8A" w:rsidRDefault="00000000">
            <w:r>
              <w:t>—</w:t>
            </w:r>
          </w:p>
        </w:tc>
      </w:tr>
      <w:tr w:rsidR="00184A8A" w14:paraId="25A471E8" w14:textId="77777777" w:rsidTr="3DC018EE">
        <w:trPr>
          <w:trHeight w:val="300"/>
        </w:trPr>
        <w:tc>
          <w:tcPr>
            <w:tcW w:w="2600" w:type="dxa"/>
          </w:tcPr>
          <w:p w14:paraId="0B99FBE6" w14:textId="77777777" w:rsidR="00184A8A" w:rsidRDefault="3DC018EE">
            <w:r>
              <w:t>Wind MW per 100k</w:t>
            </w:r>
          </w:p>
        </w:tc>
        <w:tc>
          <w:tcPr>
            <w:tcW w:w="1500" w:type="dxa"/>
          </w:tcPr>
          <w:p w14:paraId="2D616DAA" w14:textId="77777777" w:rsidR="00184A8A" w:rsidRDefault="00000000">
            <w:r>
              <w:t>—</w:t>
            </w:r>
          </w:p>
        </w:tc>
        <w:tc>
          <w:tcPr>
            <w:tcW w:w="1700" w:type="dxa"/>
          </w:tcPr>
          <w:p w14:paraId="0DB8D4B3" w14:textId="77777777" w:rsidR="00184A8A" w:rsidRDefault="00000000">
            <w:r>
              <w:t>—</w:t>
            </w:r>
          </w:p>
        </w:tc>
        <w:tc>
          <w:tcPr>
            <w:tcW w:w="1900" w:type="dxa"/>
          </w:tcPr>
          <w:p w14:paraId="06C48483" w14:textId="77777777" w:rsidR="00184A8A" w:rsidRDefault="00000000">
            <w:r>
              <w:t>—</w:t>
            </w:r>
          </w:p>
        </w:tc>
        <w:tc>
          <w:tcPr>
            <w:tcW w:w="2100" w:type="dxa"/>
            <w:shd w:val="clear" w:color="auto" w:fill="E8CDBD"/>
          </w:tcPr>
          <w:p w14:paraId="3C1C52E2" w14:textId="77777777" w:rsidR="00184A8A" w:rsidRDefault="00000000">
            <w:r>
              <w:t>27.40</w:t>
            </w:r>
          </w:p>
        </w:tc>
      </w:tr>
      <w:tr w:rsidR="00184A8A" w14:paraId="2D53E7BA" w14:textId="77777777" w:rsidTr="3DC018EE">
        <w:trPr>
          <w:trHeight w:val="300"/>
        </w:trPr>
        <w:tc>
          <w:tcPr>
            <w:tcW w:w="2600" w:type="dxa"/>
          </w:tcPr>
          <w:p w14:paraId="30B2A7E6" w14:textId="77777777" w:rsidR="00184A8A" w:rsidRDefault="3DC018EE">
            <w:r>
              <w:t>Turbines per 100k</w:t>
            </w:r>
          </w:p>
        </w:tc>
        <w:tc>
          <w:tcPr>
            <w:tcW w:w="1500" w:type="dxa"/>
          </w:tcPr>
          <w:p w14:paraId="50DFFB7E" w14:textId="77777777" w:rsidR="00184A8A" w:rsidRDefault="00000000">
            <w:r>
              <w:t>—</w:t>
            </w:r>
          </w:p>
        </w:tc>
        <w:tc>
          <w:tcPr>
            <w:tcW w:w="1700" w:type="dxa"/>
          </w:tcPr>
          <w:p w14:paraId="3BC001EA" w14:textId="77777777" w:rsidR="00184A8A" w:rsidRDefault="00000000">
            <w:r>
              <w:t>—</w:t>
            </w:r>
          </w:p>
        </w:tc>
        <w:tc>
          <w:tcPr>
            <w:tcW w:w="1900" w:type="dxa"/>
          </w:tcPr>
          <w:p w14:paraId="5016527C" w14:textId="77777777" w:rsidR="00184A8A" w:rsidRDefault="00000000">
            <w:r>
              <w:t>—</w:t>
            </w:r>
          </w:p>
        </w:tc>
        <w:tc>
          <w:tcPr>
            <w:tcW w:w="2100" w:type="dxa"/>
            <w:shd w:val="clear" w:color="auto" w:fill="E8CDBD"/>
          </w:tcPr>
          <w:p w14:paraId="03674F25" w14:textId="77777777" w:rsidR="00184A8A" w:rsidRDefault="00000000">
            <w:r>
              <w:t>27.38</w:t>
            </w:r>
          </w:p>
        </w:tc>
      </w:tr>
      <w:tr w:rsidR="00184A8A" w14:paraId="5DA8630F" w14:textId="77777777" w:rsidTr="3DC018EE">
        <w:trPr>
          <w:trHeight w:val="300"/>
        </w:trPr>
        <w:tc>
          <w:tcPr>
            <w:tcW w:w="2600" w:type="dxa"/>
          </w:tcPr>
          <w:p w14:paraId="06EDA7A3" w14:textId="77777777" w:rsidR="00184A8A" w:rsidRDefault="3DC018EE">
            <w:r>
              <w:t>Storage MW per 100k</w:t>
            </w:r>
          </w:p>
        </w:tc>
        <w:tc>
          <w:tcPr>
            <w:tcW w:w="1500" w:type="dxa"/>
          </w:tcPr>
          <w:p w14:paraId="6644BC41" w14:textId="77777777" w:rsidR="00184A8A" w:rsidRDefault="00000000">
            <w:r>
              <w:t>—</w:t>
            </w:r>
          </w:p>
        </w:tc>
        <w:tc>
          <w:tcPr>
            <w:tcW w:w="1700" w:type="dxa"/>
          </w:tcPr>
          <w:p w14:paraId="75F6F19C" w14:textId="77777777" w:rsidR="00184A8A" w:rsidRDefault="00000000">
            <w:r>
              <w:t>—</w:t>
            </w:r>
          </w:p>
        </w:tc>
        <w:tc>
          <w:tcPr>
            <w:tcW w:w="1900" w:type="dxa"/>
          </w:tcPr>
          <w:p w14:paraId="1D9FF25F" w14:textId="77777777" w:rsidR="00184A8A" w:rsidRDefault="00000000">
            <w:r>
              <w:t>—</w:t>
            </w:r>
          </w:p>
        </w:tc>
        <w:tc>
          <w:tcPr>
            <w:tcW w:w="2100" w:type="dxa"/>
          </w:tcPr>
          <w:p w14:paraId="1C21F45D" w14:textId="77777777" w:rsidR="00184A8A" w:rsidRDefault="00000000">
            <w:r>
              <w:t>1.15</w:t>
            </w:r>
          </w:p>
        </w:tc>
      </w:tr>
      <w:tr w:rsidR="00184A8A" w14:paraId="5409E717" w14:textId="77777777" w:rsidTr="3DC018EE">
        <w:trPr>
          <w:trHeight w:val="300"/>
        </w:trPr>
        <w:tc>
          <w:tcPr>
            <w:tcW w:w="2600" w:type="dxa"/>
          </w:tcPr>
          <w:p w14:paraId="1FED1709" w14:textId="77777777" w:rsidR="00184A8A" w:rsidRDefault="3DC018EE">
            <w:r>
              <w:t>Plant MW per 100k</w:t>
            </w:r>
          </w:p>
        </w:tc>
        <w:tc>
          <w:tcPr>
            <w:tcW w:w="1500" w:type="dxa"/>
          </w:tcPr>
          <w:p w14:paraId="65996CEA" w14:textId="77777777" w:rsidR="00184A8A" w:rsidRDefault="00000000">
            <w:r>
              <w:t>—</w:t>
            </w:r>
          </w:p>
        </w:tc>
        <w:tc>
          <w:tcPr>
            <w:tcW w:w="1700" w:type="dxa"/>
          </w:tcPr>
          <w:p w14:paraId="49F43323" w14:textId="77777777" w:rsidR="00184A8A" w:rsidRDefault="00000000">
            <w:r>
              <w:t>—</w:t>
            </w:r>
          </w:p>
        </w:tc>
        <w:tc>
          <w:tcPr>
            <w:tcW w:w="1900" w:type="dxa"/>
          </w:tcPr>
          <w:p w14:paraId="385A8F4C" w14:textId="77777777" w:rsidR="00184A8A" w:rsidRDefault="00000000">
            <w:r>
              <w:t>—</w:t>
            </w:r>
          </w:p>
        </w:tc>
        <w:tc>
          <w:tcPr>
            <w:tcW w:w="2100" w:type="dxa"/>
          </w:tcPr>
          <w:p w14:paraId="05381853" w14:textId="77777777" w:rsidR="00184A8A" w:rsidRDefault="00000000">
            <w:r>
              <w:t>1.02</w:t>
            </w:r>
          </w:p>
        </w:tc>
      </w:tr>
      <w:tr w:rsidR="00184A8A" w14:paraId="5CBA9AE5" w14:textId="77777777" w:rsidTr="3DC018EE">
        <w:trPr>
          <w:trHeight w:val="300"/>
        </w:trPr>
        <w:tc>
          <w:tcPr>
            <w:tcW w:w="2600" w:type="dxa"/>
          </w:tcPr>
          <w:p w14:paraId="1AF34D60" w14:textId="77777777" w:rsidR="00184A8A" w:rsidRDefault="3DC018EE">
            <w:r>
              <w:t>Maximum VIF</w:t>
            </w:r>
          </w:p>
        </w:tc>
        <w:tc>
          <w:tcPr>
            <w:tcW w:w="1500" w:type="dxa"/>
          </w:tcPr>
          <w:p w14:paraId="02EC248F" w14:textId="77777777" w:rsidR="00184A8A" w:rsidRDefault="00000000">
            <w:r>
              <w:t>3.09</w:t>
            </w:r>
          </w:p>
        </w:tc>
        <w:tc>
          <w:tcPr>
            <w:tcW w:w="1700" w:type="dxa"/>
          </w:tcPr>
          <w:p w14:paraId="38433CC5" w14:textId="77777777" w:rsidR="00184A8A" w:rsidRDefault="00000000">
            <w:r>
              <w:t>4.94</w:t>
            </w:r>
          </w:p>
        </w:tc>
        <w:tc>
          <w:tcPr>
            <w:tcW w:w="1900" w:type="dxa"/>
            <w:shd w:val="clear" w:color="auto" w:fill="F6E7DA"/>
          </w:tcPr>
          <w:p w14:paraId="067F1B9A" w14:textId="77777777" w:rsidR="00184A8A" w:rsidRDefault="00000000">
            <w:r>
              <w:t>5.30</w:t>
            </w:r>
          </w:p>
        </w:tc>
        <w:tc>
          <w:tcPr>
            <w:tcW w:w="2100" w:type="dxa"/>
            <w:shd w:val="clear" w:color="auto" w:fill="E8CDBD"/>
          </w:tcPr>
          <w:p w14:paraId="555298BE" w14:textId="77777777" w:rsidR="00184A8A" w:rsidRDefault="00000000">
            <w:r>
              <w:t>27.40</w:t>
            </w:r>
          </w:p>
        </w:tc>
      </w:tr>
    </w:tbl>
    <w:p w14:paraId="7DD53647" w14:textId="77777777" w:rsidR="00184A8A" w:rsidRDefault="3DC018EE">
      <w:pPr>
        <w:pStyle w:val="Heading3"/>
        <w:pageBreakBefore/>
      </w:pPr>
      <w:r>
        <w:lastRenderedPageBreak/>
        <w:t>Spatial autocorrelation of residuals</w:t>
      </w:r>
    </w:p>
    <w:p w14:paraId="779041FE" w14:textId="7C8E3BC2" w:rsidR="00184A8A" w:rsidRDefault="00000000">
      <w:r>
        <w:t xml:space="preserve">Moran’s I measures whether what a model fails to explain is clustered in space. It runs from roughly -1 to 1, where 0 means residuals are scattered independently of location and positive values mean that neighboring ZIP/ZCTAs carry similar residuals. Positive residual autocorrelation matters here because it breaks the independence assumption behind heteroskedasticity-robust standard errors, which are then too small and overstate precision. </w:t>
      </w:r>
      <w:commentRangeStart w:id="88"/>
      <w:r>
        <w:t xml:space="preserve">We compute it on the OLS residuals </w:t>
      </w:r>
      <w:commentRangeEnd w:id="88"/>
      <w:r w:rsidR="002B7396">
        <w:rPr>
          <w:rStyle w:val="CommentReference"/>
          <w:sz w:val="22"/>
          <w:szCs w:val="22"/>
        </w:rPr>
        <w:commentReference w:id="88"/>
      </w:r>
      <w:r>
        <w:t>using row-</w:t>
      </w:r>
      <w:r w:rsidR="00585544">
        <w:t>standardized</w:t>
      </w:r>
      <w:r>
        <w:t xml:space="preserve"> eight-nearest-</w:t>
      </w:r>
      <w:r w:rsidR="00585544">
        <w:t>neighbor</w:t>
      </w:r>
      <w:r>
        <w:t xml:space="preserve"> weights over ZCTA centroids, with pseudo p-values from 999 permutations (Table 8). All 72 tests (six outcomes by four specifications by three </w:t>
      </w:r>
      <w:r w:rsidR="00585544">
        <w:t>neighbor</w:t>
      </w:r>
      <w:r>
        <w:t xml:space="preserve">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county clustering alone is not sufficient. </w:t>
      </w:r>
      <w:r w:rsidR="00294F7E" w:rsidRPr="00294F7E">
        <w:t xml:space="preserve">Conley spatially robust (HAC) standard errors </w:t>
      </w:r>
      <w:r>
        <w:t xml:space="preserve">(Table 9) are the correction we adopt. Results are stable across four, eight and sixteen </w:t>
      </w:r>
      <w:r w:rsidR="00585544">
        <w:t>neighbors</w:t>
      </w:r>
      <w:r>
        <w:t>.</w:t>
      </w:r>
    </w:p>
    <w:p w14:paraId="7440A561" w14:textId="5C7BE227" w:rsidR="00184A8A" w:rsidRDefault="3DC018EE">
      <w:pPr>
        <w:pStyle w:val="Caption"/>
        <w:keepNext/>
      </w:pPr>
      <w:bookmarkStart w:id="89" w:name="_Ref_tbl_moran"/>
      <w:r>
        <w:t xml:space="preserve">Table </w:t>
      </w:r>
      <w:r>
        <w:fldChar w:fldCharType="begin"/>
      </w:r>
      <w:r>
        <w:instrText xml:space="preserve"> SEQ Table \* ARABIC </w:instrText>
      </w:r>
      <w:r>
        <w:fldChar w:fldCharType="separate"/>
      </w:r>
      <w:r>
        <w:t>8</w:t>
      </w:r>
      <w:r>
        <w:fldChar w:fldCharType="end"/>
      </w:r>
      <w:bookmarkEnd w:id="89"/>
      <w:r>
        <w:t>: Moran’s I on OLS residuals, eight-nearest-</w:t>
      </w:r>
      <w:r w:rsidR="00585544">
        <w:t>neighbor</w:t>
      </w:r>
      <w:r>
        <w:t xml:space="preserve"> weights. Every entry is significant at p &lt; 0.001 by permutation test. Larger values indicate stronger spatial clustering of what the model fails to explain.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510B72F5" w14:textId="77777777" w:rsidTr="3DC018EE">
        <w:trPr>
          <w:tblHeader/>
          <w:trHeight w:val="300"/>
        </w:trPr>
        <w:tc>
          <w:tcPr>
            <w:tcW w:w="2600" w:type="dxa"/>
            <w:tcBorders>
              <w:bottom w:val="single" w:sz="6" w:space="0" w:color="auto"/>
            </w:tcBorders>
            <w:shd w:val="clear" w:color="auto" w:fill="F2EFE7"/>
          </w:tcPr>
          <w:p w14:paraId="6F158108" w14:textId="77777777" w:rsidR="00184A8A" w:rsidRDefault="3DC018EE">
            <w:r>
              <w:rPr>
                <w:b/>
                <w:bCs/>
              </w:rPr>
              <w:t>Outcome</w:t>
            </w:r>
          </w:p>
        </w:tc>
        <w:tc>
          <w:tcPr>
            <w:tcW w:w="1500" w:type="dxa"/>
            <w:tcBorders>
              <w:bottom w:val="single" w:sz="6" w:space="0" w:color="auto"/>
            </w:tcBorders>
            <w:shd w:val="clear" w:color="auto" w:fill="F2EFE7"/>
          </w:tcPr>
          <w:p w14:paraId="2704076B" w14:textId="77777777" w:rsidR="00184A8A" w:rsidRDefault="3DC018EE">
            <w:r>
              <w:rPr>
                <w:b/>
                <w:bCs/>
              </w:rPr>
              <w:t>M1 baseline</w:t>
            </w:r>
          </w:p>
        </w:tc>
        <w:tc>
          <w:tcPr>
            <w:tcW w:w="1700" w:type="dxa"/>
            <w:tcBorders>
              <w:bottom w:val="single" w:sz="6" w:space="0" w:color="auto"/>
            </w:tcBorders>
            <w:shd w:val="clear" w:color="auto" w:fill="F2EFE7"/>
          </w:tcPr>
          <w:p w14:paraId="609D62EB" w14:textId="77777777" w:rsidR="00184A8A" w:rsidRDefault="3DC018EE">
            <w:r>
              <w:rPr>
                <w:b/>
                <w:bCs/>
              </w:rPr>
              <w:t>M6A + lat/lon</w:t>
            </w:r>
          </w:p>
        </w:tc>
        <w:tc>
          <w:tcPr>
            <w:tcW w:w="1900" w:type="dxa"/>
            <w:tcBorders>
              <w:bottom w:val="single" w:sz="6" w:space="0" w:color="auto"/>
            </w:tcBorders>
            <w:shd w:val="clear" w:color="auto" w:fill="F2EFE7"/>
          </w:tcPr>
          <w:p w14:paraId="10E8C36A" w14:textId="77777777" w:rsidR="00184A8A" w:rsidRDefault="3DC018EE">
            <w:r>
              <w:rPr>
                <w:b/>
                <w:bCs/>
              </w:rPr>
              <w:t>M6B county FE</w:t>
            </w:r>
          </w:p>
        </w:tc>
        <w:tc>
          <w:tcPr>
            <w:tcW w:w="2100" w:type="dxa"/>
            <w:tcBorders>
              <w:bottom w:val="single" w:sz="6" w:space="0" w:color="auto"/>
            </w:tcBorders>
            <w:shd w:val="clear" w:color="auto" w:fill="F2EFE7"/>
          </w:tcPr>
          <w:p w14:paraId="4C9D7E84" w14:textId="77777777" w:rsidR="00184A8A" w:rsidRDefault="3DC018EE">
            <w:r>
              <w:rPr>
                <w:b/>
                <w:bCs/>
              </w:rPr>
              <w:t>M8 + demand proxy</w:t>
            </w:r>
          </w:p>
        </w:tc>
      </w:tr>
      <w:tr w:rsidR="00184A8A" w14:paraId="1C165BFA" w14:textId="77777777" w:rsidTr="3DC018EE">
        <w:trPr>
          <w:trHeight w:val="300"/>
        </w:trPr>
        <w:tc>
          <w:tcPr>
            <w:tcW w:w="2600" w:type="dxa"/>
          </w:tcPr>
          <w:p w14:paraId="3F45F526" w14:textId="77777777" w:rsidR="00184A8A" w:rsidRDefault="3DC018EE">
            <w:r>
              <w:t>Solar PV</w:t>
            </w:r>
          </w:p>
        </w:tc>
        <w:tc>
          <w:tcPr>
            <w:tcW w:w="1500" w:type="dxa"/>
            <w:shd w:val="clear" w:color="auto" w:fill="D9D1BC"/>
          </w:tcPr>
          <w:p w14:paraId="79DA8BF7" w14:textId="77777777" w:rsidR="00184A8A" w:rsidRDefault="00000000">
            <w:r>
              <w:t>0.437</w:t>
            </w:r>
          </w:p>
        </w:tc>
        <w:tc>
          <w:tcPr>
            <w:tcW w:w="1700" w:type="dxa"/>
            <w:shd w:val="clear" w:color="auto" w:fill="D9D1BC"/>
          </w:tcPr>
          <w:p w14:paraId="503888C7" w14:textId="77777777" w:rsidR="00184A8A" w:rsidRDefault="00000000">
            <w:r>
              <w:t>0.426</w:t>
            </w:r>
          </w:p>
        </w:tc>
        <w:tc>
          <w:tcPr>
            <w:tcW w:w="1900" w:type="dxa"/>
            <w:shd w:val="clear" w:color="auto" w:fill="F4F1EA"/>
          </w:tcPr>
          <w:p w14:paraId="23E4127C" w14:textId="77777777" w:rsidR="00184A8A" w:rsidRDefault="00000000">
            <w:r>
              <w:t>0.145</w:t>
            </w:r>
          </w:p>
        </w:tc>
        <w:tc>
          <w:tcPr>
            <w:tcW w:w="2100" w:type="dxa"/>
            <w:shd w:val="clear" w:color="auto" w:fill="D9D1BC"/>
          </w:tcPr>
          <w:p w14:paraId="7FA5F0DD" w14:textId="77777777" w:rsidR="00184A8A" w:rsidRDefault="00000000">
            <w:r>
              <w:t>0.359</w:t>
            </w:r>
          </w:p>
        </w:tc>
      </w:tr>
      <w:tr w:rsidR="00184A8A" w14:paraId="3FB4A13D" w14:textId="77777777" w:rsidTr="3DC018EE">
        <w:trPr>
          <w:trHeight w:val="300"/>
        </w:trPr>
        <w:tc>
          <w:tcPr>
            <w:tcW w:w="2600" w:type="dxa"/>
          </w:tcPr>
          <w:p w14:paraId="20D34BE1" w14:textId="77777777" w:rsidR="00184A8A" w:rsidRDefault="3DC018EE">
            <w:r>
              <w:t>Storage</w:t>
            </w:r>
          </w:p>
        </w:tc>
        <w:tc>
          <w:tcPr>
            <w:tcW w:w="1500" w:type="dxa"/>
            <w:shd w:val="clear" w:color="auto" w:fill="D9D1BC"/>
          </w:tcPr>
          <w:p w14:paraId="6512CA35" w14:textId="77777777" w:rsidR="00184A8A" w:rsidRDefault="00000000">
            <w:r>
              <w:t>0.319</w:t>
            </w:r>
          </w:p>
        </w:tc>
        <w:tc>
          <w:tcPr>
            <w:tcW w:w="1700" w:type="dxa"/>
            <w:shd w:val="clear" w:color="auto" w:fill="D9D1BC"/>
          </w:tcPr>
          <w:p w14:paraId="1CE43A6F" w14:textId="77777777" w:rsidR="00184A8A" w:rsidRDefault="00000000">
            <w:r>
              <w:t>0.314</w:t>
            </w:r>
          </w:p>
        </w:tc>
        <w:tc>
          <w:tcPr>
            <w:tcW w:w="1900" w:type="dxa"/>
            <w:shd w:val="clear" w:color="auto" w:fill="F4F1EA"/>
          </w:tcPr>
          <w:p w14:paraId="7AA26C5E" w14:textId="77777777" w:rsidR="00184A8A" w:rsidRDefault="00000000">
            <w:r>
              <w:t>0.096</w:t>
            </w:r>
          </w:p>
        </w:tc>
        <w:tc>
          <w:tcPr>
            <w:tcW w:w="2100" w:type="dxa"/>
            <w:shd w:val="clear" w:color="auto" w:fill="E7E1D3"/>
          </w:tcPr>
          <w:p w14:paraId="44244D41" w14:textId="77777777" w:rsidR="00184A8A" w:rsidRDefault="00000000">
            <w:r>
              <w:t>0.150</w:t>
            </w:r>
          </w:p>
        </w:tc>
      </w:tr>
      <w:tr w:rsidR="00184A8A" w14:paraId="483F862C" w14:textId="77777777" w:rsidTr="3DC018EE">
        <w:trPr>
          <w:trHeight w:val="300"/>
        </w:trPr>
        <w:tc>
          <w:tcPr>
            <w:tcW w:w="2600" w:type="dxa"/>
          </w:tcPr>
          <w:p w14:paraId="0F9A66D9" w14:textId="77777777" w:rsidR="00184A8A" w:rsidRDefault="3DC018EE">
            <w:r>
              <w:t>EV chargers (aggregate)</w:t>
            </w:r>
          </w:p>
        </w:tc>
        <w:tc>
          <w:tcPr>
            <w:tcW w:w="1500" w:type="dxa"/>
            <w:shd w:val="clear" w:color="auto" w:fill="F4F1EA"/>
          </w:tcPr>
          <w:p w14:paraId="31684376" w14:textId="77777777" w:rsidR="00184A8A" w:rsidRDefault="00000000">
            <w:r>
              <w:t>0.140</w:t>
            </w:r>
          </w:p>
        </w:tc>
        <w:tc>
          <w:tcPr>
            <w:tcW w:w="1700" w:type="dxa"/>
            <w:shd w:val="clear" w:color="auto" w:fill="F4F1EA"/>
          </w:tcPr>
          <w:p w14:paraId="07F0DB4A" w14:textId="77777777" w:rsidR="00184A8A" w:rsidRDefault="00000000">
            <w:r>
              <w:t>0.132</w:t>
            </w:r>
          </w:p>
        </w:tc>
        <w:tc>
          <w:tcPr>
            <w:tcW w:w="1900" w:type="dxa"/>
            <w:shd w:val="clear" w:color="auto" w:fill="F4F1EA"/>
          </w:tcPr>
          <w:p w14:paraId="3E195C0E" w14:textId="77777777" w:rsidR="00184A8A" w:rsidRDefault="00000000">
            <w:r>
              <w:t>0.078</w:t>
            </w:r>
          </w:p>
        </w:tc>
        <w:tc>
          <w:tcPr>
            <w:tcW w:w="2100" w:type="dxa"/>
            <w:shd w:val="clear" w:color="auto" w:fill="F4F1EA"/>
          </w:tcPr>
          <w:p w14:paraId="6DED6B6F" w14:textId="77777777" w:rsidR="00184A8A" w:rsidRDefault="00000000">
            <w:r>
              <w:t>0.127</w:t>
            </w:r>
          </w:p>
        </w:tc>
      </w:tr>
      <w:tr w:rsidR="00184A8A" w14:paraId="381A94CE" w14:textId="77777777" w:rsidTr="3DC018EE">
        <w:trPr>
          <w:trHeight w:val="300"/>
        </w:trPr>
        <w:tc>
          <w:tcPr>
            <w:tcW w:w="2600" w:type="dxa"/>
          </w:tcPr>
          <w:p w14:paraId="480B21C5" w14:textId="77777777" w:rsidR="00184A8A" w:rsidRDefault="3DC018EE">
            <w:r>
              <w:t>EV chargers (Level 2)</w:t>
            </w:r>
          </w:p>
        </w:tc>
        <w:tc>
          <w:tcPr>
            <w:tcW w:w="1500" w:type="dxa"/>
            <w:shd w:val="clear" w:color="auto" w:fill="E7E1D3"/>
          </w:tcPr>
          <w:p w14:paraId="6E1B6FF6" w14:textId="77777777" w:rsidR="00184A8A" w:rsidRDefault="00000000">
            <w:r>
              <w:t>0.162</w:t>
            </w:r>
          </w:p>
        </w:tc>
        <w:tc>
          <w:tcPr>
            <w:tcW w:w="1700" w:type="dxa"/>
            <w:shd w:val="clear" w:color="auto" w:fill="E7E1D3"/>
          </w:tcPr>
          <w:p w14:paraId="2DA311B3" w14:textId="77777777" w:rsidR="00184A8A" w:rsidRDefault="00000000">
            <w:r>
              <w:t>0.152</w:t>
            </w:r>
          </w:p>
        </w:tc>
        <w:tc>
          <w:tcPr>
            <w:tcW w:w="1900" w:type="dxa"/>
            <w:shd w:val="clear" w:color="auto" w:fill="F4F1EA"/>
          </w:tcPr>
          <w:p w14:paraId="63EAD811" w14:textId="77777777" w:rsidR="00184A8A" w:rsidRDefault="00000000">
            <w:r>
              <w:t>0.100</w:t>
            </w:r>
          </w:p>
        </w:tc>
        <w:tc>
          <w:tcPr>
            <w:tcW w:w="2100" w:type="dxa"/>
            <w:shd w:val="clear" w:color="auto" w:fill="F4F1EA"/>
          </w:tcPr>
          <w:p w14:paraId="436FEE6D" w14:textId="77777777" w:rsidR="00184A8A" w:rsidRDefault="00000000">
            <w:r>
              <w:t>0.149</w:t>
            </w:r>
          </w:p>
        </w:tc>
      </w:tr>
      <w:tr w:rsidR="00184A8A" w14:paraId="4755DE19" w14:textId="77777777" w:rsidTr="3DC018EE">
        <w:trPr>
          <w:trHeight w:val="300"/>
        </w:trPr>
        <w:tc>
          <w:tcPr>
            <w:tcW w:w="2600" w:type="dxa"/>
          </w:tcPr>
          <w:p w14:paraId="6ECB6811" w14:textId="77777777" w:rsidR="00184A8A" w:rsidRDefault="3DC018EE">
            <w:r>
              <w:t>Energy burden</w:t>
            </w:r>
          </w:p>
        </w:tc>
        <w:tc>
          <w:tcPr>
            <w:tcW w:w="1500" w:type="dxa"/>
            <w:shd w:val="clear" w:color="auto" w:fill="D9D1BC"/>
          </w:tcPr>
          <w:p w14:paraId="0C644E16" w14:textId="77777777" w:rsidR="00184A8A" w:rsidRDefault="00000000">
            <w:r>
              <w:t>0.352</w:t>
            </w:r>
          </w:p>
        </w:tc>
        <w:tc>
          <w:tcPr>
            <w:tcW w:w="1700" w:type="dxa"/>
            <w:shd w:val="clear" w:color="auto" w:fill="D9D1BC"/>
          </w:tcPr>
          <w:p w14:paraId="7F1469D8" w14:textId="77777777" w:rsidR="00184A8A" w:rsidRDefault="00000000">
            <w:r>
              <w:t>0.434</w:t>
            </w:r>
          </w:p>
        </w:tc>
        <w:tc>
          <w:tcPr>
            <w:tcW w:w="1900" w:type="dxa"/>
            <w:shd w:val="clear" w:color="auto" w:fill="E7E1D3"/>
          </w:tcPr>
          <w:p w14:paraId="4D2D8B17" w14:textId="77777777" w:rsidR="00184A8A" w:rsidRDefault="00000000">
            <w:r>
              <w:t>0.275</w:t>
            </w:r>
          </w:p>
        </w:tc>
        <w:tc>
          <w:tcPr>
            <w:tcW w:w="2100" w:type="dxa"/>
            <w:shd w:val="clear" w:color="auto" w:fill="E7E1D3"/>
          </w:tcPr>
          <w:p w14:paraId="673DC25A" w14:textId="77777777" w:rsidR="00184A8A" w:rsidRDefault="00000000">
            <w:r>
              <w:t>0.289</w:t>
            </w:r>
          </w:p>
        </w:tc>
      </w:tr>
      <w:tr w:rsidR="00184A8A" w14:paraId="53C2FB79" w14:textId="77777777" w:rsidTr="3DC018EE">
        <w:trPr>
          <w:trHeight w:val="300"/>
        </w:trPr>
        <w:tc>
          <w:tcPr>
            <w:tcW w:w="2600" w:type="dxa"/>
          </w:tcPr>
          <w:p w14:paraId="44363209" w14:textId="77777777" w:rsidR="00184A8A" w:rsidRDefault="3DC018EE">
            <w:r>
              <w:t>Log affordability gap</w:t>
            </w:r>
          </w:p>
        </w:tc>
        <w:tc>
          <w:tcPr>
            <w:tcW w:w="1500" w:type="dxa"/>
            <w:shd w:val="clear" w:color="auto" w:fill="E7E1D3"/>
          </w:tcPr>
          <w:p w14:paraId="6E2A4BA6" w14:textId="77777777" w:rsidR="00184A8A" w:rsidRDefault="00000000">
            <w:r>
              <w:t>0.153</w:t>
            </w:r>
          </w:p>
        </w:tc>
        <w:tc>
          <w:tcPr>
            <w:tcW w:w="1700" w:type="dxa"/>
            <w:shd w:val="clear" w:color="auto" w:fill="F4F1EA"/>
          </w:tcPr>
          <w:p w14:paraId="67A50AF9" w14:textId="77777777" w:rsidR="00184A8A" w:rsidRDefault="00000000">
            <w:r>
              <w:t>0.142</w:t>
            </w:r>
          </w:p>
        </w:tc>
        <w:tc>
          <w:tcPr>
            <w:tcW w:w="1900" w:type="dxa"/>
            <w:shd w:val="clear" w:color="auto" w:fill="F4F1EA"/>
          </w:tcPr>
          <w:p w14:paraId="41A2F369" w14:textId="77777777" w:rsidR="00184A8A" w:rsidRDefault="00000000">
            <w:r>
              <w:t>0.112</w:t>
            </w:r>
          </w:p>
        </w:tc>
        <w:tc>
          <w:tcPr>
            <w:tcW w:w="2100" w:type="dxa"/>
            <w:shd w:val="clear" w:color="auto" w:fill="F4F1EA"/>
          </w:tcPr>
          <w:p w14:paraId="2360CDC6" w14:textId="77777777" w:rsidR="00184A8A" w:rsidRDefault="00000000">
            <w:r>
              <w:t>0.127</w:t>
            </w:r>
          </w:p>
        </w:tc>
      </w:tr>
    </w:tbl>
    <w:p w14:paraId="7A3622ED" w14:textId="77777777" w:rsidR="00184A8A" w:rsidRDefault="3DC018EE">
      <w:pPr>
        <w:pStyle w:val="Heading3"/>
        <w:pageBreakBefore/>
      </w:pPr>
      <w:r>
        <w:lastRenderedPageBreak/>
        <w:t>Conley spatial HAC standard errors</w:t>
      </w:r>
    </w:p>
    <w:p w14:paraId="09E6D35D" w14:textId="236A00F4" w:rsidR="00184A8A" w:rsidRDefault="3DC018EE">
      <w:r>
        <w:t>Given the residual spatial dependence documented above (</w:t>
      </w:r>
      <w:r>
        <w:fldChar w:fldCharType="begin"/>
      </w:r>
      <w:r>
        <w:instrText xml:space="preserve"> REF _Ref_tbl_moran \h </w:instrText>
      </w:r>
      <w:r>
        <w:fldChar w:fldCharType="separate"/>
      </w:r>
      <w:r>
        <w:t>Table 8</w:t>
      </w:r>
      <w:r>
        <w:fldChar w:fldCharType="end"/>
      </w:r>
      <w:r>
        <w:t xml:space="preserve">), </w:t>
      </w:r>
      <w:r w:rsidR="001F19B7">
        <w:t>we</w:t>
      </w:r>
      <w:r>
        <w:t xml:space="preserve"> recompute the baseline standard errors following </w:t>
      </w:r>
      <w:commentRangeStart w:id="90"/>
      <w:r>
        <w:t xml:space="preserve">Conley (1999) </w:t>
      </w:r>
      <w:commentRangeEnd w:id="90"/>
      <w:r w:rsidR="00B7718C">
        <w:rPr>
          <w:rStyle w:val="CommentReference"/>
          <w:sz w:val="22"/>
          <w:szCs w:val="22"/>
        </w:rPr>
        <w:commentReference w:id="90"/>
      </w:r>
      <w:r>
        <w:t>(</w:t>
      </w:r>
      <w:r>
        <w:fldChar w:fldCharType="begin"/>
      </w:r>
      <w:r>
        <w:instrText xml:space="preserve"> REF _Ref_tbl_conley \h </w:instrText>
      </w:r>
      <w:r>
        <w:fldChar w:fldCharType="separate"/>
      </w:r>
      <w:r>
        <w:t>Table 9</w:t>
      </w:r>
      <w:r>
        <w:fldChar w:fldCharType="end"/>
      </w:r>
      <w: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w:t>
      </w:r>
      <w:r w:rsidR="00585544">
        <w:t>kilometers</w:t>
      </w:r>
      <w:r>
        <w:t>,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w14:paraId="77475499" w14:textId="77777777" w:rsidR="00184A8A" w:rsidRDefault="3DC018EE">
      <w:pPr>
        <w:pStyle w:val="Caption"/>
        <w:keepNext/>
      </w:pPr>
      <w:bookmarkStart w:id="91" w:name="_Ref_tbl_conley"/>
      <w:bookmarkStart w:id="92" w:name="_Ref237519824"/>
      <w:r>
        <w:t xml:space="preserve">Table </w:t>
      </w:r>
      <w:r>
        <w:fldChar w:fldCharType="begin"/>
      </w:r>
      <w:r>
        <w:instrText xml:space="preserve"> SEQ Table \* ARABIC </w:instrText>
      </w:r>
      <w:r>
        <w:fldChar w:fldCharType="separate"/>
      </w:r>
      <w:r>
        <w:t>9</w:t>
      </w:r>
      <w:r>
        <w:fldChar w:fldCharType="end"/>
      </w:r>
      <w:bookmarkEnd w:id="91"/>
      <w:r>
        <w:t>: Conley spatial HAC standard errors for the baseline specification, Bartlett kernel over great-circle distance. Coefficients are identical across columns; only the standard errors differ. Stars denote significance under each estimator.</w:t>
      </w:r>
      <w:bookmarkEnd w:id="92"/>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3F0730D" w14:textId="77777777" w:rsidTr="3DC018EE">
        <w:trPr>
          <w:tblHeader/>
          <w:trHeight w:val="300"/>
        </w:trPr>
        <w:tc>
          <w:tcPr>
            <w:tcW w:w="2400" w:type="dxa"/>
            <w:tcBorders>
              <w:bottom w:val="single" w:sz="6" w:space="0" w:color="auto"/>
            </w:tcBorders>
            <w:shd w:val="clear" w:color="auto" w:fill="F2EFE7"/>
          </w:tcPr>
          <w:p w14:paraId="06856C2B" w14:textId="77777777" w:rsidR="00184A8A" w:rsidRDefault="3DC018EE">
            <w:r>
              <w:rPr>
                <w:b/>
                <w:bCs/>
              </w:rPr>
              <w:t>Term</w:t>
            </w:r>
          </w:p>
        </w:tc>
        <w:tc>
          <w:tcPr>
            <w:tcW w:w="1400" w:type="dxa"/>
            <w:tcBorders>
              <w:bottom w:val="single" w:sz="6" w:space="0" w:color="auto"/>
            </w:tcBorders>
            <w:shd w:val="clear" w:color="auto" w:fill="F2EFE7"/>
          </w:tcPr>
          <w:p w14:paraId="47936764" w14:textId="77777777" w:rsidR="00184A8A" w:rsidRDefault="3DC018EE">
            <w:r>
              <w:rPr>
                <w:b/>
                <w:bCs/>
              </w:rPr>
              <w:t>Coefficient</w:t>
            </w:r>
          </w:p>
        </w:tc>
        <w:tc>
          <w:tcPr>
            <w:tcW w:w="1400" w:type="dxa"/>
            <w:tcBorders>
              <w:bottom w:val="single" w:sz="6" w:space="0" w:color="auto"/>
            </w:tcBorders>
            <w:shd w:val="clear" w:color="auto" w:fill="F2EFE7"/>
          </w:tcPr>
          <w:p w14:paraId="7CF242E3" w14:textId="77777777" w:rsidR="00184A8A" w:rsidRDefault="3DC018EE">
            <w:r>
              <w:rPr>
                <w:b/>
                <w:bCs/>
              </w:rPr>
              <w:t>HC1</w:t>
            </w:r>
          </w:p>
        </w:tc>
        <w:tc>
          <w:tcPr>
            <w:tcW w:w="1500" w:type="dxa"/>
            <w:tcBorders>
              <w:bottom w:val="single" w:sz="6" w:space="0" w:color="auto"/>
            </w:tcBorders>
            <w:shd w:val="clear" w:color="auto" w:fill="F2EFE7"/>
          </w:tcPr>
          <w:p w14:paraId="74FCFD51" w14:textId="77777777" w:rsidR="00184A8A" w:rsidRDefault="3DC018EE">
            <w:r>
              <w:rPr>
                <w:b/>
                <w:bCs/>
              </w:rPr>
              <w:t>Conley 50 km</w:t>
            </w:r>
          </w:p>
        </w:tc>
        <w:tc>
          <w:tcPr>
            <w:tcW w:w="1550" w:type="dxa"/>
            <w:tcBorders>
              <w:bottom w:val="single" w:sz="6" w:space="0" w:color="auto"/>
            </w:tcBorders>
            <w:shd w:val="clear" w:color="auto" w:fill="F2EFE7"/>
          </w:tcPr>
          <w:p w14:paraId="288EFA33" w14:textId="77777777" w:rsidR="00184A8A" w:rsidRDefault="3DC018EE">
            <w:r>
              <w:rPr>
                <w:b/>
                <w:bCs/>
              </w:rPr>
              <w:t>Conley 100 km</w:t>
            </w:r>
          </w:p>
        </w:tc>
        <w:tc>
          <w:tcPr>
            <w:tcW w:w="1550" w:type="dxa"/>
            <w:tcBorders>
              <w:bottom w:val="single" w:sz="6" w:space="0" w:color="auto"/>
            </w:tcBorders>
            <w:shd w:val="clear" w:color="auto" w:fill="F2EFE7"/>
          </w:tcPr>
          <w:p w14:paraId="10212E0D" w14:textId="77777777" w:rsidR="00184A8A" w:rsidRDefault="3DC018EE">
            <w:r>
              <w:rPr>
                <w:b/>
                <w:bCs/>
              </w:rPr>
              <w:t>Conley 200 km</w:t>
            </w:r>
          </w:p>
        </w:tc>
      </w:tr>
      <w:tr w:rsidR="00184A8A" w14:paraId="6E94D056" w14:textId="77777777" w:rsidTr="3DC018EE">
        <w:trPr>
          <w:trHeight w:val="300"/>
        </w:trPr>
        <w:tc>
          <w:tcPr>
            <w:tcW w:w="2400" w:type="dxa"/>
          </w:tcPr>
          <w:p w14:paraId="1A7A9AC2" w14:textId="77777777" w:rsidR="00184A8A" w:rsidRDefault="3DC018EE">
            <w:r>
              <w:rPr>
                <w:b/>
                <w:bCs/>
              </w:rPr>
              <w:t>Solar PV</w:t>
            </w:r>
          </w:p>
        </w:tc>
        <w:tc>
          <w:tcPr>
            <w:tcW w:w="1400" w:type="dxa"/>
          </w:tcPr>
          <w:p w14:paraId="6C8FC091" w14:textId="77777777" w:rsidR="00184A8A" w:rsidRDefault="00184A8A"/>
        </w:tc>
        <w:tc>
          <w:tcPr>
            <w:tcW w:w="1400" w:type="dxa"/>
          </w:tcPr>
          <w:p w14:paraId="61DB6E70" w14:textId="77777777" w:rsidR="00184A8A" w:rsidRDefault="00184A8A"/>
        </w:tc>
        <w:tc>
          <w:tcPr>
            <w:tcW w:w="1500" w:type="dxa"/>
          </w:tcPr>
          <w:p w14:paraId="3A28B0F4" w14:textId="77777777" w:rsidR="00184A8A" w:rsidRDefault="00184A8A"/>
        </w:tc>
        <w:tc>
          <w:tcPr>
            <w:tcW w:w="1550" w:type="dxa"/>
          </w:tcPr>
          <w:p w14:paraId="46195A8E" w14:textId="77777777" w:rsidR="00184A8A" w:rsidRDefault="00184A8A"/>
        </w:tc>
        <w:tc>
          <w:tcPr>
            <w:tcW w:w="1550" w:type="dxa"/>
          </w:tcPr>
          <w:p w14:paraId="55B3D23A" w14:textId="77777777" w:rsidR="00184A8A" w:rsidRDefault="00184A8A"/>
        </w:tc>
      </w:tr>
      <w:tr w:rsidR="00184A8A" w14:paraId="05039A1F" w14:textId="77777777" w:rsidTr="3DC018EE">
        <w:trPr>
          <w:trHeight w:val="300"/>
        </w:trPr>
        <w:tc>
          <w:tcPr>
            <w:tcW w:w="2400" w:type="dxa"/>
          </w:tcPr>
          <w:p w14:paraId="5E096834" w14:textId="77777777" w:rsidR="00184A8A" w:rsidRDefault="3DC018EE">
            <w:r>
              <w:t xml:space="preserve">  Log median income</w:t>
            </w:r>
          </w:p>
        </w:tc>
        <w:tc>
          <w:tcPr>
            <w:tcW w:w="1400" w:type="dxa"/>
          </w:tcPr>
          <w:p w14:paraId="29EF8190" w14:textId="77777777" w:rsidR="00184A8A" w:rsidRDefault="00000000">
            <w:r>
              <w:t>0.126</w:t>
            </w:r>
          </w:p>
        </w:tc>
        <w:tc>
          <w:tcPr>
            <w:tcW w:w="1400" w:type="dxa"/>
          </w:tcPr>
          <w:p w14:paraId="644A2FA7" w14:textId="77777777" w:rsidR="00184A8A" w:rsidRDefault="00000000">
            <w:r>
              <w:t>0.038***</w:t>
            </w:r>
          </w:p>
        </w:tc>
        <w:tc>
          <w:tcPr>
            <w:tcW w:w="1500" w:type="dxa"/>
          </w:tcPr>
          <w:p w14:paraId="0D12F84E" w14:textId="77777777" w:rsidR="00184A8A" w:rsidRDefault="00000000">
            <w:r>
              <w:t>0.053*</w:t>
            </w:r>
          </w:p>
        </w:tc>
        <w:tc>
          <w:tcPr>
            <w:tcW w:w="1550" w:type="dxa"/>
          </w:tcPr>
          <w:p w14:paraId="2BCC8BA0" w14:textId="77777777" w:rsidR="00184A8A" w:rsidRDefault="00000000">
            <w:r>
              <w:t>0.056*</w:t>
            </w:r>
          </w:p>
        </w:tc>
        <w:tc>
          <w:tcPr>
            <w:tcW w:w="1550" w:type="dxa"/>
          </w:tcPr>
          <w:p w14:paraId="611530F2" w14:textId="77777777" w:rsidR="00184A8A" w:rsidRDefault="00000000">
            <w:r>
              <w:t>0.053*</w:t>
            </w:r>
          </w:p>
        </w:tc>
      </w:tr>
      <w:tr w:rsidR="00184A8A" w14:paraId="6EA91AD2" w14:textId="77777777" w:rsidTr="3DC018EE">
        <w:trPr>
          <w:trHeight w:val="300"/>
        </w:trPr>
        <w:tc>
          <w:tcPr>
            <w:tcW w:w="2400" w:type="dxa"/>
          </w:tcPr>
          <w:p w14:paraId="763C4172" w14:textId="77777777" w:rsidR="00184A8A" w:rsidRDefault="3DC018EE">
            <w:r>
              <w:t xml:space="preserve">  % Black</w:t>
            </w:r>
          </w:p>
        </w:tc>
        <w:tc>
          <w:tcPr>
            <w:tcW w:w="1400" w:type="dxa"/>
          </w:tcPr>
          <w:p w14:paraId="00A7965F" w14:textId="77777777" w:rsidR="00184A8A" w:rsidRDefault="00000000">
            <w:r>
              <w:t>-0.760</w:t>
            </w:r>
          </w:p>
        </w:tc>
        <w:tc>
          <w:tcPr>
            <w:tcW w:w="1400" w:type="dxa"/>
          </w:tcPr>
          <w:p w14:paraId="384079D4" w14:textId="77777777" w:rsidR="00184A8A" w:rsidRDefault="00000000">
            <w:r>
              <w:t>0.109***</w:t>
            </w:r>
          </w:p>
        </w:tc>
        <w:tc>
          <w:tcPr>
            <w:tcW w:w="1500" w:type="dxa"/>
          </w:tcPr>
          <w:p w14:paraId="1C8E8027" w14:textId="77777777" w:rsidR="00184A8A" w:rsidRDefault="00000000">
            <w:r>
              <w:t>0.173***</w:t>
            </w:r>
          </w:p>
        </w:tc>
        <w:tc>
          <w:tcPr>
            <w:tcW w:w="1550" w:type="dxa"/>
          </w:tcPr>
          <w:p w14:paraId="21D717B6" w14:textId="77777777" w:rsidR="00184A8A" w:rsidRDefault="00000000">
            <w:r>
              <w:t>0.237**</w:t>
            </w:r>
          </w:p>
        </w:tc>
        <w:tc>
          <w:tcPr>
            <w:tcW w:w="1550" w:type="dxa"/>
          </w:tcPr>
          <w:p w14:paraId="53B555CA" w14:textId="77777777" w:rsidR="00184A8A" w:rsidRDefault="00000000">
            <w:r>
              <w:t>0.298*</w:t>
            </w:r>
          </w:p>
        </w:tc>
      </w:tr>
      <w:tr w:rsidR="00184A8A" w14:paraId="1FC84195" w14:textId="77777777" w:rsidTr="3DC018EE">
        <w:trPr>
          <w:trHeight w:val="300"/>
        </w:trPr>
        <w:tc>
          <w:tcPr>
            <w:tcW w:w="2400" w:type="dxa"/>
          </w:tcPr>
          <w:p w14:paraId="6876CE77" w14:textId="77777777" w:rsidR="00184A8A" w:rsidRDefault="3DC018EE">
            <w:r>
              <w:t xml:space="preserve">  % Hispanic</w:t>
            </w:r>
          </w:p>
        </w:tc>
        <w:tc>
          <w:tcPr>
            <w:tcW w:w="1400" w:type="dxa"/>
          </w:tcPr>
          <w:p w14:paraId="30DBA5E4" w14:textId="77777777" w:rsidR="00184A8A" w:rsidRDefault="00000000">
            <w:r>
              <w:t>0.017</w:t>
            </w:r>
          </w:p>
        </w:tc>
        <w:tc>
          <w:tcPr>
            <w:tcW w:w="1400" w:type="dxa"/>
          </w:tcPr>
          <w:p w14:paraId="7577DC90" w14:textId="77777777" w:rsidR="00184A8A" w:rsidRDefault="00000000">
            <w:r>
              <w:t>0.048</w:t>
            </w:r>
          </w:p>
        </w:tc>
        <w:tc>
          <w:tcPr>
            <w:tcW w:w="1500" w:type="dxa"/>
          </w:tcPr>
          <w:p w14:paraId="12557E1F" w14:textId="77777777" w:rsidR="00184A8A" w:rsidRDefault="00000000">
            <w:r>
              <w:t>0.105</w:t>
            </w:r>
          </w:p>
        </w:tc>
        <w:tc>
          <w:tcPr>
            <w:tcW w:w="1550" w:type="dxa"/>
          </w:tcPr>
          <w:p w14:paraId="74D41DD6" w14:textId="77777777" w:rsidR="00184A8A" w:rsidRDefault="00000000">
            <w:r>
              <w:t>0.122</w:t>
            </w:r>
          </w:p>
        </w:tc>
        <w:tc>
          <w:tcPr>
            <w:tcW w:w="1550" w:type="dxa"/>
          </w:tcPr>
          <w:p w14:paraId="08898BE3" w14:textId="77777777" w:rsidR="00184A8A" w:rsidRDefault="00000000">
            <w:r>
              <w:t>0.144</w:t>
            </w:r>
          </w:p>
        </w:tc>
      </w:tr>
      <w:tr w:rsidR="00184A8A" w14:paraId="7282F941" w14:textId="77777777" w:rsidTr="3DC018EE">
        <w:trPr>
          <w:trHeight w:val="300"/>
        </w:trPr>
        <w:tc>
          <w:tcPr>
            <w:tcW w:w="2400" w:type="dxa"/>
          </w:tcPr>
          <w:p w14:paraId="6088BADB" w14:textId="77777777" w:rsidR="00184A8A" w:rsidRDefault="3DC018EE">
            <w:r>
              <w:t xml:space="preserve">  % Asian</w:t>
            </w:r>
          </w:p>
        </w:tc>
        <w:tc>
          <w:tcPr>
            <w:tcW w:w="1400" w:type="dxa"/>
          </w:tcPr>
          <w:p w14:paraId="78755991" w14:textId="77777777" w:rsidR="00184A8A" w:rsidRDefault="00000000">
            <w:r>
              <w:t>-0.579</w:t>
            </w:r>
          </w:p>
        </w:tc>
        <w:tc>
          <w:tcPr>
            <w:tcW w:w="1400" w:type="dxa"/>
          </w:tcPr>
          <w:p w14:paraId="48FA131A" w14:textId="77777777" w:rsidR="00184A8A" w:rsidRDefault="00000000">
            <w:r>
              <w:t>0.048***</w:t>
            </w:r>
          </w:p>
        </w:tc>
        <w:tc>
          <w:tcPr>
            <w:tcW w:w="1500" w:type="dxa"/>
          </w:tcPr>
          <w:p w14:paraId="3CBB96DA" w14:textId="77777777" w:rsidR="00184A8A" w:rsidRDefault="00000000">
            <w:r>
              <w:t>0.071***</w:t>
            </w:r>
          </w:p>
        </w:tc>
        <w:tc>
          <w:tcPr>
            <w:tcW w:w="1550" w:type="dxa"/>
          </w:tcPr>
          <w:p w14:paraId="0396EAD6" w14:textId="77777777" w:rsidR="00184A8A" w:rsidRDefault="00000000">
            <w:r>
              <w:t>0.085***</w:t>
            </w:r>
          </w:p>
        </w:tc>
        <w:tc>
          <w:tcPr>
            <w:tcW w:w="1550" w:type="dxa"/>
          </w:tcPr>
          <w:p w14:paraId="4FBBCBB7" w14:textId="77777777" w:rsidR="00184A8A" w:rsidRDefault="00000000">
            <w:r>
              <w:t>0.085***</w:t>
            </w:r>
          </w:p>
        </w:tc>
      </w:tr>
      <w:tr w:rsidR="00184A8A" w14:paraId="0BDE6D6D" w14:textId="77777777" w:rsidTr="3DC018EE">
        <w:trPr>
          <w:trHeight w:val="300"/>
        </w:trPr>
        <w:tc>
          <w:tcPr>
            <w:tcW w:w="2400" w:type="dxa"/>
          </w:tcPr>
          <w:p w14:paraId="25A12149" w14:textId="77777777" w:rsidR="00184A8A" w:rsidRDefault="3DC018EE">
            <w:r>
              <w:t xml:space="preserve">  Poverty rate</w:t>
            </w:r>
          </w:p>
        </w:tc>
        <w:tc>
          <w:tcPr>
            <w:tcW w:w="1400" w:type="dxa"/>
          </w:tcPr>
          <w:p w14:paraId="3186ABF0" w14:textId="77777777" w:rsidR="00184A8A" w:rsidRDefault="00000000">
            <w:r>
              <w:t>-0.047</w:t>
            </w:r>
          </w:p>
        </w:tc>
        <w:tc>
          <w:tcPr>
            <w:tcW w:w="1400" w:type="dxa"/>
          </w:tcPr>
          <w:p w14:paraId="167ED56E" w14:textId="77777777" w:rsidR="00184A8A" w:rsidRDefault="00000000">
            <w:r>
              <w:t>0.219</w:t>
            </w:r>
          </w:p>
        </w:tc>
        <w:tc>
          <w:tcPr>
            <w:tcW w:w="1500" w:type="dxa"/>
          </w:tcPr>
          <w:p w14:paraId="1ACE9C21" w14:textId="77777777" w:rsidR="00184A8A" w:rsidRDefault="00000000">
            <w:r>
              <w:t>0.240</w:t>
            </w:r>
          </w:p>
        </w:tc>
        <w:tc>
          <w:tcPr>
            <w:tcW w:w="1550" w:type="dxa"/>
          </w:tcPr>
          <w:p w14:paraId="03485630" w14:textId="77777777" w:rsidR="00184A8A" w:rsidRDefault="00000000">
            <w:r>
              <w:t>0.254</w:t>
            </w:r>
          </w:p>
        </w:tc>
        <w:tc>
          <w:tcPr>
            <w:tcW w:w="1550" w:type="dxa"/>
          </w:tcPr>
          <w:p w14:paraId="091F2BC2" w14:textId="77777777" w:rsidR="00184A8A" w:rsidRDefault="00000000">
            <w:r>
              <w:t>0.259</w:t>
            </w:r>
          </w:p>
        </w:tc>
      </w:tr>
      <w:tr w:rsidR="00184A8A" w14:paraId="4F95080D" w14:textId="77777777" w:rsidTr="3DC018EE">
        <w:trPr>
          <w:trHeight w:val="300"/>
        </w:trPr>
        <w:tc>
          <w:tcPr>
            <w:tcW w:w="2400" w:type="dxa"/>
          </w:tcPr>
          <w:p w14:paraId="6F189EB1" w14:textId="77777777" w:rsidR="00184A8A" w:rsidRDefault="3DC018EE">
            <w:r>
              <w:rPr>
                <w:b/>
                <w:bCs/>
              </w:rPr>
              <w:t>Storage</w:t>
            </w:r>
          </w:p>
        </w:tc>
        <w:tc>
          <w:tcPr>
            <w:tcW w:w="1400" w:type="dxa"/>
          </w:tcPr>
          <w:p w14:paraId="1E8CCE6A" w14:textId="77777777" w:rsidR="00184A8A" w:rsidRDefault="00184A8A"/>
        </w:tc>
        <w:tc>
          <w:tcPr>
            <w:tcW w:w="1400" w:type="dxa"/>
          </w:tcPr>
          <w:p w14:paraId="1AD76A7D" w14:textId="77777777" w:rsidR="00184A8A" w:rsidRDefault="00184A8A"/>
        </w:tc>
        <w:tc>
          <w:tcPr>
            <w:tcW w:w="1500" w:type="dxa"/>
          </w:tcPr>
          <w:p w14:paraId="551CF6CE" w14:textId="77777777" w:rsidR="00184A8A" w:rsidRDefault="00184A8A"/>
        </w:tc>
        <w:tc>
          <w:tcPr>
            <w:tcW w:w="1550" w:type="dxa"/>
          </w:tcPr>
          <w:p w14:paraId="53351BEB" w14:textId="77777777" w:rsidR="00184A8A" w:rsidRDefault="00184A8A"/>
        </w:tc>
        <w:tc>
          <w:tcPr>
            <w:tcW w:w="1550" w:type="dxa"/>
          </w:tcPr>
          <w:p w14:paraId="377CF378" w14:textId="77777777" w:rsidR="00184A8A" w:rsidRDefault="00184A8A"/>
        </w:tc>
      </w:tr>
      <w:tr w:rsidR="00184A8A" w14:paraId="22CA086E" w14:textId="77777777" w:rsidTr="3DC018EE">
        <w:trPr>
          <w:trHeight w:val="300"/>
        </w:trPr>
        <w:tc>
          <w:tcPr>
            <w:tcW w:w="2400" w:type="dxa"/>
          </w:tcPr>
          <w:p w14:paraId="2362C32D" w14:textId="77777777" w:rsidR="00184A8A" w:rsidRDefault="3DC018EE">
            <w:r>
              <w:t xml:space="preserve">  Log median income</w:t>
            </w:r>
          </w:p>
        </w:tc>
        <w:tc>
          <w:tcPr>
            <w:tcW w:w="1400" w:type="dxa"/>
          </w:tcPr>
          <w:p w14:paraId="1EE650C5" w14:textId="77777777" w:rsidR="00184A8A" w:rsidRDefault="00000000">
            <w:r>
              <w:t>0.771</w:t>
            </w:r>
          </w:p>
        </w:tc>
        <w:tc>
          <w:tcPr>
            <w:tcW w:w="1400" w:type="dxa"/>
          </w:tcPr>
          <w:p w14:paraId="04B54A9F" w14:textId="77777777" w:rsidR="00184A8A" w:rsidRDefault="00000000">
            <w:r>
              <w:t>0.122***</w:t>
            </w:r>
          </w:p>
        </w:tc>
        <w:tc>
          <w:tcPr>
            <w:tcW w:w="1500" w:type="dxa"/>
          </w:tcPr>
          <w:p w14:paraId="39FC59F4" w14:textId="77777777" w:rsidR="00184A8A" w:rsidRDefault="00000000">
            <w:r>
              <w:t>0.176***</w:t>
            </w:r>
          </w:p>
        </w:tc>
        <w:tc>
          <w:tcPr>
            <w:tcW w:w="1550" w:type="dxa"/>
          </w:tcPr>
          <w:p w14:paraId="2113B537" w14:textId="77777777" w:rsidR="00184A8A" w:rsidRDefault="00000000">
            <w:r>
              <w:t>0.179***</w:t>
            </w:r>
          </w:p>
        </w:tc>
        <w:tc>
          <w:tcPr>
            <w:tcW w:w="1550" w:type="dxa"/>
          </w:tcPr>
          <w:p w14:paraId="0C1BD514" w14:textId="77777777" w:rsidR="00184A8A" w:rsidRDefault="00000000">
            <w:r>
              <w:t>0.168***</w:t>
            </w:r>
          </w:p>
        </w:tc>
      </w:tr>
      <w:tr w:rsidR="00184A8A" w14:paraId="175C6E9B" w14:textId="77777777" w:rsidTr="3DC018EE">
        <w:trPr>
          <w:trHeight w:val="300"/>
        </w:trPr>
        <w:tc>
          <w:tcPr>
            <w:tcW w:w="2400" w:type="dxa"/>
          </w:tcPr>
          <w:p w14:paraId="3BB22539" w14:textId="77777777" w:rsidR="00184A8A" w:rsidRDefault="3DC018EE">
            <w:r>
              <w:t xml:space="preserve">  % Black</w:t>
            </w:r>
          </w:p>
        </w:tc>
        <w:tc>
          <w:tcPr>
            <w:tcW w:w="1400" w:type="dxa"/>
          </w:tcPr>
          <w:p w14:paraId="3C4ADD90" w14:textId="77777777" w:rsidR="00184A8A" w:rsidRDefault="00000000">
            <w:r>
              <w:t>-1.652</w:t>
            </w:r>
          </w:p>
        </w:tc>
        <w:tc>
          <w:tcPr>
            <w:tcW w:w="1400" w:type="dxa"/>
          </w:tcPr>
          <w:p w14:paraId="1F22BFB2" w14:textId="77777777" w:rsidR="00184A8A" w:rsidRDefault="00000000">
            <w:r>
              <w:t>0.328***</w:t>
            </w:r>
          </w:p>
        </w:tc>
        <w:tc>
          <w:tcPr>
            <w:tcW w:w="1500" w:type="dxa"/>
          </w:tcPr>
          <w:p w14:paraId="1320D61A" w14:textId="77777777" w:rsidR="00184A8A" w:rsidRDefault="00000000">
            <w:r>
              <w:t>0.464***</w:t>
            </w:r>
          </w:p>
        </w:tc>
        <w:tc>
          <w:tcPr>
            <w:tcW w:w="1550" w:type="dxa"/>
          </w:tcPr>
          <w:p w14:paraId="6DC24D07" w14:textId="77777777" w:rsidR="00184A8A" w:rsidRDefault="00000000">
            <w:r>
              <w:t>0.557**</w:t>
            </w:r>
          </w:p>
        </w:tc>
        <w:tc>
          <w:tcPr>
            <w:tcW w:w="1550" w:type="dxa"/>
          </w:tcPr>
          <w:p w14:paraId="5211FE7A" w14:textId="77777777" w:rsidR="00184A8A" w:rsidRDefault="00000000">
            <w:r>
              <w:t>0.644*</w:t>
            </w:r>
          </w:p>
        </w:tc>
      </w:tr>
      <w:tr w:rsidR="00184A8A" w14:paraId="256D7728" w14:textId="77777777" w:rsidTr="3DC018EE">
        <w:trPr>
          <w:trHeight w:val="300"/>
        </w:trPr>
        <w:tc>
          <w:tcPr>
            <w:tcW w:w="2400" w:type="dxa"/>
          </w:tcPr>
          <w:p w14:paraId="500BF372" w14:textId="77777777" w:rsidR="00184A8A" w:rsidRDefault="3DC018EE">
            <w:r>
              <w:t xml:space="preserve">  % Hispanic</w:t>
            </w:r>
          </w:p>
        </w:tc>
        <w:tc>
          <w:tcPr>
            <w:tcW w:w="1400" w:type="dxa"/>
          </w:tcPr>
          <w:p w14:paraId="75872CA9" w14:textId="77777777" w:rsidR="00184A8A" w:rsidRDefault="00000000">
            <w:r>
              <w:t>-0.612</w:t>
            </w:r>
          </w:p>
        </w:tc>
        <w:tc>
          <w:tcPr>
            <w:tcW w:w="1400" w:type="dxa"/>
          </w:tcPr>
          <w:p w14:paraId="5DC93DD6" w14:textId="77777777" w:rsidR="00184A8A" w:rsidRDefault="00000000">
            <w:r>
              <w:t>0.126***</w:t>
            </w:r>
          </w:p>
        </w:tc>
        <w:tc>
          <w:tcPr>
            <w:tcW w:w="1500" w:type="dxa"/>
          </w:tcPr>
          <w:p w14:paraId="0C5630E8" w14:textId="77777777" w:rsidR="00184A8A" w:rsidRDefault="00000000">
            <w:r>
              <w:t>0.205**</w:t>
            </w:r>
          </w:p>
        </w:tc>
        <w:tc>
          <w:tcPr>
            <w:tcW w:w="1550" w:type="dxa"/>
          </w:tcPr>
          <w:p w14:paraId="619EF8EA" w14:textId="77777777" w:rsidR="00184A8A" w:rsidRDefault="00000000">
            <w:r>
              <w:t>0.213**</w:t>
            </w:r>
          </w:p>
        </w:tc>
        <w:tc>
          <w:tcPr>
            <w:tcW w:w="1550" w:type="dxa"/>
          </w:tcPr>
          <w:p w14:paraId="2AC01189" w14:textId="77777777" w:rsidR="00184A8A" w:rsidRDefault="00000000">
            <w:r>
              <w:t>0.182***</w:t>
            </w:r>
          </w:p>
        </w:tc>
      </w:tr>
      <w:tr w:rsidR="00184A8A" w14:paraId="3EC49746" w14:textId="77777777" w:rsidTr="3DC018EE">
        <w:trPr>
          <w:trHeight w:val="300"/>
        </w:trPr>
        <w:tc>
          <w:tcPr>
            <w:tcW w:w="2400" w:type="dxa"/>
          </w:tcPr>
          <w:p w14:paraId="738110D2" w14:textId="77777777" w:rsidR="00184A8A" w:rsidRDefault="3DC018EE">
            <w:r>
              <w:t xml:space="preserve">  % Asian</w:t>
            </w:r>
          </w:p>
        </w:tc>
        <w:tc>
          <w:tcPr>
            <w:tcW w:w="1400" w:type="dxa"/>
          </w:tcPr>
          <w:p w14:paraId="396F3995" w14:textId="77777777" w:rsidR="00184A8A" w:rsidRDefault="00000000">
            <w:r>
              <w:t>-1.780</w:t>
            </w:r>
          </w:p>
        </w:tc>
        <w:tc>
          <w:tcPr>
            <w:tcW w:w="1400" w:type="dxa"/>
          </w:tcPr>
          <w:p w14:paraId="7B00D52E" w14:textId="77777777" w:rsidR="00184A8A" w:rsidRDefault="00000000">
            <w:r>
              <w:t>0.162***</w:t>
            </w:r>
          </w:p>
        </w:tc>
        <w:tc>
          <w:tcPr>
            <w:tcW w:w="1500" w:type="dxa"/>
          </w:tcPr>
          <w:p w14:paraId="69FF2D8F" w14:textId="77777777" w:rsidR="00184A8A" w:rsidRDefault="00000000">
            <w:r>
              <w:t>0.292***</w:t>
            </w:r>
          </w:p>
        </w:tc>
        <w:tc>
          <w:tcPr>
            <w:tcW w:w="1550" w:type="dxa"/>
          </w:tcPr>
          <w:p w14:paraId="7D83BDB5" w14:textId="77777777" w:rsidR="00184A8A" w:rsidRDefault="00000000">
            <w:r>
              <w:t>0.344***</w:t>
            </w:r>
          </w:p>
        </w:tc>
        <w:tc>
          <w:tcPr>
            <w:tcW w:w="1550" w:type="dxa"/>
          </w:tcPr>
          <w:p w14:paraId="4211C523" w14:textId="77777777" w:rsidR="00184A8A" w:rsidRDefault="00000000">
            <w:r>
              <w:t>0.339***</w:t>
            </w:r>
          </w:p>
        </w:tc>
      </w:tr>
      <w:tr w:rsidR="00184A8A" w14:paraId="18BD6095" w14:textId="77777777" w:rsidTr="3DC018EE">
        <w:trPr>
          <w:trHeight w:val="300"/>
        </w:trPr>
        <w:tc>
          <w:tcPr>
            <w:tcW w:w="2400" w:type="dxa"/>
          </w:tcPr>
          <w:p w14:paraId="16EC1DD1" w14:textId="77777777" w:rsidR="00184A8A" w:rsidRDefault="3DC018EE">
            <w:r>
              <w:t xml:space="preserve">  Poverty rate</w:t>
            </w:r>
          </w:p>
        </w:tc>
        <w:tc>
          <w:tcPr>
            <w:tcW w:w="1400" w:type="dxa"/>
          </w:tcPr>
          <w:p w14:paraId="7B40960A" w14:textId="77777777" w:rsidR="00184A8A" w:rsidRDefault="00000000">
            <w:r>
              <w:t>-0.228</w:t>
            </w:r>
          </w:p>
        </w:tc>
        <w:tc>
          <w:tcPr>
            <w:tcW w:w="1400" w:type="dxa"/>
          </w:tcPr>
          <w:p w14:paraId="77C909E5" w14:textId="77777777" w:rsidR="00184A8A" w:rsidRDefault="00000000">
            <w:r>
              <w:t>0.562</w:t>
            </w:r>
          </w:p>
        </w:tc>
        <w:tc>
          <w:tcPr>
            <w:tcW w:w="1500" w:type="dxa"/>
          </w:tcPr>
          <w:p w14:paraId="768D9797" w14:textId="77777777" w:rsidR="00184A8A" w:rsidRDefault="00000000">
            <w:r>
              <w:t>0.681</w:t>
            </w:r>
          </w:p>
        </w:tc>
        <w:tc>
          <w:tcPr>
            <w:tcW w:w="1550" w:type="dxa"/>
          </w:tcPr>
          <w:p w14:paraId="30FD705F" w14:textId="77777777" w:rsidR="00184A8A" w:rsidRDefault="00000000">
            <w:r>
              <w:t>0.710</w:t>
            </w:r>
          </w:p>
        </w:tc>
        <w:tc>
          <w:tcPr>
            <w:tcW w:w="1550" w:type="dxa"/>
          </w:tcPr>
          <w:p w14:paraId="05CCB160" w14:textId="77777777" w:rsidR="00184A8A" w:rsidRDefault="00000000">
            <w:r>
              <w:t>0.682</w:t>
            </w:r>
          </w:p>
        </w:tc>
      </w:tr>
      <w:tr w:rsidR="00184A8A" w14:paraId="10DE1BA3" w14:textId="77777777" w:rsidTr="3DC018EE">
        <w:trPr>
          <w:trHeight w:val="300"/>
        </w:trPr>
        <w:tc>
          <w:tcPr>
            <w:tcW w:w="2400" w:type="dxa"/>
          </w:tcPr>
          <w:p w14:paraId="342EEA27" w14:textId="77777777" w:rsidR="00184A8A" w:rsidRDefault="3DC018EE">
            <w:r>
              <w:rPr>
                <w:b/>
                <w:bCs/>
              </w:rPr>
              <w:t>EV chargers (aggregate)</w:t>
            </w:r>
          </w:p>
        </w:tc>
        <w:tc>
          <w:tcPr>
            <w:tcW w:w="1400" w:type="dxa"/>
          </w:tcPr>
          <w:p w14:paraId="06D9B296" w14:textId="77777777" w:rsidR="00184A8A" w:rsidRDefault="00184A8A"/>
        </w:tc>
        <w:tc>
          <w:tcPr>
            <w:tcW w:w="1400" w:type="dxa"/>
          </w:tcPr>
          <w:p w14:paraId="68A4E4DA" w14:textId="77777777" w:rsidR="00184A8A" w:rsidRDefault="00184A8A"/>
        </w:tc>
        <w:tc>
          <w:tcPr>
            <w:tcW w:w="1500" w:type="dxa"/>
          </w:tcPr>
          <w:p w14:paraId="18EC8086" w14:textId="77777777" w:rsidR="00184A8A" w:rsidRDefault="00184A8A"/>
        </w:tc>
        <w:tc>
          <w:tcPr>
            <w:tcW w:w="1550" w:type="dxa"/>
          </w:tcPr>
          <w:p w14:paraId="440B5BC9" w14:textId="77777777" w:rsidR="00184A8A" w:rsidRDefault="00184A8A"/>
        </w:tc>
        <w:tc>
          <w:tcPr>
            <w:tcW w:w="1550" w:type="dxa"/>
          </w:tcPr>
          <w:p w14:paraId="02CD1653" w14:textId="77777777" w:rsidR="00184A8A" w:rsidRDefault="00184A8A"/>
        </w:tc>
      </w:tr>
      <w:tr w:rsidR="00184A8A" w14:paraId="3FC5D10B" w14:textId="77777777" w:rsidTr="3DC018EE">
        <w:trPr>
          <w:trHeight w:val="300"/>
        </w:trPr>
        <w:tc>
          <w:tcPr>
            <w:tcW w:w="2400" w:type="dxa"/>
          </w:tcPr>
          <w:p w14:paraId="33D6F982" w14:textId="77777777" w:rsidR="00184A8A" w:rsidRDefault="3DC018EE">
            <w:r>
              <w:t xml:space="preserve">  Log median income</w:t>
            </w:r>
          </w:p>
        </w:tc>
        <w:tc>
          <w:tcPr>
            <w:tcW w:w="1400" w:type="dxa"/>
          </w:tcPr>
          <w:p w14:paraId="592ED108" w14:textId="77777777" w:rsidR="00184A8A" w:rsidRDefault="00000000">
            <w:r>
              <w:t>0.164</w:t>
            </w:r>
          </w:p>
        </w:tc>
        <w:tc>
          <w:tcPr>
            <w:tcW w:w="1400" w:type="dxa"/>
          </w:tcPr>
          <w:p w14:paraId="741613D1" w14:textId="77777777" w:rsidR="00184A8A" w:rsidRDefault="00000000">
            <w:r>
              <w:t>0.098</w:t>
            </w:r>
          </w:p>
        </w:tc>
        <w:tc>
          <w:tcPr>
            <w:tcW w:w="1500" w:type="dxa"/>
          </w:tcPr>
          <w:p w14:paraId="0E03390E" w14:textId="77777777" w:rsidR="00184A8A" w:rsidRDefault="00000000">
            <w:r>
              <w:t>0.130</w:t>
            </w:r>
          </w:p>
        </w:tc>
        <w:tc>
          <w:tcPr>
            <w:tcW w:w="1550" w:type="dxa"/>
          </w:tcPr>
          <w:p w14:paraId="2CB098CA" w14:textId="77777777" w:rsidR="00184A8A" w:rsidRDefault="00000000">
            <w:r>
              <w:t>0.120</w:t>
            </w:r>
          </w:p>
        </w:tc>
        <w:tc>
          <w:tcPr>
            <w:tcW w:w="1550" w:type="dxa"/>
          </w:tcPr>
          <w:p w14:paraId="0DE25AE6" w14:textId="77777777" w:rsidR="00184A8A" w:rsidRDefault="00000000">
            <w:r>
              <w:t>0.102</w:t>
            </w:r>
          </w:p>
        </w:tc>
      </w:tr>
      <w:tr w:rsidR="00184A8A" w14:paraId="0694B35F" w14:textId="77777777" w:rsidTr="3DC018EE">
        <w:trPr>
          <w:trHeight w:val="300"/>
        </w:trPr>
        <w:tc>
          <w:tcPr>
            <w:tcW w:w="2400" w:type="dxa"/>
          </w:tcPr>
          <w:p w14:paraId="22F16246" w14:textId="77777777" w:rsidR="00184A8A" w:rsidRDefault="3DC018EE">
            <w:r>
              <w:t xml:space="preserve">  % Black</w:t>
            </w:r>
          </w:p>
        </w:tc>
        <w:tc>
          <w:tcPr>
            <w:tcW w:w="1400" w:type="dxa"/>
          </w:tcPr>
          <w:p w14:paraId="2153D1A7" w14:textId="77777777" w:rsidR="00184A8A" w:rsidRDefault="00000000">
            <w:r>
              <w:t>-0.007</w:t>
            </w:r>
          </w:p>
        </w:tc>
        <w:tc>
          <w:tcPr>
            <w:tcW w:w="1400" w:type="dxa"/>
          </w:tcPr>
          <w:p w14:paraId="279EAC51" w14:textId="77777777" w:rsidR="00184A8A" w:rsidRDefault="00000000">
            <w:r>
              <w:t>0.343</w:t>
            </w:r>
          </w:p>
        </w:tc>
        <w:tc>
          <w:tcPr>
            <w:tcW w:w="1500" w:type="dxa"/>
          </w:tcPr>
          <w:p w14:paraId="0D455F31" w14:textId="77777777" w:rsidR="00184A8A" w:rsidRDefault="00000000">
            <w:r>
              <w:t>0.275</w:t>
            </w:r>
          </w:p>
        </w:tc>
        <w:tc>
          <w:tcPr>
            <w:tcW w:w="1550" w:type="dxa"/>
          </w:tcPr>
          <w:p w14:paraId="3961A462" w14:textId="77777777" w:rsidR="00184A8A" w:rsidRDefault="00000000">
            <w:r>
              <w:t>0.294</w:t>
            </w:r>
          </w:p>
        </w:tc>
        <w:tc>
          <w:tcPr>
            <w:tcW w:w="1550" w:type="dxa"/>
          </w:tcPr>
          <w:p w14:paraId="71EC0550" w14:textId="77777777" w:rsidR="00184A8A" w:rsidRDefault="00000000">
            <w:r>
              <w:t>0.285</w:t>
            </w:r>
          </w:p>
        </w:tc>
      </w:tr>
      <w:tr w:rsidR="00184A8A" w14:paraId="161CE5CC" w14:textId="77777777" w:rsidTr="3DC018EE">
        <w:trPr>
          <w:trHeight w:val="300"/>
        </w:trPr>
        <w:tc>
          <w:tcPr>
            <w:tcW w:w="2400" w:type="dxa"/>
          </w:tcPr>
          <w:p w14:paraId="11B1E6CE" w14:textId="77777777" w:rsidR="00184A8A" w:rsidRDefault="3DC018EE">
            <w:r>
              <w:t xml:space="preserve">  % Hispanic</w:t>
            </w:r>
          </w:p>
        </w:tc>
        <w:tc>
          <w:tcPr>
            <w:tcW w:w="1400" w:type="dxa"/>
          </w:tcPr>
          <w:p w14:paraId="70F03584" w14:textId="77777777" w:rsidR="00184A8A" w:rsidRDefault="00000000">
            <w:r>
              <w:t>-0.399</w:t>
            </w:r>
          </w:p>
        </w:tc>
        <w:tc>
          <w:tcPr>
            <w:tcW w:w="1400" w:type="dxa"/>
          </w:tcPr>
          <w:p w14:paraId="4A41EA23" w14:textId="77777777" w:rsidR="00184A8A" w:rsidRDefault="00000000">
            <w:r>
              <w:t>0.105***</w:t>
            </w:r>
          </w:p>
        </w:tc>
        <w:tc>
          <w:tcPr>
            <w:tcW w:w="1500" w:type="dxa"/>
          </w:tcPr>
          <w:p w14:paraId="5DC00AD1" w14:textId="77777777" w:rsidR="00184A8A" w:rsidRDefault="00000000">
            <w:r>
              <w:t>0.156*</w:t>
            </w:r>
          </w:p>
        </w:tc>
        <w:tc>
          <w:tcPr>
            <w:tcW w:w="1550" w:type="dxa"/>
          </w:tcPr>
          <w:p w14:paraId="2B6BE66B" w14:textId="77777777" w:rsidR="00184A8A" w:rsidRDefault="00000000">
            <w:r>
              <w:t>0.165*</w:t>
            </w:r>
          </w:p>
        </w:tc>
        <w:tc>
          <w:tcPr>
            <w:tcW w:w="1550" w:type="dxa"/>
          </w:tcPr>
          <w:p w14:paraId="65735F53" w14:textId="77777777" w:rsidR="00184A8A" w:rsidRDefault="00000000">
            <w:r>
              <w:t>0.173*</w:t>
            </w:r>
          </w:p>
        </w:tc>
      </w:tr>
      <w:tr w:rsidR="00184A8A" w14:paraId="4B204611" w14:textId="77777777" w:rsidTr="3DC018EE">
        <w:trPr>
          <w:trHeight w:val="300"/>
        </w:trPr>
        <w:tc>
          <w:tcPr>
            <w:tcW w:w="2400" w:type="dxa"/>
          </w:tcPr>
          <w:p w14:paraId="6DA87323" w14:textId="77777777" w:rsidR="00184A8A" w:rsidRDefault="3DC018EE">
            <w:r>
              <w:t xml:space="preserve">  % Asian</w:t>
            </w:r>
          </w:p>
        </w:tc>
        <w:tc>
          <w:tcPr>
            <w:tcW w:w="1400" w:type="dxa"/>
          </w:tcPr>
          <w:p w14:paraId="7255F01C" w14:textId="77777777" w:rsidR="00184A8A" w:rsidRDefault="00000000">
            <w:r>
              <w:t>0.410</w:t>
            </w:r>
          </w:p>
        </w:tc>
        <w:tc>
          <w:tcPr>
            <w:tcW w:w="1400" w:type="dxa"/>
          </w:tcPr>
          <w:p w14:paraId="65E95FAD" w14:textId="77777777" w:rsidR="00184A8A" w:rsidRDefault="00000000">
            <w:r>
              <w:t>0.146**</w:t>
            </w:r>
          </w:p>
        </w:tc>
        <w:tc>
          <w:tcPr>
            <w:tcW w:w="1500" w:type="dxa"/>
          </w:tcPr>
          <w:p w14:paraId="45085347" w14:textId="77777777" w:rsidR="00184A8A" w:rsidRDefault="00000000">
            <w:r>
              <w:t>0.207*</w:t>
            </w:r>
          </w:p>
        </w:tc>
        <w:tc>
          <w:tcPr>
            <w:tcW w:w="1550" w:type="dxa"/>
          </w:tcPr>
          <w:p w14:paraId="6B6FA60E" w14:textId="77777777" w:rsidR="00184A8A" w:rsidRDefault="00000000">
            <w:r>
              <w:t>0.218</w:t>
            </w:r>
          </w:p>
        </w:tc>
        <w:tc>
          <w:tcPr>
            <w:tcW w:w="1550" w:type="dxa"/>
          </w:tcPr>
          <w:p w14:paraId="35424A11" w14:textId="77777777" w:rsidR="00184A8A" w:rsidRDefault="00000000">
            <w:r>
              <w:t>0.197*</w:t>
            </w:r>
          </w:p>
        </w:tc>
      </w:tr>
      <w:tr w:rsidR="00184A8A" w14:paraId="0037C1BD" w14:textId="77777777" w:rsidTr="3DC018EE">
        <w:trPr>
          <w:trHeight w:val="300"/>
        </w:trPr>
        <w:tc>
          <w:tcPr>
            <w:tcW w:w="2400" w:type="dxa"/>
          </w:tcPr>
          <w:p w14:paraId="302CD67D" w14:textId="77777777" w:rsidR="00184A8A" w:rsidRDefault="3DC018EE">
            <w:r>
              <w:t xml:space="preserve">  Poverty rate</w:t>
            </w:r>
          </w:p>
        </w:tc>
        <w:tc>
          <w:tcPr>
            <w:tcW w:w="1400" w:type="dxa"/>
          </w:tcPr>
          <w:p w14:paraId="432D4ADB" w14:textId="77777777" w:rsidR="00184A8A" w:rsidRDefault="00000000">
            <w:r>
              <w:t>2.003</w:t>
            </w:r>
          </w:p>
        </w:tc>
        <w:tc>
          <w:tcPr>
            <w:tcW w:w="1400" w:type="dxa"/>
          </w:tcPr>
          <w:p w14:paraId="3B9D9E68" w14:textId="77777777" w:rsidR="00184A8A" w:rsidRDefault="00000000">
            <w:r>
              <w:t>0.497***</w:t>
            </w:r>
          </w:p>
        </w:tc>
        <w:tc>
          <w:tcPr>
            <w:tcW w:w="1500" w:type="dxa"/>
          </w:tcPr>
          <w:p w14:paraId="28D2D65F" w14:textId="77777777" w:rsidR="00184A8A" w:rsidRDefault="00000000">
            <w:r>
              <w:t>0.641**</w:t>
            </w:r>
          </w:p>
        </w:tc>
        <w:tc>
          <w:tcPr>
            <w:tcW w:w="1550" w:type="dxa"/>
          </w:tcPr>
          <w:p w14:paraId="3B76C524" w14:textId="77777777" w:rsidR="00184A8A" w:rsidRDefault="00000000">
            <w:r>
              <w:t>0.674**</w:t>
            </w:r>
          </w:p>
        </w:tc>
        <w:tc>
          <w:tcPr>
            <w:tcW w:w="1550" w:type="dxa"/>
          </w:tcPr>
          <w:p w14:paraId="5675CC9F" w14:textId="77777777" w:rsidR="00184A8A" w:rsidRDefault="00000000">
            <w:r>
              <w:t>0.692**</w:t>
            </w:r>
          </w:p>
        </w:tc>
      </w:tr>
    </w:tbl>
    <w:p w14:paraId="76101832" w14:textId="77777777" w:rsidR="00B86A12" w:rsidRDefault="00000000">
      <w:pPr>
        <w:pStyle w:val="Heading1"/>
      </w:pPr>
      <w:r>
        <w:t>References</w:t>
      </w:r>
    </w:p>
    <w:sdt>
      <w:sdtPr>
        <w:rPr>
          <w:rFonts w:cs="Times New Roman"/>
          <w:color w:val="000000"/>
        </w:rPr>
        <w:tag w:val="MENDELEY_BIBLIOGRAPHY"/>
        <w:id w:val="-1455015959"/>
      </w:sdtPr>
      <w:sdtContent>
        <w:p w14:paraId="76A39857"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w:t>
          </w:r>
          <w:r w:rsidRPr="005C73E3">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5C73E3">
            <w:rPr>
              <w:rFonts w:eastAsia="Times New Roman" w:cs="Times New Roman"/>
              <w:i/>
              <w:iCs/>
              <w:color w:val="000000"/>
            </w:rPr>
            <w:t>Energy Policy</w:t>
          </w:r>
          <w:r w:rsidRPr="005C73E3">
            <w:rPr>
              <w:rFonts w:eastAsia="Times New Roman" w:cs="Times New Roman"/>
              <w:color w:val="000000"/>
            </w:rPr>
            <w:t>, vol. 134, 2019, doi: 10.1016/j.enpol.2019.110935.</w:t>
          </w:r>
        </w:p>
        <w:p w14:paraId="7D182EC6" w14:textId="77777777" w:rsidR="005C73E3" w:rsidRPr="005C73E3" w:rsidRDefault="005C73E3">
          <w:pPr>
            <w:autoSpaceDE w:val="0"/>
            <w:autoSpaceDN w:val="0"/>
            <w:ind w:hanging="640"/>
            <w:divId w:val="832456146"/>
            <w:rPr>
              <w:rFonts w:eastAsia="Times New Roman" w:cs="Times New Roman"/>
              <w:color w:val="000000"/>
            </w:rPr>
          </w:pPr>
          <w:r w:rsidRPr="005C73E3">
            <w:rPr>
              <w:rFonts w:eastAsia="Times New Roman" w:cs="Times New Roman"/>
              <w:color w:val="000000"/>
            </w:rPr>
            <w:t>[2]</w:t>
          </w:r>
          <w:r w:rsidRPr="005C73E3">
            <w:rPr>
              <w:rFonts w:eastAsia="Times New Roman" w:cs="Times New Roman"/>
              <w:color w:val="000000"/>
            </w:rPr>
            <w:tab/>
            <w:t xml:space="preserve">D. A. Sunter, S. Castellanos, and D. M. Kammen, “Disparities in rooftop photovoltaics deployment in the United States by race and ethnicity,” </w:t>
          </w:r>
          <w:r w:rsidRPr="005C73E3">
            <w:rPr>
              <w:rFonts w:eastAsia="Times New Roman" w:cs="Times New Roman"/>
              <w:i/>
              <w:iCs/>
              <w:color w:val="000000"/>
            </w:rPr>
            <w:t>Nat. Sustain.</w:t>
          </w:r>
          <w:r w:rsidRPr="005C73E3">
            <w:rPr>
              <w:rFonts w:eastAsia="Times New Roman" w:cs="Times New Roman"/>
              <w:color w:val="000000"/>
            </w:rPr>
            <w:t>, vol. 2, no. 1, pp. 71–76, Jan. 2019, doi: 10.1038/s41893-018-0204-z.</w:t>
          </w:r>
        </w:p>
        <w:p w14:paraId="23C754CC" w14:textId="77777777" w:rsidR="005C73E3" w:rsidRPr="005C73E3" w:rsidRDefault="005C73E3">
          <w:pPr>
            <w:autoSpaceDE w:val="0"/>
            <w:autoSpaceDN w:val="0"/>
            <w:ind w:hanging="640"/>
            <w:divId w:val="246692011"/>
            <w:rPr>
              <w:rFonts w:eastAsia="Times New Roman" w:cs="Times New Roman"/>
              <w:color w:val="000000"/>
            </w:rPr>
          </w:pPr>
          <w:r w:rsidRPr="005C73E3">
            <w:rPr>
              <w:rFonts w:eastAsia="Times New Roman" w:cs="Times New Roman"/>
              <w:color w:val="000000"/>
            </w:rPr>
            <w:lastRenderedPageBreak/>
            <w:t>[3]</w:t>
          </w:r>
          <w:r w:rsidRPr="005C73E3">
            <w:rPr>
              <w:rFonts w:eastAsia="Times New Roman" w:cs="Times New Roman"/>
              <w:color w:val="000000"/>
            </w:rPr>
            <w:tab/>
            <w:t xml:space="preserve">L. Kurdgelashvili, C. H. Shih, F. Yang, and M. Garg, “An empirical analysis of county-level residential PV adoption in California,” </w:t>
          </w:r>
          <w:r w:rsidRPr="005C73E3">
            <w:rPr>
              <w:rFonts w:eastAsia="Times New Roman" w:cs="Times New Roman"/>
              <w:i/>
              <w:iCs/>
              <w:color w:val="000000"/>
            </w:rPr>
            <w:t>Technol. Forecast. Soc. Change</w:t>
          </w:r>
          <w:r w:rsidRPr="005C73E3">
            <w:rPr>
              <w:rFonts w:eastAsia="Times New Roman" w:cs="Times New Roman"/>
              <w:color w:val="000000"/>
            </w:rPr>
            <w:t>, vol. 139, 2019, doi: 10.1016/j.techfore.2018.11.021.</w:t>
          </w:r>
        </w:p>
        <w:p w14:paraId="310CDB1F" w14:textId="77777777" w:rsidR="005C73E3" w:rsidRPr="005C73E3" w:rsidRDefault="005C73E3">
          <w:pPr>
            <w:autoSpaceDE w:val="0"/>
            <w:autoSpaceDN w:val="0"/>
            <w:ind w:hanging="640"/>
            <w:divId w:val="65810408"/>
            <w:rPr>
              <w:rFonts w:eastAsia="Times New Roman" w:cs="Times New Roman"/>
              <w:color w:val="000000"/>
            </w:rPr>
          </w:pPr>
          <w:r w:rsidRPr="005C73E3">
            <w:rPr>
              <w:rFonts w:eastAsia="Times New Roman" w:cs="Times New Roman"/>
              <w:color w:val="000000"/>
            </w:rPr>
            <w:t>[4]</w:t>
          </w:r>
          <w:r w:rsidRPr="005C73E3">
            <w:rPr>
              <w:rFonts w:eastAsia="Times New Roman" w:cs="Times New Roman"/>
              <w:color w:val="000000"/>
            </w:rPr>
            <w:tab/>
            <w:t xml:space="preserve">T. G. Reames, “Distributional disparities in residential rooftop solar potential and penetration in four cities in the United States,” </w:t>
          </w:r>
          <w:r w:rsidRPr="005C73E3">
            <w:rPr>
              <w:rFonts w:eastAsia="Times New Roman" w:cs="Times New Roman"/>
              <w:i/>
              <w:iCs/>
              <w:color w:val="000000"/>
            </w:rPr>
            <w:t>Energy Res. Soc. Sci.</w:t>
          </w:r>
          <w:r w:rsidRPr="005C73E3">
            <w:rPr>
              <w:rFonts w:eastAsia="Times New Roman" w:cs="Times New Roman"/>
              <w:color w:val="000000"/>
            </w:rPr>
            <w:t>, vol. 69, p. 101612, Nov. 2020, doi: 10.1016/J.ERSS.2020.101612.</w:t>
          </w:r>
        </w:p>
        <w:p w14:paraId="553EF2E7" w14:textId="77777777" w:rsidR="005C73E3" w:rsidRPr="005C73E3" w:rsidRDefault="005C73E3">
          <w:pPr>
            <w:autoSpaceDE w:val="0"/>
            <w:autoSpaceDN w:val="0"/>
            <w:ind w:hanging="640"/>
            <w:divId w:val="177813034"/>
            <w:rPr>
              <w:rFonts w:eastAsia="Times New Roman" w:cs="Times New Roman"/>
              <w:color w:val="000000"/>
            </w:rPr>
          </w:pPr>
          <w:r w:rsidRPr="005C73E3">
            <w:rPr>
              <w:rFonts w:eastAsia="Times New Roman" w:cs="Times New Roman"/>
              <w:color w:val="000000"/>
            </w:rPr>
            <w:t>[5]</w:t>
          </w:r>
          <w:r w:rsidRPr="005C73E3">
            <w:rPr>
              <w:rFonts w:eastAsia="Times New Roman" w:cs="Times New Roman"/>
              <w:color w:val="000000"/>
            </w:rPr>
            <w:tab/>
            <w:t xml:space="preserve">N. R. Darghouth, E. O’Shaughnessy, S. Forrester, and G. Barbose, “Characterizing local rooftop solar adoption inequity in the US,” </w:t>
          </w:r>
          <w:r w:rsidRPr="005C73E3">
            <w:rPr>
              <w:rFonts w:eastAsia="Times New Roman" w:cs="Times New Roman"/>
              <w:i/>
              <w:iCs/>
              <w:color w:val="000000"/>
            </w:rPr>
            <w:t>Environmental Research Letters</w:t>
          </w:r>
          <w:r w:rsidRPr="005C73E3">
            <w:rPr>
              <w:rFonts w:eastAsia="Times New Roman" w:cs="Times New Roman"/>
              <w:color w:val="000000"/>
            </w:rPr>
            <w:t>, vol. 17, no. 3, p. 034028, Feb. 2022, doi: 10.1088/1748-9326/AC4FDC.</w:t>
          </w:r>
        </w:p>
        <w:p w14:paraId="6AF95C0F" w14:textId="77777777" w:rsidR="005C73E3" w:rsidRPr="005C73E3" w:rsidRDefault="005C73E3">
          <w:pPr>
            <w:autoSpaceDE w:val="0"/>
            <w:autoSpaceDN w:val="0"/>
            <w:ind w:hanging="640"/>
            <w:divId w:val="512375084"/>
            <w:rPr>
              <w:rFonts w:eastAsia="Times New Roman" w:cs="Times New Roman"/>
              <w:color w:val="000000"/>
            </w:rPr>
          </w:pPr>
          <w:r w:rsidRPr="005C73E3">
            <w:rPr>
              <w:rFonts w:eastAsia="Times New Roman" w:cs="Times New Roman"/>
              <w:color w:val="000000"/>
            </w:rPr>
            <w:t>[6]</w:t>
          </w:r>
          <w:r w:rsidRPr="005C73E3">
            <w:rPr>
              <w:rFonts w:eastAsia="Times New Roman" w:cs="Times New Roman"/>
              <w:color w:val="000000"/>
            </w:rPr>
            <w:tab/>
            <w:t>C. Sigrist, A. Lechowicz, J. Champ, N. Bashir, and M. Hajiesmaili, “Lost in Siting: The Hidden Carbon Cost of Inequitable Residential Solar Installations,” Jan. 2025, [Online]. Available: http://arxiv.org/abs/2501.13868</w:t>
          </w:r>
        </w:p>
        <w:p w14:paraId="7B4DAAF9" w14:textId="77777777" w:rsidR="005C73E3" w:rsidRPr="005C73E3" w:rsidRDefault="005C73E3">
          <w:pPr>
            <w:autoSpaceDE w:val="0"/>
            <w:autoSpaceDN w:val="0"/>
            <w:ind w:hanging="640"/>
            <w:divId w:val="332071241"/>
            <w:rPr>
              <w:rFonts w:eastAsia="Times New Roman" w:cs="Times New Roman"/>
              <w:color w:val="000000"/>
            </w:rPr>
          </w:pPr>
          <w:r w:rsidRPr="005C73E3">
            <w:rPr>
              <w:rFonts w:eastAsia="Times New Roman" w:cs="Times New Roman"/>
              <w:color w:val="000000"/>
            </w:rPr>
            <w:t>[7]</w:t>
          </w:r>
          <w:r w:rsidRPr="005C73E3">
            <w:rPr>
              <w:rFonts w:eastAsia="Times New Roman" w:cs="Times New Roman"/>
              <w:color w:val="000000"/>
            </w:rPr>
            <w:tab/>
            <w:t>A. Drehobl, L. Ross, R. Ayala, A. Zaman, and J. Amann, “An Assessment of National and Metropolitan Energy Burden across the United States SEPTEMBER 2020 How High Are Household Energy Burdens?,” 2020.</w:t>
          </w:r>
        </w:p>
        <w:p w14:paraId="6DA51880" w14:textId="77777777" w:rsidR="005C73E3" w:rsidRPr="005C73E3" w:rsidRDefault="005C73E3">
          <w:pPr>
            <w:autoSpaceDE w:val="0"/>
            <w:autoSpaceDN w:val="0"/>
            <w:ind w:hanging="640"/>
            <w:divId w:val="977800147"/>
            <w:rPr>
              <w:rFonts w:eastAsia="Times New Roman" w:cs="Times New Roman"/>
              <w:color w:val="000000"/>
            </w:rPr>
          </w:pPr>
          <w:r w:rsidRPr="005C73E3">
            <w:rPr>
              <w:rFonts w:eastAsia="Times New Roman" w:cs="Times New Roman"/>
              <w:color w:val="000000"/>
            </w:rPr>
            <w:t>[8]</w:t>
          </w:r>
          <w:r w:rsidRPr="005C73E3">
            <w:rPr>
              <w:rFonts w:eastAsia="Times New Roman" w:cs="Times New Roman"/>
              <w:color w:val="000000"/>
            </w:rPr>
            <w:tab/>
            <w:t>“Demystifying Equity in California’s Energy Grid Transition BLOG ENERGY EQUITY.”</w:t>
          </w:r>
        </w:p>
        <w:p w14:paraId="71A9E50D" w14:textId="77777777" w:rsidR="005C73E3" w:rsidRPr="005C73E3" w:rsidRDefault="005C73E3">
          <w:pPr>
            <w:autoSpaceDE w:val="0"/>
            <w:autoSpaceDN w:val="0"/>
            <w:ind w:hanging="640"/>
            <w:divId w:val="7680994"/>
            <w:rPr>
              <w:rFonts w:eastAsia="Times New Roman" w:cs="Times New Roman"/>
              <w:color w:val="000000"/>
            </w:rPr>
          </w:pPr>
          <w:r w:rsidRPr="005C73E3">
            <w:rPr>
              <w:rFonts w:eastAsia="Times New Roman" w:cs="Times New Roman"/>
              <w:color w:val="000000"/>
            </w:rPr>
            <w:t>[9]</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1DC51BFC" w14:textId="77777777" w:rsidR="005C73E3" w:rsidRPr="005C73E3" w:rsidRDefault="005C73E3">
          <w:pPr>
            <w:autoSpaceDE w:val="0"/>
            <w:autoSpaceDN w:val="0"/>
            <w:ind w:hanging="640"/>
            <w:divId w:val="1398741142"/>
            <w:rPr>
              <w:rFonts w:eastAsia="Times New Roman" w:cs="Times New Roman"/>
              <w:color w:val="000000"/>
            </w:rPr>
          </w:pPr>
          <w:r w:rsidRPr="005C73E3">
            <w:rPr>
              <w:rFonts w:eastAsia="Times New Roman" w:cs="Times New Roman"/>
              <w:color w:val="000000"/>
            </w:rPr>
            <w:t>[10]</w:t>
          </w:r>
          <w:r w:rsidRPr="005C73E3">
            <w:rPr>
              <w:rFonts w:eastAsia="Times New Roman" w:cs="Times New Roman"/>
              <w:color w:val="000000"/>
            </w:rPr>
            <w:tab/>
            <w:t xml:space="preserve">S. P. Forrester, C. C. Montañés, E. O’Shaughnessy, and G. Barbose, “Modeling the potential effects of rooftop solar on household energy burden in the United States,” </w:t>
          </w:r>
          <w:r w:rsidRPr="005C73E3">
            <w:rPr>
              <w:rFonts w:eastAsia="Times New Roman" w:cs="Times New Roman"/>
              <w:i/>
              <w:iCs/>
              <w:color w:val="000000"/>
            </w:rPr>
            <w:t>Nature Communications 2024 15:1</w:t>
          </w:r>
          <w:r w:rsidRPr="005C73E3">
            <w:rPr>
              <w:rFonts w:eastAsia="Times New Roman" w:cs="Times New Roman"/>
              <w:color w:val="000000"/>
            </w:rPr>
            <w:t>, vol. 15, no. 1, pp. 4676-, Jun. 2024, doi: 10.1038/s41467-024-48967-x.</w:t>
          </w:r>
        </w:p>
        <w:p w14:paraId="2DCF5A8E" w14:textId="77777777" w:rsidR="005C73E3" w:rsidRPr="005C73E3" w:rsidRDefault="005C73E3">
          <w:pPr>
            <w:autoSpaceDE w:val="0"/>
            <w:autoSpaceDN w:val="0"/>
            <w:ind w:hanging="640"/>
            <w:divId w:val="205682073"/>
            <w:rPr>
              <w:rFonts w:eastAsia="Times New Roman" w:cs="Times New Roman"/>
              <w:color w:val="000000"/>
            </w:rPr>
          </w:pPr>
          <w:r w:rsidRPr="005C73E3">
            <w:rPr>
              <w:rFonts w:eastAsia="Times New Roman" w:cs="Times New Roman"/>
              <w:color w:val="000000"/>
            </w:rPr>
            <w:t>[11]</w:t>
          </w:r>
          <w:r w:rsidRPr="005C73E3">
            <w:rPr>
              <w:rFonts w:eastAsia="Times New Roman" w:cs="Times New Roman"/>
              <w:color w:val="000000"/>
            </w:rPr>
            <w:tab/>
            <w:t xml:space="preserve">A. M. Brockway, J. Conde, and D. Callaway, “Inequitable access to distributed energy resources due to grid infrastructure limits in California,” </w:t>
          </w:r>
          <w:r w:rsidRPr="005C73E3">
            <w:rPr>
              <w:rFonts w:eastAsia="Times New Roman" w:cs="Times New Roman"/>
              <w:i/>
              <w:iCs/>
              <w:color w:val="000000"/>
            </w:rPr>
            <w:t>Nat. Energy</w:t>
          </w:r>
          <w:r w:rsidRPr="005C73E3">
            <w:rPr>
              <w:rFonts w:eastAsia="Times New Roman" w:cs="Times New Roman"/>
              <w:color w:val="000000"/>
            </w:rPr>
            <w:t>, vol. 6, no. 9, 2021, doi: 10.1038/s41560-021-00887-6.</w:t>
          </w:r>
        </w:p>
        <w:p w14:paraId="06D1C26C" w14:textId="77777777" w:rsidR="005C73E3" w:rsidRPr="005C73E3" w:rsidRDefault="005C73E3">
          <w:pPr>
            <w:autoSpaceDE w:val="0"/>
            <w:autoSpaceDN w:val="0"/>
            <w:ind w:hanging="640"/>
            <w:divId w:val="266012986"/>
            <w:rPr>
              <w:rFonts w:eastAsia="Times New Roman" w:cs="Times New Roman"/>
              <w:color w:val="000000"/>
            </w:rPr>
          </w:pPr>
          <w:r w:rsidRPr="005C73E3">
            <w:rPr>
              <w:rFonts w:eastAsia="Times New Roman" w:cs="Times New Roman"/>
              <w:color w:val="000000"/>
            </w:rPr>
            <w:t>[12]</w:t>
          </w:r>
          <w:r w:rsidRPr="005C73E3">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5C73E3">
            <w:rPr>
              <w:rFonts w:eastAsia="Times New Roman" w:cs="Times New Roman"/>
              <w:i/>
              <w:iCs/>
              <w:color w:val="000000"/>
            </w:rPr>
            <w:t>International Journal of Electrical Power &amp; Energy Systems</w:t>
          </w:r>
          <w:r w:rsidRPr="005C73E3">
            <w:rPr>
              <w:rFonts w:eastAsia="Times New Roman" w:cs="Times New Roman"/>
              <w:color w:val="000000"/>
            </w:rPr>
            <w:t>, vol. 138, p. 107900, Jun. 2022, doi: 10.1016/J.IJEPES.2021.107900.</w:t>
          </w:r>
        </w:p>
        <w:p w14:paraId="381C4BA1" w14:textId="77777777" w:rsidR="005C73E3" w:rsidRPr="005C73E3" w:rsidRDefault="005C73E3">
          <w:pPr>
            <w:autoSpaceDE w:val="0"/>
            <w:autoSpaceDN w:val="0"/>
            <w:ind w:hanging="640"/>
            <w:divId w:val="1835024084"/>
            <w:rPr>
              <w:rFonts w:eastAsia="Times New Roman" w:cs="Times New Roman"/>
              <w:color w:val="000000"/>
            </w:rPr>
          </w:pPr>
          <w:r w:rsidRPr="005C73E3">
            <w:rPr>
              <w:rFonts w:eastAsia="Times New Roman" w:cs="Times New Roman"/>
              <w:color w:val="000000"/>
            </w:rPr>
            <w:t>[13]</w:t>
          </w:r>
          <w:r w:rsidRPr="005C73E3">
            <w:rPr>
              <w:rFonts w:eastAsia="Times New Roman" w:cs="Times New Roman"/>
              <w:color w:val="000000"/>
            </w:rPr>
            <w:tab/>
            <w:t>“Distributed Energy Resources Technical Considerations for the Bulk Power System,” 2018.</w:t>
          </w:r>
        </w:p>
        <w:p w14:paraId="308E2147" w14:textId="77777777" w:rsidR="005C73E3" w:rsidRPr="005C73E3" w:rsidRDefault="005C73E3">
          <w:pPr>
            <w:autoSpaceDE w:val="0"/>
            <w:autoSpaceDN w:val="0"/>
            <w:ind w:hanging="640"/>
            <w:divId w:val="1439525163"/>
            <w:rPr>
              <w:rFonts w:eastAsia="Times New Roman" w:cs="Times New Roman"/>
              <w:color w:val="000000"/>
            </w:rPr>
          </w:pPr>
          <w:r w:rsidRPr="005C73E3">
            <w:rPr>
              <w:rFonts w:eastAsia="Times New Roman" w:cs="Times New Roman"/>
              <w:color w:val="000000"/>
            </w:rPr>
            <w:t>[14]</w:t>
          </w:r>
          <w:r w:rsidRPr="005C73E3">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p>
        <w:p w14:paraId="579F66B3" w14:textId="77777777" w:rsidR="005C73E3" w:rsidRPr="005C73E3" w:rsidRDefault="005C73E3">
          <w:pPr>
            <w:autoSpaceDE w:val="0"/>
            <w:autoSpaceDN w:val="0"/>
            <w:ind w:hanging="640"/>
            <w:divId w:val="1253735744"/>
            <w:rPr>
              <w:rFonts w:eastAsia="Times New Roman" w:cs="Times New Roman"/>
              <w:color w:val="000000"/>
            </w:rPr>
          </w:pPr>
          <w:r w:rsidRPr="005C73E3">
            <w:rPr>
              <w:rFonts w:eastAsia="Times New Roman" w:cs="Times New Roman"/>
              <w:color w:val="000000"/>
            </w:rPr>
            <w:t>[15]</w:t>
          </w:r>
          <w:r w:rsidRPr="005C73E3">
            <w:rPr>
              <w:rFonts w:eastAsia="Times New Roman" w:cs="Times New Roman"/>
              <w:color w:val="000000"/>
            </w:rPr>
            <w:tab/>
            <w:t>B. Aydin, R. Holt, and M. Almassalkhi, “Fairness-aware Dynamic Hosting Capacity and the Impacts of Strategic Solar PV Curtailment,” Apr. 2025, [Online]. Available: http://arxiv.org/abs/2504.18905</w:t>
          </w:r>
        </w:p>
        <w:p w14:paraId="1933CCED" w14:textId="77777777" w:rsidR="005C73E3" w:rsidRPr="005C73E3" w:rsidRDefault="005C73E3">
          <w:pPr>
            <w:autoSpaceDE w:val="0"/>
            <w:autoSpaceDN w:val="0"/>
            <w:ind w:hanging="640"/>
            <w:divId w:val="511528959"/>
            <w:rPr>
              <w:rFonts w:eastAsia="Times New Roman" w:cs="Times New Roman"/>
              <w:color w:val="000000"/>
            </w:rPr>
          </w:pPr>
          <w:r w:rsidRPr="005C73E3">
            <w:rPr>
              <w:rFonts w:eastAsia="Times New Roman" w:cs="Times New Roman"/>
              <w:color w:val="000000"/>
            </w:rPr>
            <w:t>[16]</w:t>
          </w:r>
          <w:r w:rsidRPr="005C73E3">
            <w:rPr>
              <w:rFonts w:eastAsia="Times New Roman" w:cs="Times New Roman"/>
              <w:color w:val="000000"/>
            </w:rPr>
            <w:tab/>
            <w:t>“Distributed Energy Resource Interconnection Roadmap.”</w:t>
          </w:r>
        </w:p>
        <w:p w14:paraId="73496926" w14:textId="77777777" w:rsidR="005C73E3" w:rsidRPr="005C73E3" w:rsidRDefault="005C73E3">
          <w:pPr>
            <w:autoSpaceDE w:val="0"/>
            <w:autoSpaceDN w:val="0"/>
            <w:ind w:hanging="640"/>
            <w:divId w:val="1284649049"/>
            <w:rPr>
              <w:rFonts w:eastAsia="Times New Roman" w:cs="Times New Roman"/>
              <w:color w:val="000000"/>
            </w:rPr>
          </w:pPr>
          <w:r w:rsidRPr="005C73E3">
            <w:rPr>
              <w:rFonts w:eastAsia="Times New Roman" w:cs="Times New Roman"/>
              <w:color w:val="000000"/>
            </w:rPr>
            <w:t>[17]</w:t>
          </w:r>
          <w:r w:rsidRPr="005C73E3">
            <w:rPr>
              <w:rFonts w:eastAsia="Times New Roman" w:cs="Times New Roman"/>
              <w:color w:val="000000"/>
            </w:rPr>
            <w:tab/>
            <w:t>B. Tarekegne, R. O’Neil, and J. Twitchell, “Energy Storage as an Equity Asset,” 2021. doi: 10.1007/s40518-021-00184-6.</w:t>
          </w:r>
        </w:p>
        <w:p w14:paraId="6253DAD4" w14:textId="77777777" w:rsidR="005C73E3" w:rsidRPr="005C73E3" w:rsidRDefault="005C73E3">
          <w:pPr>
            <w:autoSpaceDE w:val="0"/>
            <w:autoSpaceDN w:val="0"/>
            <w:ind w:hanging="640"/>
            <w:divId w:val="114569170"/>
            <w:rPr>
              <w:rFonts w:eastAsia="Times New Roman" w:cs="Times New Roman"/>
              <w:color w:val="000000"/>
            </w:rPr>
          </w:pPr>
          <w:r w:rsidRPr="005C73E3">
            <w:rPr>
              <w:rFonts w:eastAsia="Times New Roman" w:cs="Times New Roman"/>
              <w:color w:val="000000"/>
            </w:rPr>
            <w:lastRenderedPageBreak/>
            <w:t>[18]</w:t>
          </w:r>
          <w:r w:rsidRPr="005C73E3">
            <w:rPr>
              <w:rFonts w:eastAsia="Times New Roman" w:cs="Times New Roman"/>
              <w:color w:val="000000"/>
            </w:rPr>
            <w:tab/>
            <w:t xml:space="preserve">L. C. Stokes and C. Warshaw, “Renewable energy policy design and framing influence public support in the United States,” </w:t>
          </w:r>
          <w:r w:rsidRPr="005C73E3">
            <w:rPr>
              <w:rFonts w:eastAsia="Times New Roman" w:cs="Times New Roman"/>
              <w:i/>
              <w:iCs/>
              <w:color w:val="000000"/>
            </w:rPr>
            <w:t>Nat. Energy</w:t>
          </w:r>
          <w:r w:rsidRPr="005C73E3">
            <w:rPr>
              <w:rFonts w:eastAsia="Times New Roman" w:cs="Times New Roman"/>
              <w:color w:val="000000"/>
            </w:rPr>
            <w:t>, vol. 2, no. 8, Aug. 2017, doi: 10.1038/NENERGY.2017.107.</w:t>
          </w:r>
        </w:p>
        <w:p w14:paraId="45FED2CE" w14:textId="77777777" w:rsidR="005C73E3" w:rsidRPr="005C73E3" w:rsidRDefault="005C73E3">
          <w:pPr>
            <w:autoSpaceDE w:val="0"/>
            <w:autoSpaceDN w:val="0"/>
            <w:ind w:hanging="640"/>
            <w:divId w:val="1488011668"/>
            <w:rPr>
              <w:rFonts w:eastAsia="Times New Roman" w:cs="Times New Roman"/>
              <w:color w:val="000000"/>
            </w:rPr>
          </w:pPr>
          <w:r w:rsidRPr="005C73E3">
            <w:rPr>
              <w:rFonts w:eastAsia="Times New Roman" w:cs="Times New Roman"/>
              <w:color w:val="000000"/>
            </w:rPr>
            <w:t>[19]</w:t>
          </w:r>
          <w:r w:rsidRPr="005C73E3">
            <w:rPr>
              <w:rFonts w:eastAsia="Times New Roman" w:cs="Times New Roman"/>
              <w:color w:val="000000"/>
            </w:rPr>
            <w:tab/>
            <w:t>S. Borenstein and J. Bushnell, “The U.S. Electricity Industry after 20 Years of Restructuring,” 2015, doi: 10.1146/annureveconomics-080614-115630.</w:t>
          </w:r>
        </w:p>
        <w:p w14:paraId="5BE9EFDE" w14:textId="77777777" w:rsidR="005C73E3" w:rsidRPr="005C73E3" w:rsidRDefault="005C73E3">
          <w:pPr>
            <w:autoSpaceDE w:val="0"/>
            <w:autoSpaceDN w:val="0"/>
            <w:ind w:hanging="640"/>
            <w:divId w:val="297104338"/>
            <w:rPr>
              <w:rFonts w:eastAsia="Times New Roman" w:cs="Times New Roman"/>
              <w:color w:val="000000"/>
            </w:rPr>
          </w:pPr>
          <w:r w:rsidRPr="005C73E3">
            <w:rPr>
              <w:rFonts w:eastAsia="Times New Roman" w:cs="Times New Roman"/>
              <w:color w:val="000000"/>
            </w:rPr>
            <w:t>[20]</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 10.38126/jspg200106.</w:t>
          </w:r>
        </w:p>
        <w:p w14:paraId="38A3F8FB" w14:textId="77777777" w:rsidR="005C73E3" w:rsidRPr="005C73E3" w:rsidRDefault="005C73E3">
          <w:pPr>
            <w:autoSpaceDE w:val="0"/>
            <w:autoSpaceDN w:val="0"/>
            <w:ind w:hanging="640"/>
            <w:divId w:val="1426000254"/>
            <w:rPr>
              <w:rFonts w:eastAsia="Times New Roman" w:cs="Times New Roman"/>
              <w:color w:val="000000"/>
            </w:rPr>
          </w:pPr>
          <w:r w:rsidRPr="005C73E3">
            <w:rPr>
              <w:rFonts w:eastAsia="Times New Roman" w:cs="Times New Roman"/>
              <w:color w:val="000000"/>
            </w:rPr>
            <w:t>[21]</w:t>
          </w:r>
          <w:r w:rsidRPr="005C73E3">
            <w:rPr>
              <w:rFonts w:eastAsia="Times New Roman" w:cs="Times New Roman"/>
              <w:color w:val="000000"/>
            </w:rPr>
            <w:tab/>
            <w:t>S. Churchill and J. B. Armstrong, “BEFORE THE PUBLIC UTILITIES COMMISSION OF THE STATE OF CALIFORNIA OPENING BRIEF OF THE SOLAR ENERGY INDUSTRIES ASSOCIATION AND VOTE SOLAR VOTE SOLAR,” 2021.</w:t>
          </w:r>
        </w:p>
        <w:p w14:paraId="05938D27" w14:textId="77777777" w:rsidR="005C73E3" w:rsidRPr="005C73E3" w:rsidRDefault="005C73E3">
          <w:pPr>
            <w:autoSpaceDE w:val="0"/>
            <w:autoSpaceDN w:val="0"/>
            <w:ind w:hanging="640"/>
            <w:divId w:val="1907180809"/>
            <w:rPr>
              <w:rFonts w:eastAsia="Times New Roman" w:cs="Times New Roman"/>
              <w:color w:val="000000"/>
            </w:rPr>
          </w:pPr>
          <w:r w:rsidRPr="005C73E3">
            <w:rPr>
              <w:rFonts w:eastAsia="Times New Roman" w:cs="Times New Roman"/>
              <w:color w:val="000000"/>
            </w:rPr>
            <w:t>[22]</w:t>
          </w:r>
          <w:r w:rsidRPr="005C73E3">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5C73E3">
            <w:rPr>
              <w:rFonts w:eastAsia="Times New Roman" w:cs="Times New Roman"/>
              <w:i/>
              <w:iCs/>
              <w:color w:val="000000"/>
            </w:rPr>
            <w:t>Renew. Energy</w:t>
          </w:r>
          <w:r w:rsidRPr="005C73E3">
            <w:rPr>
              <w:rFonts w:eastAsia="Times New Roman" w:cs="Times New Roman"/>
              <w:color w:val="000000"/>
            </w:rPr>
            <w:t>, vol. 190, 2022, doi: 10.1016/j.renene.2022.03.040.</w:t>
          </w:r>
        </w:p>
        <w:p w14:paraId="089ACE17" w14:textId="77777777" w:rsidR="005C73E3" w:rsidRPr="005C73E3" w:rsidRDefault="005C73E3">
          <w:pPr>
            <w:autoSpaceDE w:val="0"/>
            <w:autoSpaceDN w:val="0"/>
            <w:ind w:hanging="640"/>
            <w:divId w:val="3824811"/>
            <w:rPr>
              <w:rFonts w:eastAsia="Times New Roman" w:cs="Times New Roman"/>
              <w:color w:val="000000"/>
            </w:rPr>
          </w:pPr>
          <w:r w:rsidRPr="005C73E3">
            <w:rPr>
              <w:rFonts w:eastAsia="Times New Roman" w:cs="Times New Roman"/>
              <w:color w:val="000000"/>
            </w:rPr>
            <w:t>[23]</w:t>
          </w:r>
          <w:r w:rsidRPr="005C73E3">
            <w:rPr>
              <w:rFonts w:eastAsia="Times New Roman" w:cs="Times New Roman"/>
              <w:color w:val="000000"/>
            </w:rPr>
            <w:tab/>
            <w:t xml:space="preserve">R. Haider, Y. Xu, and W. Yang, “Towards closing the data gap: A project-driven distributed energy resource dataset for the U.S. Grid,” in </w:t>
          </w:r>
          <w:r w:rsidRPr="005C73E3">
            <w:rPr>
              <w:rFonts w:eastAsia="Times New Roman" w:cs="Times New Roman"/>
              <w:i/>
              <w:iCs/>
              <w:color w:val="000000"/>
            </w:rPr>
            <w:t>e-Energy 2023 Companion - Proceedings of the 14th ACM International Conference on Future Energy Systems</w:t>
          </w:r>
          <w:r w:rsidRPr="005C73E3">
            <w:rPr>
              <w:rFonts w:eastAsia="Times New Roman" w:cs="Times New Roman"/>
              <w:color w:val="000000"/>
            </w:rPr>
            <w:t>, 2023. doi: 10.1145/3599733.3600250.</w:t>
          </w:r>
        </w:p>
        <w:p w14:paraId="35E0EF52" w14:textId="77777777" w:rsidR="005C73E3" w:rsidRPr="005C73E3" w:rsidRDefault="005C73E3">
          <w:pPr>
            <w:autoSpaceDE w:val="0"/>
            <w:autoSpaceDN w:val="0"/>
            <w:ind w:hanging="640"/>
            <w:divId w:val="1290358837"/>
            <w:rPr>
              <w:rFonts w:eastAsia="Times New Roman" w:cs="Times New Roman"/>
              <w:color w:val="000000"/>
            </w:rPr>
          </w:pPr>
          <w:r w:rsidRPr="005C73E3">
            <w:rPr>
              <w:rFonts w:eastAsia="Times New Roman" w:cs="Times New Roman"/>
              <w:color w:val="000000"/>
            </w:rPr>
            <w:t>[24]</w:t>
          </w:r>
          <w:r w:rsidRPr="005C73E3">
            <w:rPr>
              <w:rFonts w:eastAsia="Times New Roman" w:cs="Times New Roman"/>
              <w:color w:val="000000"/>
            </w:rPr>
            <w:tab/>
            <w:t>L. Ge, T. Du, C. Li, Y. Li, J. Yan, and M. U. Rafiq, “Virtual Collection for Distributed Photovoltaic Data: Challenges, Methodologies, and Applications,” 2022. doi: 10.3390/en15238783.</w:t>
          </w:r>
        </w:p>
        <w:p w14:paraId="4202AB9C" w14:textId="1149E1A7" w:rsidR="00C82ADA" w:rsidRDefault="005C73E3" w:rsidP="00BE0E1E">
          <w:r w:rsidRPr="005C73E3">
            <w:rPr>
              <w:rFonts w:eastAsia="Times New Roman" w:cs="Times New Roman"/>
              <w:color w:val="000000"/>
            </w:rPr>
            <w:t> </w:t>
          </w:r>
        </w:p>
      </w:sdtContent>
    </w:sdt>
    <w:p w14:paraId="7B7E6545" w14:textId="77777777"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ineet Jagadeesan Nair" w:date="2026-08-13T14:55:00Z" w:initials="VJN">
    <w:p w14:paraId="289953DC" w14:textId="77777777" w:rsidR="00E92A9C" w:rsidRDefault="00E92A9C" w:rsidP="00E92A9C">
      <w:r>
        <w:rPr>
          <w:rStyle w:val="CommentReference"/>
        </w:rPr>
        <w:annotationRef/>
      </w:r>
      <w:r>
        <w:rPr>
          <w:sz w:val="20"/>
          <w:szCs w:val="20"/>
        </w:rPr>
        <w:t>see if we can improve look of tables - conditional formatting</w:t>
      </w:r>
    </w:p>
  </w:comment>
  <w:comment w:id="2" w:author="Vineet Jagadeesan Nair" w:date="2026-08-13T14:59:00Z" w:initials="VJN">
    <w:p w14:paraId="00186EA9" w14:textId="77777777" w:rsidR="00E92A9C" w:rsidRDefault="00E92A9C" w:rsidP="00E92A9C">
      <w:r>
        <w:rPr>
          <w:rStyle w:val="CommentReference"/>
        </w:rPr>
        <w:annotationRef/>
      </w:r>
      <w:r>
        <w:rPr>
          <w:sz w:val="20"/>
          <w:szCs w:val="20"/>
        </w:rPr>
        <w:t>I'll draft a cover letter for Nature Sust editor</w:t>
      </w:r>
    </w:p>
  </w:comment>
  <w:comment w:id="8" w:author="Vineet Jagadeesan Nair" w:date="2026-08-13T14:51:00Z" w:initials="VJN">
    <w:p w14:paraId="1B5DE57C" w14:textId="77777777" w:rsidR="00D57483" w:rsidRDefault="00D57483" w:rsidP="00D57483">
      <w:r>
        <w:rPr>
          <w:rStyle w:val="CommentReference"/>
        </w:rPr>
        <w:annotationRef/>
      </w:r>
      <w:r>
        <w:rPr>
          <w:sz w:val="20"/>
          <w:szCs w:val="20"/>
        </w:rPr>
        <w:t>Move to methods to save words</w:t>
      </w:r>
    </w:p>
  </w:comment>
  <w:comment w:id="20" w:author="Vineet Jagadeesan Nair" w:date="2026-08-13T14:37:00Z" w:initials="VJN">
    <w:p w14:paraId="4C7F50AE" w14:textId="77777777" w:rsidR="009C6396" w:rsidRDefault="009C6396" w:rsidP="009C6396">
      <w:r>
        <w:rPr>
          <w:rStyle w:val="CommentReference"/>
        </w:rPr>
        <w:annotationRef/>
      </w:r>
      <w:r>
        <w:rPr>
          <w:sz w:val="20"/>
          <w:szCs w:val="20"/>
        </w:rPr>
        <w:t>which model spec is this for? confirm it's baseline model</w:t>
      </w:r>
    </w:p>
  </w:comment>
  <w:comment w:id="22" w:author="Vineet Jagadeesan Nair" w:date="2026-08-13T14:40:00Z" w:initials="VJN">
    <w:p w14:paraId="1C99C58A" w14:textId="77777777" w:rsidR="00465D57" w:rsidRDefault="00465D57" w:rsidP="00465D57">
      <w:r>
        <w:rPr>
          <w:rStyle w:val="CommentReference"/>
        </w:rPr>
        <w:annotationRef/>
      </w:r>
      <w:r>
        <w:rPr>
          <w:sz w:val="20"/>
          <w:szCs w:val="20"/>
        </w:rPr>
        <w:t>add asian % to all model ladder plots -- explain weird results based on housing information</w:t>
      </w:r>
    </w:p>
  </w:comment>
  <w:comment w:id="47" w:author="Vineet Jagadeesan Nair" w:date="2026-08-13T14:38:00Z" w:initials="VJN">
    <w:p w14:paraId="77147393" w14:textId="77777777" w:rsidR="009C6396" w:rsidRDefault="009C6396" w:rsidP="009C6396">
      <w:r>
        <w:rPr>
          <w:rStyle w:val="CommentReference"/>
        </w:rPr>
        <w:annotationRef/>
      </w:r>
      <w:r>
        <w:rPr>
          <w:sz w:val="20"/>
          <w:szCs w:val="20"/>
        </w:rPr>
        <w:t>Confirm if non-stacked model ladder is OK -- pre-empt that criticism in text</w:t>
      </w:r>
    </w:p>
  </w:comment>
  <w:comment w:id="49" w:author="Vineet Jagadeesan Nair" w:date="2026-08-13T14:33:00Z" w:initials="VJN">
    <w:p w14:paraId="689F3F06" w14:textId="77777777" w:rsidR="009C6396" w:rsidRDefault="009C6396" w:rsidP="009C6396">
      <w:r>
        <w:rPr>
          <w:rStyle w:val="CommentReference"/>
        </w:rPr>
        <w:annotationRef/>
      </w:r>
      <w:r>
        <w:rPr>
          <w:sz w:val="20"/>
          <w:szCs w:val="20"/>
        </w:rPr>
        <w:t>Add link to public Github repo / Zenodo here</w:t>
      </w:r>
    </w:p>
  </w:comment>
  <w:comment w:id="50" w:author="Vineet Jagadeesan Nair" w:date="2026-08-13T14:30:00Z" w:initials="VJN">
    <w:p w14:paraId="2C23E24B" w14:textId="77777777" w:rsidR="009C6396" w:rsidRDefault="009C6396" w:rsidP="009C6396">
      <w:r>
        <w:rPr>
          <w:rStyle w:val="CommentReference"/>
        </w:rPr>
        <w:annotationRef/>
      </w:r>
      <w:r>
        <w:rPr>
          <w:sz w:val="20"/>
          <w:szCs w:val="20"/>
        </w:rPr>
        <w:t>Add citations for DER data sources + also sources for ACS/POWER etc.</w:t>
      </w:r>
    </w:p>
  </w:comment>
  <w:comment w:id="58" w:author="Vineet Jagadeesan Nair" w:date="2026-08-13T14:24:00Z" w:initials="VJN">
    <w:p w14:paraId="22A9A4F0" w14:textId="77777777" w:rsidR="005C1A7B" w:rsidRDefault="005C1A7B" w:rsidP="005C1A7B">
      <w:r>
        <w:rPr>
          <w:rStyle w:val="CommentReference"/>
        </w:rPr>
        <w:annotationRef/>
      </w:r>
      <w:r>
        <w:rPr>
          <w:sz w:val="20"/>
          <w:szCs w:val="20"/>
        </w:rPr>
        <w:t>add numbering (4)</w:t>
      </w:r>
    </w:p>
  </w:comment>
  <w:comment w:id="62" w:author="Vineet Jagadeesan Nair" w:date="2026-08-13T14:42:00Z" w:initials="VJN">
    <w:p w14:paraId="39356721" w14:textId="77777777" w:rsidR="008645D8" w:rsidRDefault="008645D8" w:rsidP="008645D8">
      <w:r>
        <w:rPr>
          <w:rStyle w:val="CommentReference"/>
        </w:rPr>
        <w:annotationRef/>
      </w:r>
      <w:r>
        <w:rPr>
          <w:sz w:val="20"/>
          <w:szCs w:val="20"/>
        </w:rPr>
        <w:t>Modify to avoid listing model names</w:t>
      </w:r>
    </w:p>
  </w:comment>
  <w:comment w:id="63" w:author="Vineet Jagadeesan Nair" w:date="2026-08-13T14:25:00Z" w:initials="VJN">
    <w:p w14:paraId="712553B5" w14:textId="77777777" w:rsidR="00623188" w:rsidRDefault="00623188" w:rsidP="00623188">
      <w:r>
        <w:rPr>
          <w:rStyle w:val="CommentReference"/>
        </w:rPr>
        <w:annotationRef/>
      </w:r>
      <w:r>
        <w:rPr>
          <w:sz w:val="20"/>
          <w:szCs w:val="20"/>
        </w:rPr>
        <w:t>fix cross ref of all eqns</w:t>
      </w:r>
    </w:p>
  </w:comment>
  <w:comment w:id="84" w:author="Vineet Jagadeesan Nair" w:date="2026-08-13T14:23:00Z" w:initials="VJN">
    <w:p w14:paraId="0755DAD5" w14:textId="77777777" w:rsidR="002E28C7" w:rsidRDefault="002E28C7" w:rsidP="002E28C7">
      <w:r>
        <w:rPr>
          <w:rStyle w:val="CommentReference"/>
        </w:rPr>
        <w:annotationRef/>
      </w:r>
      <w:r>
        <w:rPr>
          <w:sz w:val="20"/>
          <w:szCs w:val="20"/>
        </w:rPr>
        <w:t>Ensure we're cross referencing all figures/tables in appendix at least once in main text</w:t>
      </w:r>
    </w:p>
  </w:comment>
  <w:comment w:id="88" w:author="Vineet Jagadeesan Nair" w:date="2026-08-13T14:01:00Z" w:initials="VJN">
    <w:p w14:paraId="1EACE085" w14:textId="77777777" w:rsidR="002B7396" w:rsidRDefault="002B7396" w:rsidP="002B7396">
      <w:r>
        <w:rPr>
          <w:rStyle w:val="CommentReference"/>
        </w:rPr>
        <w:annotationRef/>
      </w:r>
      <w:r>
        <w:rPr>
          <w:sz w:val="20"/>
          <w:szCs w:val="20"/>
        </w:rPr>
        <w:t>Need to explain this a bit</w:t>
      </w:r>
    </w:p>
  </w:comment>
  <w:comment w:id="90" w:author="Vineet Jagadeesan Nair" w:date="2026-08-13T14:02:00Z" w:initials="VJN">
    <w:p w14:paraId="68C3AEF5" w14:textId="77777777" w:rsidR="00B7718C" w:rsidRDefault="00B7718C" w:rsidP="00B7718C">
      <w:r>
        <w:rPr>
          <w:rStyle w:val="CommentReference"/>
        </w:rPr>
        <w:annotationRef/>
      </w:r>
      <w:r>
        <w:rPr>
          <w:sz w:val="20"/>
          <w:szCs w:val="20"/>
        </w:rPr>
        <w:t>cite: T. G. Conley, "GMM estimation with cross sectional dependence," Journal of Econometrics, vol. 92, no. 1, pp. 1–45, Sep. 1999, doi: 10.1016/S0304-4076(98)00084-0.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9953DC" w15:done="0"/>
  <w15:commentEx w15:paraId="00186EA9" w15:done="0"/>
  <w15:commentEx w15:paraId="1B5DE57C" w15:done="0"/>
  <w15:commentEx w15:paraId="4C7F50AE" w15:done="0"/>
  <w15:commentEx w15:paraId="1C99C58A" w15:done="0"/>
  <w15:commentEx w15:paraId="77147393" w15:done="0"/>
  <w15:commentEx w15:paraId="689F3F06" w15:done="0"/>
  <w15:commentEx w15:paraId="2C23E24B" w15:done="0"/>
  <w15:commentEx w15:paraId="22A9A4F0" w15:done="0"/>
  <w15:commentEx w15:paraId="39356721" w15:done="0"/>
  <w15:commentEx w15:paraId="712553B5" w15:done="0"/>
  <w15:commentEx w15:paraId="0755DAD5" w15:done="0"/>
  <w15:commentEx w15:paraId="1EACE085" w15:done="0"/>
  <w15:commentEx w15:paraId="68C3AE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A0479F" w16cex:dateUtc="2026-08-13T21:55:00Z"/>
  <w16cex:commentExtensible w16cex:durableId="16A2782A" w16cex:dateUtc="2026-08-13T21:59:00Z"/>
  <w16cex:commentExtensible w16cex:durableId="2525A784" w16cex:dateUtc="2026-08-13T21:51:00Z"/>
  <w16cex:commentExtensible w16cex:durableId="2E70C320" w16cex:dateUtc="2026-08-13T21:37:00Z"/>
  <w16cex:commentExtensible w16cex:durableId="5315FD51" w16cex:dateUtc="2026-08-13T21:40:00Z"/>
  <w16cex:commentExtensible w16cex:durableId="2753FA01" w16cex:dateUtc="2026-08-13T21:38:00Z"/>
  <w16cex:commentExtensible w16cex:durableId="0E62C0E1" w16cex:dateUtc="2026-08-13T21:33:00Z"/>
  <w16cex:commentExtensible w16cex:durableId="64B7893B" w16cex:dateUtc="2026-08-13T21:30:00Z"/>
  <w16cex:commentExtensible w16cex:durableId="64E4885E" w16cex:dateUtc="2026-08-13T21:24:00Z"/>
  <w16cex:commentExtensible w16cex:durableId="24F0EE71" w16cex:dateUtc="2026-08-13T21:42:00Z"/>
  <w16cex:commentExtensible w16cex:durableId="2082869B" w16cex:dateUtc="2026-08-13T21:25:00Z"/>
  <w16cex:commentExtensible w16cex:durableId="3768B91A" w16cex:dateUtc="2026-08-13T21:23:00Z"/>
  <w16cex:commentExtensible w16cex:durableId="4C0A6842" w16cex:dateUtc="2026-08-13T21:01:00Z"/>
  <w16cex:commentExtensible w16cex:durableId="59F486A2" w16cex:dateUtc="2026-08-13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9953DC" w16cid:durableId="7BA0479F"/>
  <w16cid:commentId w16cid:paraId="00186EA9" w16cid:durableId="16A2782A"/>
  <w16cid:commentId w16cid:paraId="1B5DE57C" w16cid:durableId="2525A784"/>
  <w16cid:commentId w16cid:paraId="4C7F50AE" w16cid:durableId="2E70C320"/>
  <w16cid:commentId w16cid:paraId="1C99C58A" w16cid:durableId="5315FD51"/>
  <w16cid:commentId w16cid:paraId="77147393" w16cid:durableId="2753FA01"/>
  <w16cid:commentId w16cid:paraId="689F3F06" w16cid:durableId="0E62C0E1"/>
  <w16cid:commentId w16cid:paraId="2C23E24B" w16cid:durableId="64B7893B"/>
  <w16cid:commentId w16cid:paraId="22A9A4F0" w16cid:durableId="64E4885E"/>
  <w16cid:commentId w16cid:paraId="39356721" w16cid:durableId="24F0EE71"/>
  <w16cid:commentId w16cid:paraId="712553B5" w16cid:durableId="2082869B"/>
  <w16cid:commentId w16cid:paraId="0755DAD5" w16cid:durableId="3768B91A"/>
  <w16cid:commentId w16cid:paraId="1EACE085" w16cid:durableId="4C0A6842"/>
  <w16cid:commentId w16cid:paraId="68C3AEF5" w16cid:durableId="59F486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54FC3"/>
    <w:rsid w:val="00581AD7"/>
    <w:rsid w:val="00585544"/>
    <w:rsid w:val="00585A84"/>
    <w:rsid w:val="005902F6"/>
    <w:rsid w:val="00596EAB"/>
    <w:rsid w:val="005C1A7B"/>
    <w:rsid w:val="005C73E3"/>
    <w:rsid w:val="005E0F8B"/>
    <w:rsid w:val="005E7849"/>
    <w:rsid w:val="00614286"/>
    <w:rsid w:val="00615DEA"/>
    <w:rsid w:val="0062078F"/>
    <w:rsid w:val="00623188"/>
    <w:rsid w:val="0063786E"/>
    <w:rsid w:val="00644B63"/>
    <w:rsid w:val="006538B8"/>
    <w:rsid w:val="00663EFC"/>
    <w:rsid w:val="00673DEC"/>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FB7"/>
    <w:rsid w:val="00B92B39"/>
    <w:rsid w:val="00B93869"/>
    <w:rsid w:val="00BB27C7"/>
    <w:rsid w:val="00BB4F94"/>
    <w:rsid w:val="00BC5A60"/>
    <w:rsid w:val="00BE2061"/>
    <w:rsid w:val="00BE3296"/>
    <w:rsid w:val="00C0319E"/>
    <w:rsid w:val="00C11068"/>
    <w:rsid w:val="00C338B0"/>
    <w:rsid w:val="00C4201B"/>
    <w:rsid w:val="00C47129"/>
    <w:rsid w:val="00C55845"/>
    <w:rsid w:val="00C82ADA"/>
    <w:rsid w:val="00C848A2"/>
    <w:rsid w:val="00C86F74"/>
    <w:rsid w:val="00CB0664"/>
    <w:rsid w:val="00CB57CA"/>
    <w:rsid w:val="00CC36AC"/>
    <w:rsid w:val="00CD6657"/>
    <w:rsid w:val="00CE3C99"/>
    <w:rsid w:val="00CF0667"/>
    <w:rsid w:val="00D055FE"/>
    <w:rsid w:val="00D32F87"/>
    <w:rsid w:val="00D40A32"/>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36996"/>
    <w:rsid w:val="00E45693"/>
    <w:rsid w:val="00E475F8"/>
    <w:rsid w:val="00E713DB"/>
    <w:rsid w:val="00E74C8C"/>
    <w:rsid w:val="00E80772"/>
    <w:rsid w:val="00E92A9C"/>
    <w:rsid w:val="00EB73C3"/>
    <w:rsid w:val="00EC5B8D"/>
    <w:rsid w:val="00ED2806"/>
    <w:rsid w:val="00EF58DD"/>
    <w:rsid w:val="00EF7D9A"/>
    <w:rsid w:val="00F00FFF"/>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sv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svg"/><Relationship Id="rId42" Type="http://schemas.openxmlformats.org/officeDocument/2006/relationships/image" Target="media/image33.png"/><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png"/><Relationship Id="rId43" Type="http://schemas.openxmlformats.org/officeDocument/2006/relationships/fontTable" Target="fontTab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sv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127501"/>
    <w:rsid w:val="001A2BDD"/>
    <w:rsid w:val="0029729D"/>
    <w:rsid w:val="002D2B29"/>
    <w:rsid w:val="003442C4"/>
    <w:rsid w:val="00384861"/>
    <w:rsid w:val="003F7B79"/>
    <w:rsid w:val="00454AF2"/>
    <w:rsid w:val="00562F98"/>
    <w:rsid w:val="0062078F"/>
    <w:rsid w:val="00644B63"/>
    <w:rsid w:val="00731622"/>
    <w:rsid w:val="00851642"/>
    <w:rsid w:val="00881233"/>
    <w:rsid w:val="009368C5"/>
    <w:rsid w:val="009B318D"/>
    <w:rsid w:val="00A14FD4"/>
    <w:rsid w:val="00AC1D30"/>
    <w:rsid w:val="00B22EC3"/>
    <w:rsid w:val="00BB27C7"/>
    <w:rsid w:val="00C0319E"/>
    <w:rsid w:val="00C27543"/>
    <w:rsid w:val="00C9282C"/>
    <w:rsid w:val="00CC53F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41</Pages>
  <Words>14654</Words>
  <Characters>83530</Characters>
  <Application>Microsoft Office Word</Application>
  <DocSecurity>0</DocSecurity>
  <Lines>696</Lines>
  <Paragraphs>195</Paragraphs>
  <ScaleCrop>false</ScaleCrop>
  <Manager/>
  <Company/>
  <LinksUpToDate>false</LinksUpToDate>
  <CharactersWithSpaces>97989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126</cp:revision>
  <dcterms:created xsi:type="dcterms:W3CDTF">2026-06-27T02:50:00Z</dcterms:created>
  <dcterms:modified xsi:type="dcterms:W3CDTF">2026-08-14T01:32:00Z</dcterms:modified>
  <cp:category/>
</cp:coreProperties>
</file>