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10370862" w:rsidR="003D485F" w:rsidRDefault="003D485F" w:rsidP="00880690">
      <w:pPr>
        <w:pStyle w:val="Title"/>
        <w:rPr>
          <w:b/>
          <w:bCs/>
        </w:rPr>
      </w:pPr>
      <w:commentRangeStart w:id="0"/>
      <w:r>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60414DE1" w:rsidR="007F6C74" w:rsidRDefault="007F6C74" w:rsidP="007F6C74">
      <w:bookmarkStart w:id="3" w:name="OLE_LINK14"/>
      <w:r>
        <w:t>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w:t>
      </w:r>
      <w:r w:rsidR="00357D49">
        <w:t xml:space="preserve"> (ZCTAs)</w:t>
      </w:r>
      <w:r>
        <w:t>,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w:t>
      </w:r>
      <w:r w:rsidR="00D42EC1">
        <w:t>, but a</w:t>
      </w:r>
      <w:r>
        <w:t xml:space="preserve"> significant remainder does not. EV charging differs</w:t>
      </w:r>
      <w:r w:rsidR="00D42EC1">
        <w:t xml:space="preserve"> -- </w:t>
      </w:r>
      <w:r>
        <w:t xml:space="preserve">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5022620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hyperlink w:anchor="_Ref_bib1" w:history="1">
            <w:r w:rsidR="008448B0">
              <w:t>[1]</w:t>
            </w:r>
          </w:hyperlink>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hyperlink w:anchor="_Ref_bib2" w:history="1">
            <w:r w:rsidR="008448B0">
              <w:t>[2]</w:t>
            </w:r>
          </w:hyperlink>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hyperlink w:anchor="_Ref_bib3" w:history="1">
            <w:r w:rsidR="008448B0">
              <w:t>[3]</w:t>
            </w:r>
          </w:hyperlink>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hyperlink w:anchor="_Ref_bib4" w:history="1">
            <w:r w:rsidR="008448B0">
              <w:t>[4]</w:t>
            </w:r>
          </w:hyperlink>
          <w:r>
            <w:t>[5][6]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hyperlink w:anchor="_Ref_bib7" w:history="1">
            <w:r w:rsidR="00B86A12">
              <w:t>[7]</w:t>
            </w:r>
          </w:hyperlink>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"/>
          <w:id w:val="-1296830105"/>
          <w:placeholder>
            <w:docPart w:val="DefaultPlaceholder_-1854013440"/>
          </w:placeholder>
        </w:sdtPr>
        <w:sdtContent>
          <w:hyperlink w:anchor="_Ref_bib8" w:history="1">
            <w:r w:rsidR="00B86A12">
              <w:t>[8]</w:t>
            </w:r>
          </w:hyperlink>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hyperlink w:anchor="_Ref_bib9" w:history="1">
            <w:r w:rsidR="00B86A12">
              <w:t>[9]</w:t>
            </w:r>
          </w:hyperlink>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hyperlink w:anchor="_Ref_bib10" w:history="1">
            <w:r w:rsidR="00B86A12">
              <w:t>[10]</w:t>
            </w:r>
          </w:hyperlink>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hyperlink w:anchor="_Ref_bib11" w:history="1">
            <w:r w:rsidR="00B86A12">
              <w:t>[11]</w:t>
            </w:r>
          </w:hyperlink>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hyperlink w:anchor="_Ref_bib12" w:history="1">
            <w:r w:rsidR="00B86A12">
              <w:t>[12]</w:t>
            </w:r>
          </w:hyperlink>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"/>
          <w:id w:val="-1225070529"/>
          <w:placeholder>
            <w:docPart w:val="DefaultPlaceholder_-1854013440"/>
          </w:placeholder>
        </w:sdtPr>
        <w:sdtContent>
          <w:hyperlink w:anchor="_Ref_bib13" w:history="1">
            <w:r w:rsidR="00B86A12">
              <w:t>[13]</w:t>
            </w:r>
          </w:hyperlink>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hyperlink w:anchor="_Ref_bib14" w:history="1">
            <w:r w:rsidR="00B86A12">
              <w:t>[14]</w:t>
            </w:r>
          </w:hyperlink>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hyperlink w:anchor="_Ref_bib15" w:history="1">
            <w:r w:rsidR="00B86A12">
              <w:t>[15]</w:t>
            </w:r>
          </w:hyperlink>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hyperlink w:anchor="_Ref_bib16" w:history="1">
            <w:r w:rsidR="00B86A12">
              <w:t>[16]</w:t>
            </w:r>
          </w:hyperlink>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38E328E5" w:rsidR="00B86A12" w:rsidRDefault="00000000" w:rsidP="00C4201B">
      <w:r>
        <w:t xml:space="preserve">Recent work also encourages expanding the equity conversation beyond solar PV alone. Tarekegne et al.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hyperlink w:anchor="_Ref_bib17" w:history="1">
            <w:r w:rsidR="00B86A12">
              <w:t>[17]</w:t>
            </w:r>
          </w:hyperlink>
        </w:sdtContent>
      </w:sdt>
      <w:r>
        <w:t xml:space="preserve">. Flexible-DER coordination work at NREL and related DOE planning studies shows how equity concerns can be embedded into operational and planning frameworks rather than treated as separate from system design. Stokes and Warshaw (2017), Borenstein and Bushnell (2015),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"/>
          <w:id w:val="-729917231"/>
          <w:placeholder>
            <w:docPart w:val="DefaultPlaceholder_-1854013440"/>
          </w:placeholder>
        </w:sdtPr>
        <w:sdtContent>
          <w:hyperlink w:anchor="_Ref_bib18" w:history="1">
            <w:r w:rsidR="00B86A12">
              <w:t>[18]</w:t>
            </w:r>
          </w:hyperlink>
          <w:r>
            <w:t>[19][20][21]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w:t>
      </w:r>
      <w:r>
        <w:rPr>
          <w:rFonts w:cs="Times New Roman"/>
          <w:color w:val="000000"/>
        </w:rPr>
        <w:lastRenderedPageBreak/>
        <w:t xml:space="preserve">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hyperlink w:anchor="_Ref_bib22" w:history="1">
            <w:r w:rsidR="00B86A12">
              <w:t>[22]</w:t>
            </w:r>
          </w:hyperlink>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4AD68A4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(Tarekegne et al.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hyperlink w:anchor="_Ref_bib23" w:history="1">
            <w:r w:rsidR="00B86A12">
              <w:t>[23]</w:t>
            </w:r>
          </w:hyperlink>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hyperlink w:anchor="_Ref_bib24" w:history="1">
            <w:r w:rsidR="00B86A12">
              <w:t>[24]</w:t>
            </w:r>
          </w:hyperlink>
        </w:sdtContent>
      </w:sdt>
      <w:r>
        <w:t>.</w:t>
      </w:r>
    </w:p>
    <w:p w14:paraId="66C1074A" w14:textId="77777777"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20C4EFBF" w14:textId="77777777" w:rsidR="00B86A12" w:rsidRDefault="00091F08">
      <w:pPr>
        <w:pStyle w:val="Heading1"/>
        <w:numPr>
          <w:ilvl w:val="0"/>
          <w:numId w:val="11"/>
        </w:numPr>
      </w:pPr>
      <w:bookmarkStart w:id="7" w:name="_Ref_sec_results"/>
      <w:r>
        <w:t>Results</w:t>
      </w:r>
      <w:bookmarkEnd w:id="7"/>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8" w:name="_Ref_fig3"/>
      <w:r>
        <w:t xml:space="preserve">Figure </w:t>
      </w:r>
      <w:fldSimple w:instr=" SEQ Figure \* ARABIC ">
        <w:r w:rsidR="008A7C5A">
          <w:rPr>
            <w:noProof/>
          </w:rPr>
          <w:t>3</w:t>
        </w:r>
      </w:fldSimple>
      <w:bookmarkEnd w:id="8"/>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9" w:name="_Ref_tbl3"/>
      <w:r>
        <w:t xml:space="preserve">Table </w:t>
      </w:r>
      <w:fldSimple w:instr=" SEQ Table \* ARABIC ">
        <w:r>
          <w:t>3</w:t>
        </w:r>
      </w:fldSimple>
      <w:bookmarkEnd w:id="9"/>
      <w:r>
        <w:t>: Baseline regression summary across the three headline DER outcomes.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2290"/>
        <w:gridCol w:w="2327"/>
        <w:gridCol w:w="2330"/>
      </w:tblGrid>
      <w:tr w:rsidR="00B86A12" w14:paraId="03610171" w14:textId="77777777">
        <w:trPr>
          <w:tblHeader/>
        </w:trPr>
        <w:tc>
          <w:tcPr>
            <w:tcW w:w="2520" w:type="dxa"/>
            <w:tcBorders>
              <w:bottom w:val="single" w:sz="6" w:space="0" w:color="auto"/>
            </w:tcBorders>
            <w:shd w:val="clear" w:color="auto" w:fill="F2EFE7"/>
          </w:tcPr>
          <w:p w14:paraId="70653D07" w14:textId="77777777" w:rsidR="00E74C8C" w:rsidRPr="00FC705B" w:rsidRDefault="00000000">
            <w:pPr>
              <w:rPr>
                <w:b/>
                <w:bCs/>
              </w:rPr>
            </w:pPr>
            <w:r>
              <w:rPr>
                <w:b/>
                <w:bCs/>
              </w:rPr>
              <w:t>Predictor</w:t>
            </w:r>
          </w:p>
        </w:tc>
        <w:tc>
          <w:tcPr>
            <w:tcW w:w="2520" w:type="dxa"/>
            <w:tcBorders>
              <w:bottom w:val="single" w:sz="6" w:space="0" w:color="auto"/>
            </w:tcBorders>
            <w:shd w:val="clear" w:color="auto" w:fill="F2EFE7"/>
          </w:tcPr>
          <w:p w14:paraId="76E33C1C"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y_pv</w:t>
            </w:r>
          </w:p>
        </w:tc>
        <w:tc>
          <w:tcPr>
            <w:tcW w:w="2520" w:type="dxa"/>
            <w:tcBorders>
              <w:bottom w:val="single" w:sz="6" w:space="0" w:color="auto"/>
            </w:tcBorders>
            <w:shd w:val="clear" w:color="auto" w:fill="F2EFE7"/>
          </w:tcPr>
          <w:p w14:paraId="06860712"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y_storage</w:t>
            </w:r>
          </w:p>
        </w:tc>
        <w:tc>
          <w:tcPr>
            <w:tcW w:w="2520" w:type="dxa"/>
            <w:tcBorders>
              <w:bottom w:val="single" w:sz="6" w:space="0" w:color="auto"/>
            </w:tcBorders>
            <w:shd w:val="clear" w:color="auto" w:fill="F2EFE7"/>
          </w:tcPr>
          <w:p w14:paraId="5EC9EB9E"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1"/>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0" w:name="_Ref_fig4"/>
      <w:r>
        <w:t xml:space="preserve">Figure </w:t>
      </w:r>
      <w:fldSimple w:instr=" SEQ Figure \* ARABIC ">
        <w:r w:rsidR="008A7C5A">
          <w:rPr>
            <w:noProof/>
          </w:rPr>
          <w:t>4</w:t>
        </w:r>
      </w:fldSimple>
      <w:bookmarkEnd w:id="10"/>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1" w:name="_Ref_sec_r_baseline"/>
      <w:r>
        <w:t>Baseline patterns across DER types</w:t>
      </w:r>
      <w:bookmarkEnd w:id="11"/>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 xml:space="preserve">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w:t>
      </w:r>
      <w:r>
        <w:lastRenderedPageBreak/>
        <w:t xml:space="preserve">charging, the standardized Black-share coefficient changes from -0.000 to -0.035, and the Asian-share coefficient changes from 0.058 to -0.008. </w:t>
      </w:r>
      <w:r>
        <w:fldChar w:fldCharType="begin"/>
      </w:r>
      <w:r>
        <w:instrText xml:space="preserve"> REF _Ref_fig21 \h </w:instrText>
      </w:r>
      <w:r>
        <w:fldChar w:fldCharType="separate"/>
      </w:r>
      <w:r>
        <w:t>Figure 21</w:t>
      </w:r>
      <w:r>
        <w:fldChar w:fldCharType="end"/>
      </w:r>
      <w:r>
        <w:t xml:space="preserve">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2"/>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2" w:name="_Ref_fig5"/>
      <w:commentRangeStart w:id="13"/>
      <w:r>
        <w:t xml:space="preserve">Figure </w:t>
      </w:r>
      <w:fldSimple w:instr=" SEQ Figure \* ARABIC ">
        <w:r w:rsidR="008A7C5A">
          <w:rPr>
            <w:noProof/>
          </w:rPr>
          <w:t>5</w:t>
        </w:r>
      </w:fldSimple>
      <w:bookmarkEnd w:id="12"/>
      <w:r>
        <w:t>: Cross-outcome dot-whisker comparison from the standardized model outputs for Solar PV, Storage, EV Chargers, and Wind MW. This figure summarizes how core predictors vary across the continuous DER outcomes.</w:t>
      </w:r>
      <w:commentRangeEnd w:id="13"/>
      <w:r w:rsidR="009C6396">
        <w:rPr>
          <w:rStyle w:val="CommentReference"/>
          <w:sz w:val="18"/>
          <w:szCs w:val="18"/>
        </w:rPr>
        <w:commentReference w:id="13"/>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14" w:name="_Ref_sec_r_pv"/>
      <w:r>
        <w:t>Solar PV: Persistent disparities after resource controls</w:t>
      </w:r>
      <w:bookmarkEnd w:id="14"/>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w:t>
      </w:r>
      <w:bookmarkStart w:id="15" w:name="OLE_LINK1"/>
      <w:r w:rsidRPr="3DC018EE">
        <w:rPr>
          <w:rFonts w:ascii="Courier New" w:hAnsi="Courier New"/>
          <w:sz w:val="18"/>
          <w:szCs w:val="18"/>
        </w:rPr>
        <w:t>pct_asian</w:t>
      </w:r>
      <w:bookmarkEnd w:id="15"/>
      <w:r>
        <w:t>, indicating that these patterns are not explained away by existing energy infrastructure or underlying electricity demand.</w:t>
      </w:r>
    </w:p>
    <w:p w14:paraId="3C2A52EC" w14:textId="77777777" w:rsidR="00B86A12" w:rsidRDefault="00000000">
      <w:r>
        <w:t xml:space="preserve">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53575683" w:rsidR="00B93869" w:rsidRDefault="00000000">
      <w:r>
        <w:t xml:space="preserve">The coefficient on </w:t>
      </w:r>
      <w:r w:rsidR="008375AB" w:rsidRPr="3DC018EE">
        <w:rPr>
          <w:rFonts w:ascii="Courier New" w:hAnsi="Courier New"/>
          <w:sz w:val="18"/>
          <w:szCs w:val="18"/>
        </w:rPr>
        <w:t>pct_asian</w:t>
      </w:r>
      <w:r w:rsidR="008375AB">
        <w:t xml:space="preserve"> </w:t>
      </w:r>
      <w:r>
        <w:t xml:space="preserve">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w:t>
      </w:r>
      <w:r w:rsidR="008E0026" w:rsidRPr="3DC018EE">
        <w:rPr>
          <w:rFonts w:ascii="Courier New" w:hAnsi="Courier New"/>
          <w:sz w:val="18"/>
          <w:szCs w:val="18"/>
        </w:rPr>
        <w:t>pct_asian</w:t>
      </w:r>
      <w:r w:rsidR="008E0026">
        <w:t xml:space="preserve"> </w:t>
      </w:r>
      <w:r>
        <w:t>stay negative at p &lt; 0.001, so housing composition accounts for part of the gap and not for all of it.</w:t>
      </w:r>
    </w:p>
    <w:p w14:paraId="3EBBE986" w14:textId="77777777" w:rsidR="00F121D0" w:rsidRDefault="00A51986" w:rsidP="00F121D0">
      <w:pPr>
        <w:keepNext/>
        <w:jc w:val="center"/>
      </w:pPr>
      <w:commentRangeStart w:id="16"/>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3"/>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16"/>
      <w:r w:rsidR="00465D57">
        <w:rPr>
          <w:rStyle w:val="CommentReference"/>
          <w:sz w:val="22"/>
          <w:szCs w:val="22"/>
        </w:rPr>
        <w:commentReference w:id="16"/>
      </w:r>
    </w:p>
    <w:p w14:paraId="49FA7F96" w14:textId="096DB929" w:rsidR="00B86A12" w:rsidRDefault="00F121D0" w:rsidP="00F121D0">
      <w:pPr>
        <w:pStyle w:val="Caption"/>
        <w:jc w:val="center"/>
      </w:pPr>
      <w:bookmarkStart w:id="17" w:name="_Ref_fig6"/>
      <w:r>
        <w:t xml:space="preserve">Figure </w:t>
      </w:r>
      <w:fldSimple w:instr=" SEQ Figure \* ARABIC ">
        <w:r w:rsidR="008A7C5A">
          <w:rPr>
            <w:noProof/>
          </w:rPr>
          <w:t>6</w:t>
        </w:r>
      </w:fldSimple>
      <w:bookmarkEnd w:id="17"/>
      <w:r>
        <w:t xml:space="preserve">: </w:t>
      </w:r>
      <w:r w:rsidR="00603C3A">
        <w:t>Standardized robustness summary for y_pv. Each panel traces one coefficient across the model ladder, with 95% confidence bands; filled markers denote p &lt; 0.05.</w:t>
      </w:r>
    </w:p>
    <w:p w14:paraId="29FD8964" w14:textId="77777777" w:rsidR="00B86A12" w:rsidRDefault="00000000">
      <w:pPr>
        <w:pStyle w:val="Heading2"/>
        <w:numPr>
          <w:ilvl w:val="1"/>
          <w:numId w:val="11"/>
        </w:numPr>
      </w:pPr>
      <w:bookmarkStart w:id="18" w:name="_Ref_sec_r_storage"/>
      <w:r>
        <w:t>Storage: the strongest and most consistent inequities</w:t>
      </w:r>
      <w:bookmarkEnd w:id="18"/>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 xml:space="preserve">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w:t>
      </w:r>
      <w:r>
        <w:lastRenderedPageBreak/>
        <w:t>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19" w:name="_Ref_tbl4"/>
      <w:r>
        <w:t xml:space="preserve">Table </w:t>
      </w:r>
      <w:fldSimple w:instr=" SEQ Table \* ARABIC ">
        <w:r>
          <w:t>4</w:t>
        </w:r>
      </w:fldSimple>
      <w:bookmarkEnd w:id="19"/>
      <w:r>
        <w:t>: Storage Model 9 PV-control robustness.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4574D2BC" w14:textId="77777777">
        <w:trPr>
          <w:tblHeader/>
        </w:trPr>
        <w:tc>
          <w:tcPr>
            <w:tcW w:w="2520" w:type="dxa"/>
            <w:tcBorders>
              <w:bottom w:val="single" w:sz="6" w:space="0" w:color="auto"/>
            </w:tcBorders>
            <w:shd w:val="clear" w:color="auto" w:fill="F2EFE7"/>
          </w:tcPr>
          <w:p w14:paraId="39B3B705" w14:textId="77777777" w:rsidR="00E74C8C" w:rsidRDefault="00000000">
            <w:r>
              <w:rPr>
                <w:b/>
                <w:bCs/>
              </w:rPr>
              <w:t>Predictor</w:t>
            </w:r>
          </w:p>
        </w:tc>
        <w:tc>
          <w:tcPr>
            <w:tcW w:w="2520" w:type="dxa"/>
            <w:tcBorders>
              <w:bottom w:val="single" w:sz="6" w:space="0" w:color="auto"/>
            </w:tcBorders>
            <w:shd w:val="clear" w:color="auto" w:fill="F2EFE7"/>
          </w:tcPr>
          <w:p w14:paraId="3E810EA9" w14:textId="77777777" w:rsidR="00E74C8C" w:rsidRDefault="00000000">
            <w:r>
              <w:rPr>
                <w:b/>
                <w:bCs/>
              </w:rPr>
              <w:t>Coefficient</w:t>
            </w:r>
          </w:p>
        </w:tc>
        <w:tc>
          <w:tcPr>
            <w:tcW w:w="2520" w:type="dxa"/>
            <w:tcBorders>
              <w:bottom w:val="single" w:sz="6" w:space="0" w:color="auto"/>
            </w:tcBorders>
            <w:shd w:val="clear" w:color="auto" w:fill="F2EFE7"/>
          </w:tcPr>
          <w:p w14:paraId="781C4D0C" w14:textId="77777777" w:rsidR="00E74C8C" w:rsidRDefault="00000000">
            <w:r>
              <w:rPr>
                <w:b/>
                <w:bCs/>
              </w:rPr>
              <w:t>Robust SE</w:t>
            </w:r>
          </w:p>
        </w:tc>
        <w:tc>
          <w:tcPr>
            <w:tcW w:w="2520" w:type="dxa"/>
            <w:tcBorders>
              <w:bottom w:val="single" w:sz="6" w:space="0" w:color="auto"/>
            </w:tcBorders>
            <w:shd w:val="clear" w:color="auto" w:fill="F2EFE7"/>
          </w:tcPr>
          <w:p w14:paraId="70C4B586" w14:textId="77777777" w:rsidR="00E74C8C" w:rsidRDefault="00000000">
            <w:r>
              <w:rPr>
                <w:b/>
                <w:bCs/>
              </w:rP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 xml:space="preserve">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4"/>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0"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0"/>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1" w:name="_Ref_sec_r_chargers"/>
      <w:r>
        <w:t>EV charging: aggregate disparities mask charger-type composition</w:t>
      </w:r>
      <w:bookmarkEnd w:id="21"/>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14:paraId="79FB4DDC"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5"/>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2" w:name="_Ref_fig8"/>
      <w:r>
        <w:t xml:space="preserve">Figure </w:t>
      </w:r>
      <w:fldSimple w:instr=" SEQ Figure \* ARABIC ">
        <w:r w:rsidR="008A7C5A">
          <w:rPr>
            <w:noProof/>
          </w:rPr>
          <w:t>8</w:t>
        </w:r>
      </w:fldSimple>
      <w:bookmarkEnd w:id="22"/>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6"/>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3" w:name="_Ref_fig9"/>
      <w:r>
        <w:t xml:space="preserve">Figure </w:t>
      </w:r>
      <w:fldSimple w:instr=" SEQ Figure \* ARABIC ">
        <w:r w:rsidR="008A7C5A">
          <w:rPr>
            <w:noProof/>
          </w:rPr>
          <w:t>9</w:t>
        </w:r>
      </w:fldSimple>
      <w:bookmarkEnd w:id="23"/>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24" w:name="_Ref_tbl5"/>
      <w:r>
        <w:t xml:space="preserve">Table </w:t>
      </w:r>
      <w:fldSimple w:instr=" SEQ Table \* ARABIC ">
        <w:r>
          <w:t>5</w:t>
        </w:r>
      </w:fldSimple>
      <w:bookmarkEnd w:id="24"/>
      <w:r>
        <w:t>: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361D6AC1" w14:textId="77777777">
        <w:trPr>
          <w:tblHeader/>
        </w:trPr>
        <w:tc>
          <w:tcPr>
            <w:tcW w:w="2016" w:type="dxa"/>
            <w:tcBorders>
              <w:bottom w:val="single" w:sz="6" w:space="0" w:color="auto"/>
            </w:tcBorders>
            <w:shd w:val="clear" w:color="auto" w:fill="F2EFE7"/>
          </w:tcPr>
          <w:p w14:paraId="23846690"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295F684C" w14:textId="77777777" w:rsidR="00E74C8C" w:rsidRDefault="00000000">
            <w:r>
              <w:rPr>
                <w:b/>
                <w:bCs/>
              </w:rPr>
              <w:t>Aggregate</w:t>
            </w:r>
          </w:p>
        </w:tc>
        <w:tc>
          <w:tcPr>
            <w:tcW w:w="2016" w:type="dxa"/>
            <w:tcBorders>
              <w:bottom w:val="single" w:sz="6" w:space="0" w:color="auto"/>
            </w:tcBorders>
            <w:shd w:val="clear" w:color="auto" w:fill="F2EFE7"/>
          </w:tcPr>
          <w:p w14:paraId="4C30F81C" w14:textId="77777777" w:rsidR="00E74C8C" w:rsidRDefault="00000000">
            <w:r>
              <w:rPr>
                <w:b/>
                <w:bCs/>
              </w:rPr>
              <w:t>Level 1</w:t>
            </w:r>
          </w:p>
        </w:tc>
        <w:tc>
          <w:tcPr>
            <w:tcW w:w="2016" w:type="dxa"/>
            <w:tcBorders>
              <w:bottom w:val="single" w:sz="6" w:space="0" w:color="auto"/>
            </w:tcBorders>
            <w:shd w:val="clear" w:color="auto" w:fill="F2EFE7"/>
          </w:tcPr>
          <w:p w14:paraId="0DAB3579" w14:textId="77777777" w:rsidR="00E74C8C" w:rsidRDefault="00000000">
            <w:r>
              <w:rPr>
                <w:b/>
                <w:bCs/>
              </w:rPr>
              <w:t>Level 2</w:t>
            </w:r>
          </w:p>
        </w:tc>
        <w:tc>
          <w:tcPr>
            <w:tcW w:w="2016" w:type="dxa"/>
            <w:tcBorders>
              <w:bottom w:val="single" w:sz="6" w:space="0" w:color="auto"/>
            </w:tcBorders>
            <w:shd w:val="clear" w:color="auto" w:fill="F2EFE7"/>
          </w:tcPr>
          <w:p w14:paraId="7C2F1AA0" w14:textId="77777777" w:rsidR="00E74C8C" w:rsidRDefault="00000000">
            <w:r>
              <w:rPr>
                <w:b/>
                <w:bCs/>
              </w:rP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25" w:name="_Ref_sec_r_burden"/>
      <w:r>
        <w:t>Energy burden outcome results</w:t>
      </w:r>
      <w:bookmarkEnd w:id="25"/>
    </w:p>
    <w:p w14:paraId="4A84B053" w14:textId="77777777" w:rsidR="0014040F" w:rsidRDefault="00000000">
      <w:r>
        <w:t xml:space="preserve">The energy-burden outcomes provide affordability context for the DER results. In the matched burden sample, mean </w:t>
      </w:r>
      <w:bookmarkStart w:id="26" w:name="OLE_LINK3"/>
      <w:r w:rsidRPr="3DC018EE">
        <w:rPr>
          <w:rFonts w:ascii="Courier New" w:hAnsi="Courier New" w:cs="Courier New"/>
          <w:sz w:val="18"/>
          <w:szCs w:val="18"/>
        </w:rPr>
        <w:t>energy_burden_pct</w:t>
      </w:r>
      <w:r w:rsidRPr="3DC018EE">
        <w:rPr>
          <w:sz w:val="18"/>
          <w:szCs w:val="18"/>
        </w:rPr>
        <w:t xml:space="preserve"> </w:t>
      </w:r>
      <w:bookmarkEnd w:id="26"/>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27" w:name="OLE_LINK4"/>
      <w:r w:rsidRPr="3DC018EE">
        <w:rPr>
          <w:rFonts w:ascii="Courier New" w:hAnsi="Courier New" w:cs="Courier New"/>
          <w:sz w:val="18"/>
          <w:szCs w:val="18"/>
        </w:rPr>
        <w:t>log_median_household_income</w:t>
      </w:r>
      <w:r w:rsidRPr="3DC018EE">
        <w:rPr>
          <w:sz w:val="18"/>
          <w:szCs w:val="18"/>
        </w:rPr>
        <w:t xml:space="preserve"> </w:t>
      </w:r>
      <w:bookmarkEnd w:id="27"/>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fldChar w:fldCharType="begin"/>
      </w:r>
      <w:r>
        <w:instrText xml:space="preserve"> REF _Ref_sec_model9 \r \h </w:instrText>
      </w:r>
      <w:r>
        <w:fldChar w:fldCharType="separate"/>
      </w:r>
      <w:r>
        <w:t>6.7.9</w:t>
      </w:r>
      <w:r>
        <w:fldChar w:fldCharType="end"/>
      </w:r>
      <w:r>
        <w:t xml:space="preserve">; </w:t>
      </w:r>
      <w:r>
        <w:fldChar w:fldCharType="begin"/>
      </w:r>
      <w:r>
        <w:instrText xml:space="preserve"> REF _Ref_fig_burden_der \h </w:instrText>
      </w:r>
      <w:r>
        <w:fldChar w:fldCharType="separate"/>
      </w:r>
      <w:r>
        <w:t>Figure 11</w:t>
      </w:r>
      <w:r>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7">
                      <a:extLst>
                        <a:ext uri="{96DAC541-7B7A-43D3-8B79-37D633B846F1}">
                          <asvg:svgBlip xmlns:asvg="http://schemas.microsoft.com/office/drawing/2016/SVG/main" r:embed="rId18"/>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9">
                      <a:extLst>
                        <a:ext uri="{96DAC541-7B7A-43D3-8B79-37D633B846F1}">
                          <asvg:svgBlip xmlns:asvg="http://schemas.microsoft.com/office/drawing/2016/SVG/main" r:embed="rId20"/>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1">
                      <a:extLst>
                        <a:ext uri="{96DAC541-7B7A-43D3-8B79-37D633B846F1}">
                          <asvg:svgBlip xmlns:asvg="http://schemas.microsoft.com/office/drawing/2016/SVG/main" r:embed="rId22"/>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3">
                      <a:extLst>
                        <a:ext uri="{96DAC541-7B7A-43D3-8B79-37D633B846F1}">
                          <asvg:svgBlip xmlns:asvg="http://schemas.microsoft.com/office/drawing/2016/SVG/main" r:embed="rId24"/>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5">
                      <a:extLst>
                        <a:ext uri="{96DAC541-7B7A-43D3-8B79-37D633B846F1}">
                          <asvg:svgBlip xmlns:asvg="http://schemas.microsoft.com/office/drawing/2016/SVG/main" r:embed="rId26"/>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7">
                      <a:extLst>
                        <a:ext uri="{96DAC541-7B7A-43D3-8B79-37D633B846F1}">
                          <asvg:svgBlip xmlns:asvg="http://schemas.microsoft.com/office/drawing/2016/SVG/main" r:embed="rId28"/>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28" w:name="_Ref_newfig99"/>
      <w:r>
        <w:lastRenderedPageBreak/>
        <w:t xml:space="preserve">Figure </w:t>
      </w:r>
      <w:fldSimple w:instr=" SEQ Figure \* ARABIC ">
        <w:r w:rsidR="008A7C5A">
          <w:rPr>
            <w:noProof/>
          </w:rPr>
          <w:t>10</w:t>
        </w:r>
      </w:fldSimple>
      <w:bookmarkEnd w:id="28"/>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9"/>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29"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29"/>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0"/>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0" w:name="_Ref_newfig101"/>
      <w:r>
        <w:t xml:space="preserve">Figure </w:t>
      </w:r>
      <w:fldSimple w:instr=" SEQ Figure \* ARABIC ">
        <w:r w:rsidR="008A7C5A">
          <w:rPr>
            <w:noProof/>
          </w:rPr>
          <w:t>12</w:t>
        </w:r>
      </w:fldSimple>
      <w:bookmarkEnd w:id="30"/>
      <w:r>
        <w:t>: Coefficient stability for the energy-burden and affordability-gap outcomes across the model ladder.</w:t>
      </w:r>
    </w:p>
    <w:p w14:paraId="5CDAD299" w14:textId="77777777" w:rsidR="0014040F" w:rsidRDefault="00000000">
      <w:pPr>
        <w:pStyle w:val="Heading2"/>
        <w:numPr>
          <w:ilvl w:val="1"/>
          <w:numId w:val="11"/>
        </w:numPr>
      </w:pPr>
      <w:bookmarkStart w:id="31" w:name="_Ref_sec_r_lowess"/>
      <w:r>
        <w:t>Descriptive nonlinear gradients</w:t>
      </w:r>
      <w:bookmarkEnd w:id="31"/>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1">
                      <a:extLst>
                        <a:ext uri="{96DAC541-7B7A-43D3-8B79-37D633B846F1}">
                          <asvg:svgBlip xmlns:asvg="http://schemas.microsoft.com/office/drawing/2016/SVG/main" r:embed="rId32"/>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2" w:name="_Ref_fig10"/>
      <w:r>
        <w:t xml:space="preserve">Figure </w:t>
      </w:r>
      <w:fldSimple w:instr=" SEQ Figure \* ARABIC ">
        <w:r w:rsidR="008A7C5A">
          <w:rPr>
            <w:noProof/>
          </w:rPr>
          <w:t>13</w:t>
        </w:r>
      </w:fldSimple>
      <w:bookmarkEnd w:id="32"/>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3"/>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3" w:name="_Ref_fig11"/>
      <w:r>
        <w:t xml:space="preserve">Figure </w:t>
      </w:r>
      <w:fldSimple w:instr=" SEQ Figure \* ARABIC ">
        <w:r w:rsidR="008A7C5A">
          <w:rPr>
            <w:noProof/>
          </w:rPr>
          <w:t>14</w:t>
        </w:r>
      </w:fldSimple>
      <w:bookmarkEnd w:id="33"/>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34" w:name="_Ref_sec_r_cluster"/>
      <w:r>
        <w:t>Exploratory clustering of ZIP/ZCTA types</w:t>
      </w:r>
      <w:bookmarkEnd w:id="34"/>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4"/>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35" w:name="_Ref237521917"/>
      <w:r>
        <w:t xml:space="preserve">Figure </w:t>
      </w:r>
      <w:fldSimple w:instr=" SEQ Figure \* ARABIC ">
        <w:r>
          <w:rPr>
            <w:noProof/>
          </w:rPr>
          <w:t>15</w:t>
        </w:r>
      </w:fldSimple>
      <w:bookmarkEnd w:id="35"/>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36" w:name="_Ref_tbl6"/>
      <w:r>
        <w:t xml:space="preserve">Table </w:t>
      </w:r>
      <w:fldSimple w:instr=" SEQ Table \* ARABIC ">
        <w:r>
          <w:t>6</w:t>
        </w:r>
      </w:fldSimple>
      <w:bookmarkEnd w:id="36"/>
      <w:r>
        <w:t>: Cluster-profile means from the PCA plus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rPr>
          <w:tblHeader/>
        </w:trPr>
        <w:tc>
          <w:tcPr>
            <w:tcW w:w="1075" w:type="dxa"/>
            <w:tcBorders>
              <w:bottom w:val="single" w:sz="6" w:space="0" w:color="auto"/>
            </w:tcBorders>
            <w:shd w:val="clear" w:color="auto" w:fill="F2EFE7"/>
          </w:tcPr>
          <w:p w14:paraId="0E842C12"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7F9B58B8"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05A7952A"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09122B93"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191E6C8A"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3F369E3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2D603A50"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5FA9C77B" w14: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w14:paraId="0F56B146"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0BDB7A03"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37" w:name="_Ref_sec_r_wind"/>
      <w:r>
        <w:t>Wind as a contextual comparison outcome</w:t>
      </w:r>
      <w:bookmarkEnd w:id="37"/>
    </w:p>
    <w:p w14:paraId="5D396757" w14:textId="77777777" w:rsidR="00B86A12" w:rsidRDefault="00000000">
      <w:r>
        <w:t xml:space="preserve">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w:t>
      </w:r>
      <w:r>
        <w:fldChar w:fldCharType="begin"/>
      </w:r>
      <w:r>
        <w:instrText xml:space="preserve"> REF _Ref_fig20 \h </w:instrText>
      </w:r>
      <w:r>
        <w:fldChar w:fldCharType="separate"/>
      </w:r>
      <w:r>
        <w:t>Figure 20</w:t>
      </w:r>
      <w:r>
        <w:fldChar w:fldCharType="end"/>
      </w:r>
      <w:r>
        <w:t>.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5"/>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fldSimple w:instr=" SEQ Figure \* ARABIC ">
        <w:r>
          <w:rPr>
            <w:noProof/>
          </w:rPr>
          <w:t>16</w:t>
        </w:r>
      </w:fldSimple>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38" w:name="_Ref_sec_r_overall"/>
      <w:r>
        <w:lastRenderedPageBreak/>
        <w:t>Overall interpretation</w:t>
      </w:r>
      <w:bookmarkEnd w:id="38"/>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39" w:name="_Ref_sec_discussion"/>
      <w:r>
        <w:t>Discussion</w:t>
      </w:r>
      <w:bookmarkEnd w:id="39"/>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lastRenderedPageBreak/>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w:t>
      </w:r>
      <w:r>
        <w:lastRenderedPageBreak/>
        <w:t>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0" w:name="_Ref_sec_methods"/>
      <w:commentRangeStart w:id="41"/>
      <w:r>
        <w:lastRenderedPageBreak/>
        <w:t>Methods</w:t>
      </w:r>
      <w:bookmarkEnd w:id="40"/>
      <w:commentRangeEnd w:id="41"/>
      <w:r w:rsidR="009C6396">
        <w:rPr>
          <w:rStyle w:val="CommentReference"/>
          <w:sz w:val="28"/>
          <w:szCs w:val="28"/>
        </w:rPr>
        <w:commentReference w:id="41"/>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13560EE8" w14:textId="63E9BC3B" w:rsidR="0019795D" w:rsidRDefault="0019795D" w:rsidP="0019795D">
      <w:pPr>
        <w:pStyle w:val="Heading2"/>
        <w:numPr>
          <w:ilvl w:val="1"/>
          <w:numId w:val="11"/>
        </w:numPr>
      </w:pPr>
      <w:bookmarkStart w:id="42" w:name="_Ref_tbl1"/>
      <w:r>
        <w:t>Data and Measures</w:t>
      </w:r>
    </w:p>
    <w:p w14:paraId="520E428F" w14:textId="77777777" w:rsidR="009B78FE" w:rsidRDefault="009B78FE" w:rsidP="009B78FE">
      <w:pPr>
        <w:pStyle w:val="Caption"/>
        <w:keepNext/>
      </w:pPr>
      <w:r>
        <w:t xml:space="preserve">Table </w:t>
      </w:r>
      <w:fldSimple w:instr=" SEQ Table \* ARABIC ">
        <w:r>
          <w:t>1</w:t>
        </w:r>
      </w:fldSimple>
      <w:bookmarkEnd w:id="42"/>
      <w:r>
        <w:t>: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59BDDCBB" w14:textId="77777777" w:rsidTr="000A7270">
        <w:trPr>
          <w:tblHeader/>
        </w:trPr>
        <w:tc>
          <w:tcPr>
            <w:tcW w:w="3360" w:type="dxa"/>
            <w:tcBorders>
              <w:bottom w:val="single" w:sz="6" w:space="0" w:color="auto"/>
            </w:tcBorders>
            <w:shd w:val="clear" w:color="auto" w:fill="F2EFE7"/>
          </w:tcPr>
          <w:p w14:paraId="081C5C77" w14:textId="77777777" w:rsidR="009B78FE" w:rsidRDefault="009B78FE" w:rsidP="000A7270">
            <w:r>
              <w:rPr>
                <w:b/>
              </w:rPr>
              <w:t>Variable</w:t>
            </w:r>
          </w:p>
        </w:tc>
        <w:tc>
          <w:tcPr>
            <w:tcW w:w="3360" w:type="dxa"/>
            <w:tcBorders>
              <w:bottom w:val="single" w:sz="6" w:space="0" w:color="auto"/>
            </w:tcBorders>
            <w:shd w:val="clear" w:color="auto" w:fill="F2EFE7"/>
          </w:tcPr>
          <w:p w14:paraId="43140604" w14:textId="77777777" w:rsidR="009B78FE" w:rsidRDefault="009B78FE" w:rsidP="000A7270">
            <w:r>
              <w:rPr>
                <w:b/>
              </w:rPr>
              <w:t>Meaning</w:t>
            </w:r>
          </w:p>
        </w:tc>
        <w:tc>
          <w:tcPr>
            <w:tcW w:w="3360" w:type="dxa"/>
            <w:tcBorders>
              <w:bottom w:val="single" w:sz="6" w:space="0" w:color="auto"/>
            </w:tcBorders>
            <w:shd w:val="clear" w:color="auto" w:fill="F2EFE7"/>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lastRenderedPageBreak/>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19795D">
      <w:pPr>
        <w:pStyle w:val="Heading3"/>
        <w:numPr>
          <w:ilvl w:val="2"/>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45D375BB" w14:textId="77777777" w:rsidR="00F121D0" w:rsidRDefault="009611E9" w:rsidP="00F121D0">
      <w:pPr>
        <w:keepNext/>
        <w:jc w:val="center"/>
      </w:pPr>
      <w:r>
        <w:rPr>
          <w:noProof/>
        </w:rPr>
        <w:lastRenderedPageBreak/>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36"/>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43" w:name="_Ref_fig1"/>
      <w:r>
        <w:t xml:space="preserve">Figure </w:t>
      </w:r>
      <w:fldSimple w:instr=" SEQ Figure \* ARABIC ">
        <w:r w:rsidR="008A7C5A">
          <w:rPr>
            <w:noProof/>
          </w:rPr>
          <w:t>1</w:t>
        </w:r>
      </w:fldSimple>
      <w:bookmarkEnd w:id="43"/>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rsidP="0019795D">
      <w:pPr>
        <w:pStyle w:val="Heading3"/>
        <w:numPr>
          <w:ilvl w:val="2"/>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37"/>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44" w:name="_Ref_fig2"/>
      <w:r>
        <w:t xml:space="preserve">Figure </w:t>
      </w:r>
      <w:fldSimple w:instr=" SEQ Figure \* ARABIC ">
        <w:r w:rsidR="008A7C5A">
          <w:rPr>
            <w:noProof/>
          </w:rPr>
          <w:t>2</w:t>
        </w:r>
      </w:fldSimple>
      <w:bookmarkEnd w:id="44"/>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45" w:name="_Ref_tbl2"/>
      <w:r>
        <w:t xml:space="preserve">Table </w:t>
      </w:r>
      <w:fldSimple w:instr=" SEQ Table \* ARABIC ">
        <w:r>
          <w:t>2</w:t>
        </w:r>
      </w:fldSimple>
      <w:bookmarkEnd w:id="45"/>
      <w:r>
        <w:t>: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0C1B6B7B" w14:textId="77777777" w:rsidTr="3DC018EE">
        <w:trPr>
          <w:tblHeader/>
        </w:trPr>
        <w:tc>
          <w:tcPr>
            <w:tcW w:w="1680" w:type="dxa"/>
            <w:tcBorders>
              <w:bottom w:val="single" w:sz="6" w:space="0" w:color="auto"/>
            </w:tcBorders>
            <w:shd w:val="clear" w:color="auto" w:fill="F2EFE7"/>
          </w:tcPr>
          <w:p w14:paraId="1724C32E" w14:textId="77777777" w:rsidR="00B86A12" w:rsidRDefault="00000000">
            <w:r>
              <w:rPr>
                <w:b/>
              </w:rPr>
              <w:t>Variable</w:t>
            </w:r>
          </w:p>
        </w:tc>
        <w:tc>
          <w:tcPr>
            <w:tcW w:w="1680" w:type="dxa"/>
            <w:tcBorders>
              <w:bottom w:val="single" w:sz="6" w:space="0" w:color="auto"/>
            </w:tcBorders>
            <w:shd w:val="clear" w:color="auto" w:fill="F2EFE7"/>
          </w:tcPr>
          <w:p w14:paraId="78607DCB" w14:textId="77777777" w:rsidR="00B86A12" w:rsidRDefault="00000000">
            <w:r>
              <w:rPr>
                <w:b/>
              </w:rPr>
              <w:t>N</w:t>
            </w:r>
          </w:p>
        </w:tc>
        <w:tc>
          <w:tcPr>
            <w:tcW w:w="1680" w:type="dxa"/>
            <w:tcBorders>
              <w:bottom w:val="single" w:sz="6" w:space="0" w:color="auto"/>
            </w:tcBorders>
            <w:shd w:val="clear" w:color="auto" w:fill="F2EFE7"/>
          </w:tcPr>
          <w:p w14:paraId="28C6DCE4" w14:textId="77777777" w:rsidR="00B86A12" w:rsidRDefault="00000000">
            <w:r>
              <w:rPr>
                <w:b/>
              </w:rPr>
              <w:t>Mean</w:t>
            </w:r>
          </w:p>
        </w:tc>
        <w:tc>
          <w:tcPr>
            <w:tcW w:w="1680" w:type="dxa"/>
            <w:tcBorders>
              <w:bottom w:val="single" w:sz="6" w:space="0" w:color="auto"/>
            </w:tcBorders>
            <w:shd w:val="clear" w:color="auto" w:fill="F2EFE7"/>
          </w:tcPr>
          <w:p w14:paraId="7014F250" w14:textId="77777777" w:rsidR="00B86A12" w:rsidRDefault="00000000">
            <w:r>
              <w:rPr>
                <w:b/>
              </w:rPr>
              <w:t>Median</w:t>
            </w:r>
          </w:p>
        </w:tc>
        <w:tc>
          <w:tcPr>
            <w:tcW w:w="1680" w:type="dxa"/>
            <w:tcBorders>
              <w:bottom w:val="single" w:sz="6" w:space="0" w:color="auto"/>
            </w:tcBorders>
            <w:shd w:val="clear" w:color="auto" w:fill="F2EFE7"/>
          </w:tcPr>
          <w:p w14:paraId="6EA0DEF2" w14:textId="77777777" w:rsidR="00B86A12" w:rsidRDefault="00000000">
            <w:r>
              <w:rPr>
                <w:b/>
              </w:rPr>
              <w:t>P25</w:t>
            </w:r>
          </w:p>
        </w:tc>
        <w:tc>
          <w:tcPr>
            <w:tcW w:w="1680" w:type="dxa"/>
            <w:tcBorders>
              <w:bottom w:val="single" w:sz="6" w:space="0" w:color="auto"/>
            </w:tcBorders>
            <w:shd w:val="clear" w:color="auto" w:fill="F2EFE7"/>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0E56CADA" w14:textId="77777777" w:rsidR="00091F08" w:rsidRDefault="00091F08" w:rsidP="00091F08">
      <w:pPr>
        <w:pStyle w:val="Heading2"/>
        <w:numPr>
          <w:ilvl w:val="1"/>
          <w:numId w:val="11"/>
        </w:numPr>
      </w:pPr>
      <w:bookmarkStart w:id="46" w:name="_Ref_sec_m_data"/>
      <w:commentRangeStart w:id="47"/>
      <w:r>
        <w:t>Dataset Construction and Sample</w:t>
      </w:r>
      <w:bookmarkEnd w:id="46"/>
      <w:commentRangeEnd w:id="47"/>
      <w:r w:rsidR="009C6396">
        <w:rPr>
          <w:rStyle w:val="CommentReference"/>
          <w:sz w:val="26"/>
          <w:szCs w:val="26"/>
        </w:rPr>
        <w:commentReference w:id="47"/>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https://github.com/vineetjnair9/distributed-energy-resources-equity-CA under the MIT License. The harmonized ZIP/ZCTA analysis file will be deposited as a separate Zenodo record under CC-BY-4.0.</w:t>
      </w:r>
    </w:p>
    <w:p w14:paraId="404CCA22" w14:textId="77777777" w:rsidR="00091F08" w:rsidRDefault="00091F08" w:rsidP="00091F08">
      <w:commentRangeStart w:id="48"/>
      <w:r>
        <w:t>DER measures are first constructed separately by technology and then aggregated to the ZIP/ZCTA level. Solar PV capacity is derived from Tracking the Sun installation records</w:t>
      </w:r>
      <w:r>
        <w:fldChar w:fldCharType="begin"/>
      </w:r>
      <w:r>
        <w:instrText>HYPERLINK \l "_Ref_src26"</w:instrText>
      </w:r>
      <w:r>
        <w:fldChar w:fldCharType="separate"/>
      </w:r>
      <w:r>
        <w:t>[26]</w:t>
      </w:r>
      <w:r>
        <w:fldChar w:fldCharType="end"/>
      </w:r>
      <w:r>
        <w:t xml:space="preserve">. Battery storage is built from a California </w:t>
      </w:r>
      <w:r>
        <w:lastRenderedPageBreak/>
        <w:t>storage dataset containing location and capacity information</w:t>
      </w:r>
      <w:hyperlink w:anchor="_Ref_src28" w:history="1">
        <w:r>
          <w:t>[28]</w:t>
        </w:r>
      </w:hyperlink>
      <w:r>
        <w:t>. EV charging infrastructure is constructed from charger-level records that include charger type and location</w:t>
      </w:r>
      <w:hyperlink w:anchor="_Ref_src29" w:history="1">
        <w:r>
          <w:t>[29]</w:t>
        </w:r>
      </w:hyperlink>
      <w:r>
        <w:t xml:space="preserve">; charger rows without a valid source ZIP are excluded from ZIP/ZCTA charger outcomes rather than reassigned using latitude/longitude, while valid source-ZIP rows are retained even if descriptive fields are blank or say No information. Wind capacity and turbine counts come from the USGS wind turbine database </w:t>
      </w:r>
      <w:hyperlink w:anchor="_Ref_src30" w:history="1">
        <w:r>
          <w:t>[30]</w:t>
        </w:r>
      </w:hyperlink>
      <w:r>
        <w:t xml:space="preserve">, power-plant capacity from the EIA power plants layer </w:t>
      </w:r>
      <w:hyperlink w:anchor="_Ref_src31" w:history="1">
        <w:r>
          <w:t>[31]</w:t>
        </w:r>
      </w:hyperlink>
      <w:r>
        <w:t xml:space="preserve">, interconnection records from California Distributed Generation Statistics </w:t>
      </w:r>
      <w:hyperlink w:anchor="_Ref_src27" w:history="1">
        <w:r>
          <w:t>[27]</w:t>
        </w:r>
      </w:hyperlink>
      <w:r>
        <w:t xml:space="preserve">, ZIP/ZCTA boundaries from Census TIGER/Line shapefiles </w:t>
      </w:r>
      <w:hyperlink w:anchor="_Ref_src33" w:history="1">
        <w:r>
          <w:t>[33]</w:t>
        </w:r>
      </w:hyperlink>
      <w:r>
        <w:t xml:space="preserve">, and energy burden measures from the California Energy Commission energy equity indicators </w:t>
      </w:r>
      <w:hyperlink w:anchor="_Ref_src35" w:history="1">
        <w:r>
          <w:t>[35]</w:t>
        </w:r>
      </w:hyperlink>
      <w:r>
        <w:t xml:space="preserve">.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48"/>
      <w:r w:rsidR="009C6396">
        <w:rPr>
          <w:rStyle w:val="CommentReference"/>
          <w:sz w:val="22"/>
          <w:szCs w:val="22"/>
        </w:rPr>
        <w:commentReference w:id="48"/>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w:t>
      </w:r>
      <w:hyperlink w:anchor="_Ref_src32" w:history="1">
        <w:r>
          <w:t>[32]</w:t>
        </w:r>
      </w:hyperlink>
      <w:r>
        <w:t>. Housing structure uses every category in ACS B25024: single-family, multifamily, mobile-home, and boat/RV/van/other shares sum to one. Tenure uses B25003 owner occupancy, with renter occupancy as its complement. Climate and renewable-resource controls come from NASA POWER</w:t>
      </w:r>
      <w:hyperlink w:anchor="_Ref_src34" w:history="1">
        <w:r>
          <w:t>[34]</w:t>
        </w:r>
      </w:hyperlink>
      <w:r>
        <w:t>; utility territory uses a ZIP-to-utility spatial crosswalk; and annualized utility usage provides the electricity-demand proxy</w:t>
      </w:r>
      <w:hyperlink w:anchor="_Ref_src36" w:history="1">
        <w:r>
          <w:t>[36]</w:t>
        </w:r>
      </w:hyperlink>
      <w:r>
        <w:t>.</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49" w:name="_Ref_sec_m_outcomes"/>
      <w:r>
        <w:t>Outcome Variables</w:t>
      </w:r>
      <w:bookmarkEnd w:id="49"/>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0" w:name="_Ref_eq_chargers"/>
      <w:r>
        <w:t>(</w:t>
      </w:r>
      <w:fldSimple w:instr=" SEQ Equation \* ARABIC ">
        <w:r>
          <w:t>1</w:t>
        </w:r>
      </w:fldSimple>
      <w:r>
        <w:t>)</w:t>
      </w:r>
      <w:bookmarkEnd w:id="50"/>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1" w:name="_Ref_eq_pv"/>
      <w:r>
        <w:t>(</w:t>
      </w:r>
      <w:fldSimple w:instr=" SEQ Equation \* ARABIC ">
        <w:r>
          <w:t>2</w:t>
        </w:r>
      </w:fldSimple>
      <w:r>
        <w:t>)</w:t>
      </w:r>
      <w:bookmarkEnd w:id="51"/>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2" w:name="_Ref_eq_storage"/>
      <w:r>
        <w:t>(</w:t>
      </w:r>
      <w:fldSimple w:instr=" SEQ Equation \* ARABIC ">
        <w:r>
          <w:t>3</w:t>
        </w:r>
      </w:fldSimple>
      <w:r>
        <w:t>)</w:t>
      </w:r>
      <w:bookmarkEnd w:id="52"/>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3" w:name="_Ref_sec_m_predictors"/>
      <w:r>
        <w:lastRenderedPageBreak/>
        <w:t>Key Explanatory Variables</w:t>
      </w:r>
      <w:bookmarkEnd w:id="53"/>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4" w:name="_Ref_sec_m_controls"/>
      <w:r>
        <w:t>Contextual Controls</w:t>
      </w:r>
      <w:bookmarkEnd w:id="54"/>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5" w:name="_Ref_sec_m_baseline"/>
      <w:r>
        <w:t>Baseline Regression Specification</w:t>
      </w:r>
      <w:bookmarkEnd w:id="55"/>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6"/>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7"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7"/>
      <w:commentRangeEnd w:id="56"/>
      <w:r w:rsidR="005C1A7B">
        <w:rPr>
          <w:rStyle w:val="CommentReference"/>
          <w:sz w:val="22"/>
          <w:szCs w:val="22"/>
        </w:rPr>
        <w:commentReference w:id="56"/>
      </w:r>
    </w:p>
    <w:p w14:paraId="2BA351F4" w14:textId="6BDBA16B" w:rsidR="00091F08" w:rsidRDefault="00091F08" w:rsidP="00091F08">
      <w:r>
        <w:lastRenderedPageBreak/>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58" w:name="_Ref236222995"/>
      <w:bookmarkStart w:id="59" w:name="_Ref_sec_modelseries"/>
      <w:commentRangeStart w:id="60"/>
      <w:r>
        <w:t>Model Series</w:t>
      </w:r>
      <w:bookmarkEnd w:id="58"/>
      <w:bookmarkEnd w:id="59"/>
      <w:commentRangeEnd w:id="60"/>
      <w:r w:rsidR="008645D8">
        <w:rPr>
          <w:rStyle w:val="CommentReference"/>
          <w:sz w:val="26"/>
          <w:szCs w:val="26"/>
        </w:rPr>
        <w:commentReference w:id="60"/>
      </w:r>
    </w:p>
    <w:p w14:paraId="6623F7FD" w14:textId="77777777" w:rsidR="00091F08" w:rsidRDefault="002B54C7" w:rsidP="00091F08">
      <w:pPr>
        <w:pStyle w:val="Heading3"/>
        <w:numPr>
          <w:ilvl w:val="2"/>
          <w:numId w:val="11"/>
        </w:numPr>
      </w:pPr>
      <w:r>
        <w:t>Baseline Equity Specification</w:t>
      </w:r>
    </w:p>
    <w:p w14:paraId="0CED8246" w14:textId="23C9EE75" w:rsidR="00091F08" w:rsidRDefault="00091F08" w:rsidP="00091F08">
      <w:r>
        <w:t xml:space="preserve">The baseline specification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1"/>
      <w:r>
        <w:t xml:space="preserve">Equation </w:t>
      </w:r>
      <w:r>
        <w:fldChar w:fldCharType="begin"/>
      </w:r>
      <w:r>
        <w:instrText xml:space="preserve"> REF _Ref_eq_climate \h </w:instrText>
      </w:r>
      <w:r>
        <w:fldChar w:fldCharType="separate"/>
      </w:r>
      <w:r>
        <w:t>(5)</w:t>
      </w:r>
      <w:r>
        <w:fldChar w:fldCharType="end"/>
      </w:r>
      <w:r>
        <w:t>.</w:t>
      </w:r>
      <w:commentRangeEnd w:id="61"/>
      <w:r w:rsidR="00623188">
        <w:rPr>
          <w:rStyle w:val="CommentReference"/>
          <w:sz w:val="22"/>
          <w:szCs w:val="22"/>
        </w:rPr>
        <w:commentReference w:id="61"/>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2"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2"/>
    </w:p>
    <w:p w14:paraId="630E427C" w14:textId="77777777" w:rsidR="00091F08" w:rsidRDefault="00137C58" w:rsidP="00091F08">
      <w:pPr>
        <w:pStyle w:val="Heading3"/>
        <w:numPr>
          <w:ilvl w:val="2"/>
          <w:numId w:val="11"/>
        </w:numPr>
      </w:pPr>
      <w:bookmarkStart w:id="63" w:name="_Ref_sec_model2"/>
      <w:r>
        <w:t>Additional Socioeconomic Controls</w:t>
      </w:r>
      <w:bookmarkEnd w:id="63"/>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4"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4"/>
    </w:p>
    <w:p w14:paraId="58F1C2C5" w14:textId="77777777" w:rsidR="00091F08" w:rsidRDefault="00091F08" w:rsidP="00091F08">
      <w:pPr>
        <w:pStyle w:val="Heading3"/>
        <w:numPr>
          <w:ilvl w:val="2"/>
          <w:numId w:val="11"/>
        </w:numPr>
      </w:pPr>
      <w:r>
        <w:t>Alternative Climate and Resource Controls</w:t>
      </w:r>
    </w:p>
    <w:p w14:paraId="0E729970" w14:textId="5D225DFB"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we substitute global horizontal irradiance alone (Model 3C); elsewhere we compare heating and cooling degree days (Model 3A) against mean temperature alone (Model 3B).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5"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5"/>
    </w:p>
    <w:p w14:paraId="6EBBAE74" w14:textId="77777777" w:rsidR="00091F08" w:rsidRDefault="00091F08" w:rsidP="00091F08">
      <w:pPr>
        <w:pStyle w:val="Heading3"/>
        <w:numPr>
          <w:ilvl w:val="2"/>
          <w:numId w:val="11"/>
        </w:numPr>
      </w:pPr>
      <w:r>
        <w:t>Race-by-Income Interactions</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w:t>
      </w:r>
      <w:r w:rsidR="00FC526E">
        <w:lastRenderedPageBreak/>
        <w:t xml:space="preserve">main effects remain interpretable (Model 4), and a reduced variant omits the poverty control to confirm the interaction is not absorbing it (Model 4R).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t xml:space="preserve">y_z = β₀ + β RaceSES_z + δ(Income_z × Race_z) + γX_z + ε_z                       </w:t>
      </w:r>
      <w:bookmarkStart w:id="66"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6"/>
    </w:p>
    <w:p w14:paraId="792F8FF0" w14:textId="77777777" w:rsidR="00091F08" w:rsidRDefault="00091F08" w:rsidP="00091F08">
      <w:pPr>
        <w:pStyle w:val="Heading3"/>
        <w:numPr>
          <w:ilvl w:val="2"/>
          <w:numId w:val="11"/>
        </w:numPr>
      </w:pPr>
      <w:bookmarkStart w:id="67" w:name="_Ref_sec_model5"/>
      <w:r>
        <w:t>Utility Fixed Effects and Inference Robustness</w:t>
      </w:r>
      <w:bookmarkEnd w:id="67"/>
    </w:p>
    <w:p w14:paraId="61BC916A" w14:textId="0F3F9A08" w:rsidR="00091F08" w:rsidRDefault="00FA0279" w:rsidP="00091F08">
      <w:r>
        <w:t>We estimate specifications with utility territory fixed effects to absorb institutional differences across service areas (Model 5), and re-estimate the baseline with county-clustered standard errors as a robustness check for inference (Model 5C).</w:t>
      </w:r>
      <w:r w:rsidR="00FC526E">
        <w:t xml:space="preserv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t xml:space="preserve">y_z = β₀ + β RaceSES_z + γX_z + δ Utility_z + ε_z                                </w:t>
      </w:r>
      <w:bookmarkStart w:id="68"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68"/>
    </w:p>
    <w:p w14:paraId="5CCF3E85" w14:textId="77777777" w:rsidR="00091F08" w:rsidRDefault="00091F08" w:rsidP="008E511D">
      <w:pPr>
        <w:pStyle w:val="Heading3"/>
        <w:numPr>
          <w:ilvl w:val="2"/>
          <w:numId w:val="11"/>
        </w:numPr>
        <w:tabs>
          <w:tab w:val="left" w:pos="2647"/>
        </w:tabs>
      </w:pPr>
      <w:r>
        <w:t>Geographic Robustness</w:t>
      </w:r>
      <w:r>
        <w:tab/>
      </w:r>
    </w:p>
    <w:p w14:paraId="4C9E58AF" w14:textId="49BF91A9" w:rsidR="00091F08" w:rsidRDefault="00091F08" w:rsidP="00091F08">
      <w:r>
        <w:t xml:space="preserve">Additional specifications introduce latitude and longitude controls (Model 6A) or county fixed effects (Model 6B)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69"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69"/>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0"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0"/>
    </w:p>
    <w:p w14:paraId="5214F708" w14:textId="77777777" w:rsidR="00091F08" w:rsidRDefault="002B54C7" w:rsidP="00091F08">
      <w:pPr>
        <w:pStyle w:val="Heading3"/>
        <w:numPr>
          <w:ilvl w:val="2"/>
          <w:numId w:val="11"/>
        </w:numPr>
      </w:pPr>
      <w:bookmarkStart w:id="71" w:name="_Ref_sec_model7"/>
      <w:r>
        <w:t>Infrastructure Context Controls</w:t>
      </w:r>
      <w:bookmarkEnd w:id="71"/>
    </w:p>
    <w:p w14:paraId="3B2498D3" w14:textId="4F68BA27" w:rsidR="00091F08" w:rsidRDefault="00FA0279" w:rsidP="00091F08">
      <w:r>
        <w:t>We add measures of existing energy infrastructure to examine whether local deployment patterns are partly explained by the surrounding energy-system context, alongside a variant that scales those measures by population (Model 7PC).</w:t>
      </w:r>
      <w:r w:rsidR="00FC526E">
        <w:t xml:space="preserve">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2"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2"/>
    </w:p>
    <w:p w14:paraId="71C82F66" w14:textId="77777777" w:rsidR="008159BC" w:rsidRPr="008159BC" w:rsidRDefault="002B54C7" w:rsidP="008159BC">
      <w:pPr>
        <w:pStyle w:val="Heading3"/>
        <w:numPr>
          <w:ilvl w:val="2"/>
          <w:numId w:val="11"/>
        </w:numPr>
      </w:pPr>
      <w:bookmarkStart w:id="73" w:name="_Ref_sec_model8"/>
      <w:r>
        <w:t>Electricity Demand Controls</w:t>
      </w:r>
      <w:bookmarkEnd w:id="73"/>
    </w:p>
    <w:p w14:paraId="27CF42DC" w14:textId="2699605E" w:rsidR="00091F08" w:rsidRDefault="00C47129" w:rsidP="00091F08">
      <w:r>
        <w:t xml:space="preserve">Here, we add a demand proxy based on annual electricity consumption (Model 8).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4"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4"/>
    </w:p>
    <w:p w14:paraId="61A56426" w14:textId="77777777" w:rsidR="008159BC" w:rsidRPr="008159BC" w:rsidRDefault="008159BC" w:rsidP="008159BC">
      <w:pPr>
        <w:pStyle w:val="Heading3"/>
        <w:numPr>
          <w:ilvl w:val="2"/>
          <w:numId w:val="11"/>
        </w:numPr>
      </w:pPr>
      <w:bookmarkStart w:id="75" w:name="_Ref_sec_model9"/>
      <w:r>
        <w:t>Outcome-Specific DER Cross-Control and Extension Models</w:t>
      </w:r>
      <w:bookmarkEnd w:id="75"/>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w:t>
      </w:r>
      <w:r>
        <w:lastRenderedPageBreak/>
        <w:t>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6"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6"/>
    </w:p>
    <w:p w14:paraId="68A91FE3" w14:textId="0C77ACA2" w:rsidR="002B54C7" w:rsidRDefault="002B54C7" w:rsidP="00091F08">
      <w:r>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7" w:name="_Ref_sec_m_estimation"/>
      <w:r>
        <w:t>Estimation and Inference</w:t>
      </w:r>
      <w:bookmarkEnd w:id="77"/>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19795D">
      <w:pPr>
        <w:pStyle w:val="Heading2"/>
        <w:numPr>
          <w:ilvl w:val="1"/>
          <w:numId w:val="11"/>
        </w:numPr>
        <w:ind w:hanging="540"/>
      </w:pPr>
      <w:bookmarkStart w:id="78" w:name="_Ref_sec_m_robustness"/>
      <w:r>
        <w:t>Robustness and Diagnostic Checks</w:t>
      </w:r>
      <w:bookmarkEnd w:id="78"/>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Figure 17</w:t>
      </w:r>
      <w:r>
        <w:fldChar w:fldCharType="end"/>
      </w:r>
      <w:r>
        <w:t xml:space="preserve">, </w:t>
      </w:r>
      <w:r>
        <w:fldChar w:fldCharType="begin"/>
      </w:r>
      <w:r>
        <w:instrText xml:space="preserve"> REF _Ref_fig18 \h </w:instrText>
      </w:r>
      <w:r>
        <w:fldChar w:fldCharType="separate"/>
      </w:r>
      <w:r>
        <w:t>Figure 18</w:t>
      </w:r>
      <w:r>
        <w:fldChar w:fldCharType="end"/>
      </w:r>
      <w:r>
        <w:t xml:space="preserve">, and </w:t>
      </w:r>
      <w:r>
        <w:fldChar w:fldCharType="begin"/>
      </w:r>
      <w:r>
        <w:instrText xml:space="preserve"> REF _Ref_fig20 \h </w:instrText>
      </w:r>
      <w:r>
        <w:fldChar w:fldCharType="separate"/>
      </w:r>
      <w:r>
        <w:t>Figure 20</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19795D">
      <w:pPr>
        <w:pStyle w:val="Heading2"/>
        <w:numPr>
          <w:ilvl w:val="1"/>
          <w:numId w:val="11"/>
        </w:numPr>
        <w:ind w:hanging="540"/>
        <w:jc w:val="both"/>
      </w:pPr>
      <w:bookmarkStart w:id="79" w:name="_Ref_sec_limitations"/>
      <w:r>
        <w:lastRenderedPageBreak/>
        <w:t>Methodological Limitations</w:t>
      </w:r>
      <w:bookmarkEnd w:id="79"/>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 xml:space="preserve">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0" w:name="_Ref_sec_conclusion"/>
      <w:r>
        <w:t>Conclusion</w:t>
      </w:r>
      <w:bookmarkEnd w:id="80"/>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w:t>
      </w:r>
      <w:r>
        <w:lastRenderedPageBreak/>
        <w:t>requires not only more deployment, but better measurement of who can actually use, benefit from, and rely on each technology.</w:t>
      </w:r>
      <w:r w:rsidR="00524914">
        <w:t xml:space="preserve"> </w:t>
      </w:r>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25DC1DD8" w14:textId="77777777" w:rsidR="00B86A12" w:rsidRDefault="00000000">
      <w:pPr>
        <w:pStyle w:val="Heading1"/>
      </w:pPr>
      <w:bookmarkStart w:id="81" w:name="_Ref_sec_appendix"/>
      <w:commentRangeStart w:id="82"/>
      <w:r>
        <w:t>Appendix: Additional Robustness Visuals</w:t>
      </w:r>
      <w:bookmarkEnd w:id="81"/>
      <w:commentRangeEnd w:id="82"/>
      <w:r w:rsidR="002E28C7">
        <w:rPr>
          <w:rStyle w:val="CommentReference"/>
          <w:sz w:val="28"/>
          <w:szCs w:val="28"/>
        </w:rPr>
        <w:commentReference w:id="82"/>
      </w:r>
    </w:p>
    <w:p w14:paraId="0871B207" w14:textId="27A60296" w:rsidR="00B86A12" w:rsidRDefault="00000000">
      <w:r>
        <w:t>This appendix keeps the heavier visual material out of the main results flow while preserving model-comparison, spatial, wind, and housing-control checks (</w:t>
      </w:r>
      <w:r w:rsidR="0019795D">
        <w:fldChar w:fldCharType="begin"/>
      </w:r>
      <w:r w:rsidR="0019795D">
        <w:instrText xml:space="preserve"> REF _Ref_fig17 \h </w:instrText>
      </w:r>
      <w:r w:rsidR="0019795D">
        <w:fldChar w:fldCharType="separate"/>
      </w:r>
      <w:r w:rsidR="0019795D">
        <w:t xml:space="preserve">Figure </w:t>
      </w:r>
      <w:r w:rsidR="0019795D">
        <w:rPr>
          <w:noProof/>
        </w:rPr>
        <w:t>17</w:t>
      </w:r>
      <w:r w:rsidR="0019795D">
        <w:fldChar w:fldCharType="end"/>
      </w:r>
      <w:r>
        <w:t xml:space="preserve">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bookmarkStart w:id="83" w:name="_Ref_fig17"/>
      <w:r>
        <w:t xml:space="preserve">Figure </w:t>
      </w:r>
      <w:fldSimple w:instr=" SEQ Figure \* ARABIC ">
        <w:r>
          <w:rPr>
            <w:noProof/>
          </w:rPr>
          <w:t>17</w:t>
        </w:r>
      </w:fldSimple>
      <w:bookmarkEnd w:id="83"/>
      <w:r>
        <w:t xml:space="preserve">: </w:t>
      </w:r>
      <w:r w:rsidRPr="00D3151F">
        <w:t>Storage adoption: cross-validated predictive comparison of linear and nonlinear models. Error bars are +/- 1 SD across the five cross-validation folds.</w:t>
      </w:r>
    </w:p>
    <w:p w14:paraId="3B2E49EB" w14:textId="12FA7D03" w:rsidR="00B86A12" w:rsidRDefault="00000000">
      <w:r>
        <w:t>Storage model-comparison figure (</w:t>
      </w:r>
      <w:r w:rsidR="0019795D">
        <w:fldChar w:fldCharType="begin"/>
      </w:r>
      <w:r w:rsidR="0019795D">
        <w:instrText xml:space="preserve"> REF _Ref_fig17 \h </w:instrText>
      </w:r>
      <w:r w:rsidR="0019795D">
        <w:fldChar w:fldCharType="separate"/>
      </w:r>
      <w:r w:rsidR="0019795D">
        <w:t xml:space="preserve">Figure </w:t>
      </w:r>
      <w:r w:rsidR="0019795D">
        <w:rPr>
          <w:noProof/>
        </w:rPr>
        <w:t>17</w:t>
      </w:r>
      <w:r w:rsidR="0019795D">
        <w:fldChar w:fldCharType="end"/>
      </w:r>
      <w:r>
        <w:t>). The same appendix folder also includes EV charging (</w:t>
      </w:r>
      <w:r w:rsidR="0019795D">
        <w:fldChar w:fldCharType="begin"/>
      </w:r>
      <w:r w:rsidR="0019795D">
        <w:instrText xml:space="preserve"> REF _Ref_fig18 \h </w:instrText>
      </w:r>
      <w:r w:rsidR="0019795D">
        <w:fldChar w:fldCharType="separate"/>
      </w:r>
      <w:r w:rsidR="0019795D">
        <w:t xml:space="preserve">Figure </w:t>
      </w:r>
      <w:r w:rsidR="0019795D">
        <w:rPr>
          <w:noProof/>
        </w:rPr>
        <w:t>18</w:t>
      </w:r>
      <w:r w:rsidR="0019795D">
        <w:fldChar w:fldCharType="end"/>
      </w:r>
      <w:r>
        <w:t>) and wind (</w:t>
      </w:r>
      <w:r w:rsidR="0019795D">
        <w:fldChar w:fldCharType="begin"/>
      </w:r>
      <w:r w:rsidR="0019795D">
        <w:instrText xml:space="preserve"> REF _Ref_fig20 \h </w:instrText>
      </w:r>
      <w:r w:rsidR="0019795D">
        <w:fldChar w:fldCharType="separate"/>
      </w:r>
      <w:r w:rsidR="0019795D">
        <w:t xml:space="preserve">Figure </w:t>
      </w:r>
      <w:r w:rsidR="0019795D">
        <w:rPr>
          <w:noProof/>
        </w:rPr>
        <w:t>20</w:t>
      </w:r>
      <w:r w:rsidR="0019795D">
        <w:fldChar w:fldCharType="end"/>
      </w:r>
      <w:r>
        <w:t>)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bookmarkStart w:id="84" w:name="_Ref_fig18"/>
      <w:r>
        <w:t xml:space="preserve">Figure </w:t>
      </w:r>
      <w:fldSimple w:instr=" SEQ Figure \* ARABIC ">
        <w:r>
          <w:rPr>
            <w:noProof/>
          </w:rPr>
          <w:t>18</w:t>
        </w:r>
      </w:fldSimple>
      <w:bookmarkEnd w:id="84"/>
      <w:r>
        <w:t xml:space="preserve">: </w:t>
      </w:r>
      <w:r w:rsidRPr="00B053F2">
        <w:t>Aggregate EV charging: cross-validated predictive comparison of linear and nonlinear models.</w:t>
      </w:r>
    </w:p>
    <w:p w14:paraId="1422C039" w14:textId="0418371E" w:rsidR="00B86A12" w:rsidRDefault="00000000">
      <w:r>
        <w:t>Aggregate charging comparison across the model ladder (</w:t>
      </w:r>
      <w:r w:rsidR="0019795D">
        <w:fldChar w:fldCharType="begin"/>
      </w:r>
      <w:r w:rsidR="0019795D">
        <w:instrText xml:space="preserve"> REF _Ref_fig18 \h </w:instrText>
      </w:r>
      <w:r w:rsidR="0019795D">
        <w:fldChar w:fldCharType="separate"/>
      </w:r>
      <w:r w:rsidR="0019795D">
        <w:t xml:space="preserve">Figure </w:t>
      </w:r>
      <w:r w:rsidR="0019795D">
        <w:rPr>
          <w:noProof/>
        </w:rPr>
        <w:t>18</w:t>
      </w:r>
      <w:r w:rsidR="0019795D">
        <w:fldChar w:fldCharType="end"/>
      </w:r>
      <w:r>
        <w:t>), included here rather than inline so the main section can focus on the headline robustness (</w:t>
      </w:r>
      <w:r w:rsidR="0019795D">
        <w:fldChar w:fldCharType="begin"/>
      </w:r>
      <w:r w:rsidR="0019795D">
        <w:instrText xml:space="preserve"> REF _Ref_fig8 \h </w:instrText>
      </w:r>
      <w:r w:rsidR="0019795D">
        <w:fldChar w:fldCharType="separate"/>
      </w:r>
      <w:r w:rsidR="0019795D">
        <w:t xml:space="preserve">Figure </w:t>
      </w:r>
      <w:r w:rsidR="0019795D">
        <w:rPr>
          <w:noProof/>
        </w:rPr>
        <w:t>8</w:t>
      </w:r>
      <w:r w:rsidR="0019795D">
        <w:fldChar w:fldCharType="end"/>
      </w:r>
      <w:r>
        <w:t>) and subtype composition (</w:t>
      </w:r>
      <w:r w:rsidR="0019795D">
        <w:fldChar w:fldCharType="begin"/>
      </w:r>
      <w:r w:rsidR="0019795D">
        <w:instrText xml:space="preserve"> REF _Ref_fig9 \h </w:instrText>
      </w:r>
      <w:r w:rsidR="0019795D">
        <w:fldChar w:fldCharType="separate"/>
      </w:r>
      <w:r w:rsidR="0019795D">
        <w:t xml:space="preserve">Figure </w:t>
      </w:r>
      <w:r w:rsidR="0019795D">
        <w:rPr>
          <w:noProof/>
        </w:rPr>
        <w:t>9</w:t>
      </w:r>
      <w:r w:rsidR="0019795D">
        <w:fldChar w:fldCharType="end"/>
      </w:r>
      <w:r>
        <w:t>)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fldSimple w:instr=" SEQ Figure \* ARABIC ">
        <w:r>
          <w:rPr>
            <w:noProof/>
          </w:rPr>
          <w:t>19</w:t>
        </w:r>
      </w:fldSimple>
      <w:bookmarkEnd w:id="85"/>
      <w:r>
        <w:t xml:space="preserve">: </w:t>
      </w:r>
      <w:r w:rsidRPr="00D75DDC">
        <w:t>Representative baseline spatial output for rooftop PV: observed adoption and Model 1 standardized residuals by ZIP/ZCTA.</w:t>
      </w:r>
    </w:p>
    <w:p w14:paraId="79D8B383" w14:textId="314D9FBB" w:rsidR="00B86A12" w:rsidRDefault="00000000">
      <w:r>
        <w:t>Representative baseline spatial output for rooftop PV (</w:t>
      </w:r>
      <w:r w:rsidR="0019795D">
        <w:fldChar w:fldCharType="begin"/>
      </w:r>
      <w:r w:rsidR="0019795D">
        <w:instrText xml:space="preserve"> REF _Ref_fig19 \h </w:instrText>
      </w:r>
      <w:r w:rsidR="0019795D">
        <w:fldChar w:fldCharType="separate"/>
      </w:r>
      <w:r w:rsidR="0019795D">
        <w:t xml:space="preserve">Figure </w:t>
      </w:r>
      <w:r w:rsidR="0019795D">
        <w:rPr>
          <w:noProof/>
        </w:rPr>
        <w:t>19</w:t>
      </w:r>
      <w:r w:rsidR="0019795D">
        <w:fldChar w:fldCharType="end"/>
      </w:r>
      <w:r>
        <w:t>). Matching storage and charging spatial maps are linked in the same appendix asset folder; the statewide observed geography for all three outcomes is shown in</w:t>
      </w:r>
      <w:r w:rsidR="0019795D">
        <w:t xml:space="preserve"> </w:t>
      </w:r>
      <w:r w:rsidR="0019795D">
        <w:fldChar w:fldCharType="begin"/>
      </w:r>
      <w:r w:rsidR="0019795D">
        <w:instrText xml:space="preserve"> REF _Ref_fig1 \h </w:instrText>
      </w:r>
      <w:r w:rsidR="0019795D">
        <w:fldChar w:fldCharType="separate"/>
      </w:r>
      <w:r w:rsidR="0019795D">
        <w:t xml:space="preserve">Figure </w:t>
      </w:r>
      <w:r w:rsidR="0019795D">
        <w:rPr>
          <w:noProof/>
        </w:rPr>
        <w:t>1</w:t>
      </w:r>
      <w:r w:rsidR="0019795D">
        <w:fldChar w:fldCharType="end"/>
      </w:r>
      <w:r>
        <w:t>.</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bookmarkStart w:id="86" w:name="_Ref_fig20"/>
      <w:r>
        <w:t xml:space="preserve">Figure </w:t>
      </w:r>
      <w:fldSimple w:instr=" SEQ Figure \* ARABIC ">
        <w:r>
          <w:rPr>
            <w:noProof/>
          </w:rPr>
          <w:t>20</w:t>
        </w:r>
      </w:fldSimple>
      <w:bookmarkEnd w:id="86"/>
      <w:r>
        <w:t xml:space="preserve">: </w:t>
      </w:r>
      <w:r w:rsidRPr="00D67ABE">
        <w:t>Wind capacity: cross-validated predictive comparison of linear and nonlinear models, included as contextual material.</w:t>
      </w:r>
    </w:p>
    <w:p w14:paraId="778B1E77" w14:textId="64E055E7" w:rsidR="00B86A12" w:rsidRDefault="00000000">
      <w:r>
        <w:t>Wind remains supplementary in the paper (Section 4.8), but the model-comparison export (</w:t>
      </w:r>
      <w:r w:rsidR="0019795D">
        <w:fldChar w:fldCharType="begin"/>
      </w:r>
      <w:r w:rsidR="0019795D">
        <w:instrText xml:space="preserve"> REF _Ref_fig20 \h </w:instrText>
      </w:r>
      <w:r w:rsidR="0019795D">
        <w:fldChar w:fldCharType="separate"/>
      </w:r>
      <w:r w:rsidR="0019795D">
        <w:t xml:space="preserve">Figure </w:t>
      </w:r>
      <w:r w:rsidR="0019795D">
        <w:rPr>
          <w:noProof/>
        </w:rPr>
        <w:t>20</w:t>
      </w:r>
      <w:r w:rsidR="0019795D">
        <w:fldChar w:fldCharType="end"/>
      </w:r>
      <w:r>
        <w:t>)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bookmarkStart w:id="87" w:name="_Ref_fig21"/>
      <w:r>
        <w:t xml:space="preserve">Figure </w:t>
      </w:r>
      <w:fldSimple w:instr=" SEQ Figure \* ARABIC ">
        <w:r>
          <w:rPr>
            <w:noProof/>
          </w:rPr>
          <w:t>21</w:t>
        </w:r>
      </w:fldSimple>
      <w:bookmarkEnd w:id="87"/>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8" w:name="_Ref_sec_appx_diag"/>
      <w:r>
        <w:t>Statistical robustness and diagnostics</w:t>
      </w:r>
      <w:bookmarkEnd w:id="88"/>
    </w:p>
    <w:p w14:paraId="2638D8CF" w14:textId="3C2E2FDC" w:rsidR="00184A8A" w:rsidRDefault="3DC018EE">
      <w:r>
        <w:t>The remainder of the appendix reports diagnostic checks on the estimating equations rather than additional descriptive figures (</w:t>
      </w:r>
      <w:r>
        <w:fldChar w:fldCharType="begin"/>
      </w:r>
      <w:r>
        <w:instrText xml:space="preserve"> REF _Ref_tbl_vif \h </w:instrText>
      </w:r>
      <w:r>
        <w:fldChar w:fldCharType="separate"/>
      </w:r>
      <w:r>
        <w:t>Table 7</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fldChar w:fldCharType="begin"/>
      </w:r>
      <w:r>
        <w:instrText xml:space="preserve"> REF _Ref_sec_m_robustness \r \h </w:instrText>
      </w:r>
      <w:r>
        <w:fldChar w:fldCharType="separate"/>
      </w:r>
      <w:r>
        <w:t>6.9</w:t>
      </w:r>
      <w:r>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w14:paraId="7314E097" w14:textId="77777777" w:rsidR="00184A8A" w:rsidRDefault="3DC018EE">
      <w:pPr>
        <w:pStyle w:val="Caption"/>
        <w:keepNext/>
      </w:pPr>
      <w:bookmarkStart w:id="89" w:name="_Ref_tbl_vif"/>
      <w:r>
        <w:t xml:space="preserve">Table </w:t>
      </w:r>
      <w:fldSimple w:instr=" SEQ Table \* ARABIC ">
        <w:r>
          <w:t>7</w:t>
        </w:r>
      </w:fldSimple>
      <w:bookmarkEnd w:id="89"/>
      <w:r>
        <w:t>: Variance inflation factors across four Solar PV specifications. Values above about 10 indicate a coefficient is not separately identified; an em dash means the predictor does not enter that model.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125EA7F5" w14:textId="77777777" w:rsidTr="3DC018EE">
        <w:trPr>
          <w:trHeight w:val="300"/>
          <w:tblHeader/>
        </w:trPr>
        <w:tc>
          <w:tcPr>
            <w:tcW w:w="2600" w:type="dxa"/>
            <w:tcBorders>
              <w:bottom w:val="single" w:sz="6" w:space="0" w:color="auto"/>
            </w:tcBorders>
            <w:shd w:val="clear" w:color="auto" w:fill="F2EFE7"/>
          </w:tcPr>
          <w:p w14:paraId="02F8F6F2" w14:textId="77777777" w:rsidR="00184A8A" w:rsidRDefault="3DC018EE">
            <w:r>
              <w:rPr>
                <w:b/>
                <w:bCs/>
              </w:rPr>
              <w:t>Predictor</w:t>
            </w:r>
          </w:p>
        </w:tc>
        <w:tc>
          <w:tcPr>
            <w:tcW w:w="1500" w:type="dxa"/>
            <w:tcBorders>
              <w:bottom w:val="single" w:sz="6" w:space="0" w:color="auto"/>
            </w:tcBorders>
            <w:shd w:val="clear" w:color="auto" w:fill="F2EFE7"/>
          </w:tcPr>
          <w:p w14:paraId="24265F95" w14:textId="77777777" w:rsidR="00184A8A" w:rsidRDefault="3DC018EE">
            <w:r>
              <w:rPr>
                <w:b/>
                <w:bCs/>
              </w:rPr>
              <w:t>M1 baseline</w:t>
            </w:r>
          </w:p>
        </w:tc>
        <w:tc>
          <w:tcPr>
            <w:tcW w:w="1700" w:type="dxa"/>
            <w:tcBorders>
              <w:bottom w:val="single" w:sz="6" w:space="0" w:color="auto"/>
            </w:tcBorders>
            <w:shd w:val="clear" w:color="auto" w:fill="F2EFE7"/>
          </w:tcPr>
          <w:p w14:paraId="6F2D9D69" w14:textId="77777777" w:rsidR="00184A8A" w:rsidRDefault="3DC018EE">
            <w:r>
              <w:rPr>
                <w:b/>
                <w:bCs/>
              </w:rPr>
              <w:t>M2 + housing value</w:t>
            </w:r>
          </w:p>
        </w:tc>
        <w:tc>
          <w:tcPr>
            <w:tcW w:w="1900" w:type="dxa"/>
            <w:tcBorders>
              <w:bottom w:val="single" w:sz="6" w:space="0" w:color="auto"/>
            </w:tcBorders>
            <w:shd w:val="clear" w:color="auto" w:fill="F2EFE7"/>
          </w:tcPr>
          <w:p w14:paraId="43FCC486" w14:textId="77777777" w:rsidR="00184A8A" w:rsidRDefault="3DC018EE">
            <w:r>
              <w:rPr>
                <w:b/>
                <w:bCs/>
              </w:rPr>
              <w:t>M2D + structure/tenure</w:t>
            </w:r>
          </w:p>
        </w:tc>
        <w:tc>
          <w:tcPr>
            <w:tcW w:w="2100" w:type="dxa"/>
            <w:tcBorders>
              <w:bottom w:val="single" w:sz="6" w:space="0" w:color="auto"/>
            </w:tcBorders>
            <w:shd w:val="clear" w:color="auto" w:fill="F2EFE7"/>
          </w:tcPr>
          <w:p w14:paraId="530C1A6D" w14:textId="77777777" w:rsidR="00184A8A" w:rsidRDefault="3DC018EE">
            <w:r>
              <w:rPr>
                <w:b/>
                <w:bCs/>
              </w:rP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shd w:val="clear" w:color="auto" w:fill="F6E7D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shd w:val="clear" w:color="auto" w:fill="E8CDBD"/>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shd w:val="clear" w:color="auto" w:fill="E8CDBD"/>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shd w:val="clear" w:color="auto" w:fill="F6E7DA"/>
          </w:tcPr>
          <w:p w14:paraId="067F1B9A" w14:textId="77777777" w:rsidR="00184A8A" w:rsidRDefault="00000000">
            <w:r>
              <w:t>5.30</w:t>
            </w:r>
          </w:p>
        </w:tc>
        <w:tc>
          <w:tcPr>
            <w:tcW w:w="2100" w:type="dxa"/>
            <w:shd w:val="clear" w:color="auto" w:fill="E8CDBD"/>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90"/>
      <w:r>
        <w:t xml:space="preserve">We compute it on the OLS residuals </w:t>
      </w:r>
      <w:commentRangeEnd w:id="90"/>
      <w:r w:rsidR="002B7396">
        <w:rPr>
          <w:rStyle w:val="CommentReference"/>
          <w:sz w:val="22"/>
          <w:szCs w:val="22"/>
        </w:rPr>
        <w:commentReference w:id="90"/>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are the correction we adopt. Results are stable across four, eight and sixteen </w:t>
      </w:r>
      <w:r w:rsidR="00585544">
        <w:t>neighbors</w:t>
      </w:r>
      <w:r>
        <w:t>.</w:t>
      </w:r>
    </w:p>
    <w:p w14:paraId="7440A561" w14:textId="5C7BE227" w:rsidR="00184A8A" w:rsidRDefault="3DC018EE">
      <w:pPr>
        <w:pStyle w:val="Caption"/>
        <w:keepNext/>
      </w:pPr>
      <w:bookmarkStart w:id="91" w:name="_Ref_tbl_moran"/>
      <w:r>
        <w:t xml:space="preserve">Table </w:t>
      </w:r>
      <w:fldSimple w:instr=" SEQ Table \* ARABIC ">
        <w:r>
          <w:t>8</w:t>
        </w:r>
      </w:fldSimple>
      <w:bookmarkEnd w:id="91"/>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510B72F5" w14:textId="77777777" w:rsidTr="3DC018EE">
        <w:trPr>
          <w:trHeight w:val="300"/>
          <w:tblHeader/>
        </w:trPr>
        <w:tc>
          <w:tcPr>
            <w:tcW w:w="2600" w:type="dxa"/>
            <w:tcBorders>
              <w:bottom w:val="single" w:sz="6" w:space="0" w:color="auto"/>
            </w:tcBorders>
            <w:shd w:val="clear" w:color="auto" w:fill="F2EFE7"/>
          </w:tcPr>
          <w:p w14:paraId="6F158108" w14:textId="77777777" w:rsidR="00184A8A" w:rsidRDefault="3DC018EE">
            <w:r>
              <w:rPr>
                <w:b/>
                <w:bCs/>
              </w:rPr>
              <w:t>Outcome</w:t>
            </w:r>
          </w:p>
        </w:tc>
        <w:tc>
          <w:tcPr>
            <w:tcW w:w="1500" w:type="dxa"/>
            <w:tcBorders>
              <w:bottom w:val="single" w:sz="6" w:space="0" w:color="auto"/>
            </w:tcBorders>
            <w:shd w:val="clear" w:color="auto" w:fill="F2EFE7"/>
          </w:tcPr>
          <w:p w14:paraId="2704076B" w14:textId="77777777" w:rsidR="00184A8A" w:rsidRDefault="3DC018EE">
            <w:r>
              <w:rPr>
                <w:b/>
                <w:bCs/>
              </w:rPr>
              <w:t>M1 baseline</w:t>
            </w:r>
          </w:p>
        </w:tc>
        <w:tc>
          <w:tcPr>
            <w:tcW w:w="1700" w:type="dxa"/>
            <w:tcBorders>
              <w:bottom w:val="single" w:sz="6" w:space="0" w:color="auto"/>
            </w:tcBorders>
            <w:shd w:val="clear" w:color="auto" w:fill="F2EFE7"/>
          </w:tcPr>
          <w:p w14:paraId="609D62EB" w14:textId="77777777" w:rsidR="00184A8A" w:rsidRDefault="3DC018EE">
            <w:r>
              <w:rPr>
                <w:b/>
                <w:bCs/>
              </w:rPr>
              <w:t>M6A + lat/lon</w:t>
            </w:r>
          </w:p>
        </w:tc>
        <w:tc>
          <w:tcPr>
            <w:tcW w:w="1900" w:type="dxa"/>
            <w:tcBorders>
              <w:bottom w:val="single" w:sz="6" w:space="0" w:color="auto"/>
            </w:tcBorders>
            <w:shd w:val="clear" w:color="auto" w:fill="F2EFE7"/>
          </w:tcPr>
          <w:p w14:paraId="10E8C36A" w14:textId="77777777" w:rsidR="00184A8A" w:rsidRDefault="3DC018EE">
            <w:r>
              <w:rPr>
                <w:b/>
                <w:bCs/>
              </w:rPr>
              <w:t>M6B county FE</w:t>
            </w:r>
          </w:p>
        </w:tc>
        <w:tc>
          <w:tcPr>
            <w:tcW w:w="2100" w:type="dxa"/>
            <w:tcBorders>
              <w:bottom w:val="single" w:sz="6" w:space="0" w:color="auto"/>
            </w:tcBorders>
            <w:shd w:val="clear" w:color="auto" w:fill="F2EFE7"/>
          </w:tcPr>
          <w:p w14:paraId="4C9D7E84" w14:textId="77777777" w:rsidR="00184A8A" w:rsidRDefault="3DC018EE">
            <w:r>
              <w:rPr>
                <w:b/>
                <w:bCs/>
              </w:rP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shd w:val="clear" w:color="auto" w:fill="D9D1BC"/>
          </w:tcPr>
          <w:p w14:paraId="79DA8BF7" w14:textId="77777777" w:rsidR="00184A8A" w:rsidRDefault="00000000">
            <w:r>
              <w:t>0.437</w:t>
            </w:r>
          </w:p>
        </w:tc>
        <w:tc>
          <w:tcPr>
            <w:tcW w:w="1700" w:type="dxa"/>
            <w:shd w:val="clear" w:color="auto" w:fill="D9D1BC"/>
          </w:tcPr>
          <w:p w14:paraId="503888C7" w14:textId="77777777" w:rsidR="00184A8A" w:rsidRDefault="00000000">
            <w:r>
              <w:t>0.426</w:t>
            </w:r>
          </w:p>
        </w:tc>
        <w:tc>
          <w:tcPr>
            <w:tcW w:w="1900" w:type="dxa"/>
            <w:shd w:val="clear" w:color="auto" w:fill="F4F1EA"/>
          </w:tcPr>
          <w:p w14:paraId="23E4127C" w14:textId="77777777" w:rsidR="00184A8A" w:rsidRDefault="00000000">
            <w:r>
              <w:t>0.145</w:t>
            </w:r>
          </w:p>
        </w:tc>
        <w:tc>
          <w:tcPr>
            <w:tcW w:w="2100" w:type="dxa"/>
            <w:shd w:val="clear" w:color="auto" w:fill="D9D1BC"/>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shd w:val="clear" w:color="auto" w:fill="D9D1BC"/>
          </w:tcPr>
          <w:p w14:paraId="6512CA35" w14:textId="77777777" w:rsidR="00184A8A" w:rsidRDefault="00000000">
            <w:r>
              <w:t>0.319</w:t>
            </w:r>
          </w:p>
        </w:tc>
        <w:tc>
          <w:tcPr>
            <w:tcW w:w="1700" w:type="dxa"/>
            <w:shd w:val="clear" w:color="auto" w:fill="D9D1BC"/>
          </w:tcPr>
          <w:p w14:paraId="1CE43A6F" w14:textId="77777777" w:rsidR="00184A8A" w:rsidRDefault="00000000">
            <w:r>
              <w:t>0.314</w:t>
            </w:r>
          </w:p>
        </w:tc>
        <w:tc>
          <w:tcPr>
            <w:tcW w:w="1900" w:type="dxa"/>
            <w:shd w:val="clear" w:color="auto" w:fill="F4F1EA"/>
          </w:tcPr>
          <w:p w14:paraId="7AA26C5E" w14:textId="77777777" w:rsidR="00184A8A" w:rsidRDefault="00000000">
            <w:r>
              <w:t>0.096</w:t>
            </w:r>
          </w:p>
        </w:tc>
        <w:tc>
          <w:tcPr>
            <w:tcW w:w="2100" w:type="dxa"/>
            <w:shd w:val="clear" w:color="auto" w:fill="E7E1D3"/>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shd w:val="clear" w:color="auto" w:fill="F4F1EA"/>
          </w:tcPr>
          <w:p w14:paraId="31684376" w14:textId="77777777" w:rsidR="00184A8A" w:rsidRDefault="00000000">
            <w:r>
              <w:t>0.140</w:t>
            </w:r>
          </w:p>
        </w:tc>
        <w:tc>
          <w:tcPr>
            <w:tcW w:w="1700" w:type="dxa"/>
            <w:shd w:val="clear" w:color="auto" w:fill="F4F1EA"/>
          </w:tcPr>
          <w:p w14:paraId="07F0DB4A" w14:textId="77777777" w:rsidR="00184A8A" w:rsidRDefault="00000000">
            <w:r>
              <w:t>0.132</w:t>
            </w:r>
          </w:p>
        </w:tc>
        <w:tc>
          <w:tcPr>
            <w:tcW w:w="1900" w:type="dxa"/>
            <w:shd w:val="clear" w:color="auto" w:fill="F4F1EA"/>
          </w:tcPr>
          <w:p w14:paraId="3E195C0E" w14:textId="77777777" w:rsidR="00184A8A" w:rsidRDefault="00000000">
            <w:r>
              <w:t>0.078</w:t>
            </w:r>
          </w:p>
        </w:tc>
        <w:tc>
          <w:tcPr>
            <w:tcW w:w="2100" w:type="dxa"/>
            <w:shd w:val="clear" w:color="auto" w:fill="F4F1E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shd w:val="clear" w:color="auto" w:fill="E7E1D3"/>
          </w:tcPr>
          <w:p w14:paraId="6E1B6FF6" w14:textId="77777777" w:rsidR="00184A8A" w:rsidRDefault="00000000">
            <w:r>
              <w:t>0.162</w:t>
            </w:r>
          </w:p>
        </w:tc>
        <w:tc>
          <w:tcPr>
            <w:tcW w:w="1700" w:type="dxa"/>
            <w:shd w:val="clear" w:color="auto" w:fill="E7E1D3"/>
          </w:tcPr>
          <w:p w14:paraId="2DA311B3" w14:textId="77777777" w:rsidR="00184A8A" w:rsidRDefault="00000000">
            <w:r>
              <w:t>0.152</w:t>
            </w:r>
          </w:p>
        </w:tc>
        <w:tc>
          <w:tcPr>
            <w:tcW w:w="1900" w:type="dxa"/>
            <w:shd w:val="clear" w:color="auto" w:fill="F4F1EA"/>
          </w:tcPr>
          <w:p w14:paraId="63EAD811" w14:textId="77777777" w:rsidR="00184A8A" w:rsidRDefault="00000000">
            <w:r>
              <w:t>0.100</w:t>
            </w:r>
          </w:p>
        </w:tc>
        <w:tc>
          <w:tcPr>
            <w:tcW w:w="2100" w:type="dxa"/>
            <w:shd w:val="clear" w:color="auto" w:fill="F4F1E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shd w:val="clear" w:color="auto" w:fill="D9D1BC"/>
          </w:tcPr>
          <w:p w14:paraId="0C644E16" w14:textId="77777777" w:rsidR="00184A8A" w:rsidRDefault="00000000">
            <w:r>
              <w:t>0.352</w:t>
            </w:r>
          </w:p>
        </w:tc>
        <w:tc>
          <w:tcPr>
            <w:tcW w:w="1700" w:type="dxa"/>
            <w:shd w:val="clear" w:color="auto" w:fill="D9D1BC"/>
          </w:tcPr>
          <w:p w14:paraId="7F1469D8" w14:textId="77777777" w:rsidR="00184A8A" w:rsidRDefault="00000000">
            <w:r>
              <w:t>0.434</w:t>
            </w:r>
          </w:p>
        </w:tc>
        <w:tc>
          <w:tcPr>
            <w:tcW w:w="1900" w:type="dxa"/>
            <w:shd w:val="clear" w:color="auto" w:fill="E7E1D3"/>
          </w:tcPr>
          <w:p w14:paraId="4D2D8B17" w14:textId="77777777" w:rsidR="00184A8A" w:rsidRDefault="00000000">
            <w:r>
              <w:t>0.275</w:t>
            </w:r>
          </w:p>
        </w:tc>
        <w:tc>
          <w:tcPr>
            <w:tcW w:w="2100" w:type="dxa"/>
            <w:shd w:val="clear" w:color="auto" w:fill="E7E1D3"/>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shd w:val="clear" w:color="auto" w:fill="E7E1D3"/>
          </w:tcPr>
          <w:p w14:paraId="6E2A4BA6" w14:textId="77777777" w:rsidR="00184A8A" w:rsidRDefault="00000000">
            <w:r>
              <w:t>0.153</w:t>
            </w:r>
          </w:p>
        </w:tc>
        <w:tc>
          <w:tcPr>
            <w:tcW w:w="1700" w:type="dxa"/>
            <w:shd w:val="clear" w:color="auto" w:fill="F4F1EA"/>
          </w:tcPr>
          <w:p w14:paraId="67A50AF9" w14:textId="77777777" w:rsidR="00184A8A" w:rsidRDefault="00000000">
            <w:r>
              <w:t>0.142</w:t>
            </w:r>
          </w:p>
        </w:tc>
        <w:tc>
          <w:tcPr>
            <w:tcW w:w="1900" w:type="dxa"/>
            <w:shd w:val="clear" w:color="auto" w:fill="F4F1EA"/>
          </w:tcPr>
          <w:p w14:paraId="41A2F369" w14:textId="77777777" w:rsidR="00184A8A" w:rsidRDefault="00000000">
            <w:r>
              <w:t>0.112</w:t>
            </w:r>
          </w:p>
        </w:tc>
        <w:tc>
          <w:tcPr>
            <w:tcW w:w="2100" w:type="dxa"/>
            <w:shd w:val="clear" w:color="auto" w:fill="F4F1E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fldChar w:fldCharType="begin"/>
      </w:r>
      <w:r>
        <w:instrText xml:space="preserve"> REF _Ref_tbl_moran \h </w:instrText>
      </w:r>
      <w:r>
        <w:fldChar w:fldCharType="separate"/>
      </w:r>
      <w:r>
        <w:t>Table 8</w:t>
      </w:r>
      <w:r>
        <w:fldChar w:fldCharType="end"/>
      </w:r>
      <w:r>
        <w:t xml:space="preserve">), </w:t>
      </w:r>
      <w:r w:rsidR="001F19B7">
        <w:t>we</w:t>
      </w:r>
      <w:r>
        <w:t xml:space="preserve"> recompute the baseline standard errors following </w:t>
      </w:r>
      <w:commentRangeStart w:id="92"/>
      <w:r>
        <w:t xml:space="preserve">Conley (1999) </w:t>
      </w:r>
      <w:hyperlink w:anchor="_Ref_src25" w:history="1">
        <w:r>
          <w:t>[25]</w:t>
        </w:r>
      </w:hyperlink>
      <w:r>
        <w:t xml:space="preserve"> </w:t>
      </w:r>
      <w:commentRangeEnd w:id="92"/>
      <w:r w:rsidR="00B7718C">
        <w:rPr>
          <w:rStyle w:val="CommentReference"/>
          <w:sz w:val="22"/>
          <w:szCs w:val="22"/>
        </w:rPr>
        <w:commentReference w:id="92"/>
      </w:r>
      <w:r>
        <w:t>(</w:t>
      </w:r>
      <w:r>
        <w:fldChar w:fldCharType="begin"/>
      </w:r>
      <w:r>
        <w:instrText xml:space="preserve"> REF _Ref_tbl_conley \h </w:instrText>
      </w:r>
      <w:r>
        <w:fldChar w:fldCharType="separate"/>
      </w:r>
      <w:r>
        <w:t>Table 9</w:t>
      </w:r>
      <w:r>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3" w:name="_Ref_tbl_conley"/>
      <w:bookmarkStart w:id="94" w:name="_Ref237519824"/>
      <w:r>
        <w:t xml:space="preserve">Table </w:t>
      </w:r>
      <w:fldSimple w:instr=" SEQ Table \* ARABIC ">
        <w:r>
          <w:t>9</w:t>
        </w:r>
      </w:fldSimple>
      <w:bookmarkEnd w:id="93"/>
      <w:r>
        <w:t>: Conley spatial HAC standard errors for the baseline specification, Bartlett kernel over great-circle distance. Coefficients are identical across columns; only the standard errors differ. Stars denote significance under each estimator.</w:t>
      </w:r>
      <w:bookmarkEnd w:id="94"/>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rHeight w:val="300"/>
          <w:tblHeader/>
        </w:trPr>
        <w:tc>
          <w:tcPr>
            <w:tcW w:w="2400" w:type="dxa"/>
            <w:tcBorders>
              <w:bottom w:val="single" w:sz="6" w:space="0" w:color="auto"/>
            </w:tcBorders>
            <w:shd w:val="clear" w:color="auto" w:fill="F2EFE7"/>
          </w:tcPr>
          <w:p w14:paraId="06856C2B" w14:textId="77777777" w:rsidR="00184A8A" w:rsidRDefault="3DC018EE">
            <w:r>
              <w:rPr>
                <w:b/>
                <w:bCs/>
              </w:rPr>
              <w:t>Term</w:t>
            </w:r>
          </w:p>
        </w:tc>
        <w:tc>
          <w:tcPr>
            <w:tcW w:w="1400" w:type="dxa"/>
            <w:tcBorders>
              <w:bottom w:val="single" w:sz="6" w:space="0" w:color="auto"/>
            </w:tcBorders>
            <w:shd w:val="clear" w:color="auto" w:fill="F2EFE7"/>
          </w:tcPr>
          <w:p w14:paraId="47936764" w14:textId="77777777" w:rsidR="00184A8A" w:rsidRDefault="3DC018EE">
            <w:r>
              <w:rPr>
                <w:b/>
                <w:bCs/>
              </w:rPr>
              <w:t>Coefficient</w:t>
            </w:r>
          </w:p>
        </w:tc>
        <w:tc>
          <w:tcPr>
            <w:tcW w:w="1400" w:type="dxa"/>
            <w:tcBorders>
              <w:bottom w:val="single" w:sz="6" w:space="0" w:color="auto"/>
            </w:tcBorders>
            <w:shd w:val="clear" w:color="auto" w:fill="F2EFE7"/>
          </w:tcPr>
          <w:p w14:paraId="7CF242E3" w14:textId="77777777" w:rsidR="00184A8A" w:rsidRDefault="3DC018EE">
            <w:r>
              <w:rPr>
                <w:b/>
                <w:bCs/>
              </w:rPr>
              <w:t>HC1</w:t>
            </w:r>
          </w:p>
        </w:tc>
        <w:tc>
          <w:tcPr>
            <w:tcW w:w="1500" w:type="dxa"/>
            <w:tcBorders>
              <w:bottom w:val="single" w:sz="6" w:space="0" w:color="auto"/>
            </w:tcBorders>
            <w:shd w:val="clear" w:color="auto" w:fill="F2EFE7"/>
          </w:tcPr>
          <w:p w14:paraId="74FCFD51" w14:textId="77777777" w:rsidR="00184A8A" w:rsidRDefault="3DC018EE">
            <w:r>
              <w:rPr>
                <w:b/>
                <w:bCs/>
              </w:rPr>
              <w:t>Conley 50 km</w:t>
            </w:r>
          </w:p>
        </w:tc>
        <w:tc>
          <w:tcPr>
            <w:tcW w:w="1550" w:type="dxa"/>
            <w:tcBorders>
              <w:bottom w:val="single" w:sz="6" w:space="0" w:color="auto"/>
            </w:tcBorders>
            <w:shd w:val="clear" w:color="auto" w:fill="F2EFE7"/>
          </w:tcPr>
          <w:p w14:paraId="288EFA33" w14:textId="77777777" w:rsidR="00184A8A" w:rsidRDefault="3DC018EE">
            <w:r>
              <w:rPr>
                <w:b/>
                <w:bCs/>
              </w:rPr>
              <w:t>Conley 100 km</w:t>
            </w:r>
          </w:p>
        </w:tc>
        <w:tc>
          <w:tcPr>
            <w:tcW w:w="1550" w:type="dxa"/>
            <w:tcBorders>
              <w:bottom w:val="single" w:sz="6" w:space="0" w:color="auto"/>
            </w:tcBorders>
            <w:shd w:val="clear" w:color="auto" w:fill="F2EFE7"/>
          </w:tcPr>
          <w:p w14:paraId="10212E0D" w14:textId="77777777" w:rsidR="00184A8A" w:rsidRDefault="3DC018EE">
            <w:r>
              <w:rPr>
                <w:b/>
                <w:bCs/>
              </w:rPr>
              <w:t>Conley 200 km</w:t>
            </w:r>
          </w:p>
        </w:tc>
      </w:tr>
      <w:tr w:rsidR="00184A8A" w14:paraId="6E94D056" w14:textId="77777777" w:rsidTr="3DC018EE">
        <w:trPr>
          <w:trHeight w:val="300"/>
        </w:trPr>
        <w:tc>
          <w:tcPr>
            <w:tcW w:w="2400" w:type="dxa"/>
          </w:tcPr>
          <w:p w14:paraId="1A7A9AC2" w14:textId="77777777" w:rsidR="00184A8A" w:rsidRDefault="3DC018EE">
            <w:r>
              <w:rPr>
                <w:b/>
                <w:bCs/>
              </w:rP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rPr>
                <w:b/>
                <w:bCs/>
              </w:rP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rPr>
                <w:b/>
                <w:bCs/>
              </w:rP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bookmarkStart w:id="95" w:name="_Ref_bib1" w:displacedByCustomXml="next"/>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w:t>
          </w:r>
          <w:hyperlink r:id="rId43" w:history="1">
            <w:r>
              <w:t>10.1016/j</w:t>
            </w:r>
          </w:hyperlink>
          <w:r>
            <w:t>.enpol.2019.110935.</w:t>
          </w:r>
          <w:bookmarkEnd w:id="95"/>
        </w:p>
        <w:p w14:paraId="7D182EC6" w14:textId="77777777" w:rsidR="005C73E3" w:rsidRPr="005C73E3" w:rsidRDefault="005C73E3">
          <w:pPr>
            <w:autoSpaceDE w:val="0"/>
            <w:autoSpaceDN w:val="0"/>
            <w:ind w:hanging="640"/>
            <w:divId w:val="832456146"/>
            <w:rPr>
              <w:rFonts w:eastAsia="Times New Roman" w:cs="Times New Roman"/>
              <w:color w:val="000000"/>
            </w:rPr>
          </w:pPr>
          <w:bookmarkStart w:id="96" w:name="_Ref_bib2"/>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w:t>
          </w:r>
          <w:hyperlink r:id="rId44" w:history="1">
            <w:r>
              <w:t>10.1038/s41893-018-0204-z</w:t>
            </w:r>
          </w:hyperlink>
          <w:r>
            <w:t>.</w:t>
          </w:r>
          <w:bookmarkEnd w:id="96"/>
        </w:p>
        <w:p w14:paraId="23C754CC" w14:textId="77777777" w:rsidR="005C73E3" w:rsidRPr="005C73E3" w:rsidRDefault="005C73E3">
          <w:pPr>
            <w:autoSpaceDE w:val="0"/>
            <w:autoSpaceDN w:val="0"/>
            <w:ind w:hanging="640"/>
            <w:divId w:val="246692011"/>
            <w:rPr>
              <w:rFonts w:eastAsia="Times New Roman" w:cs="Times New Roman"/>
              <w:color w:val="000000"/>
            </w:rPr>
          </w:pPr>
          <w:bookmarkStart w:id="97" w:name="_Ref_bib3"/>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w:t>
          </w:r>
          <w:hyperlink r:id="rId45" w:history="1">
            <w:r>
              <w:t>10.1016/j</w:t>
            </w:r>
          </w:hyperlink>
          <w:r>
            <w:t>.techfore.2018.11.021.</w:t>
          </w:r>
          <w:bookmarkEnd w:id="97"/>
        </w:p>
        <w:p w14:paraId="310CDB1F" w14:textId="77777777" w:rsidR="005C73E3" w:rsidRPr="005C73E3" w:rsidRDefault="005C73E3">
          <w:pPr>
            <w:autoSpaceDE w:val="0"/>
            <w:autoSpaceDN w:val="0"/>
            <w:ind w:hanging="640"/>
            <w:divId w:val="65810408"/>
            <w:rPr>
              <w:rFonts w:eastAsia="Times New Roman" w:cs="Times New Roman"/>
              <w:color w:val="000000"/>
            </w:rPr>
          </w:pPr>
          <w:bookmarkStart w:id="98" w:name="_Ref_bib4"/>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w:t>
          </w:r>
          <w:hyperlink r:id="rId46" w:history="1">
            <w:r>
              <w:t>10.1016/J</w:t>
            </w:r>
          </w:hyperlink>
          <w:r>
            <w:t>.ERSS.2020.101612.</w:t>
          </w:r>
          <w:bookmarkEnd w:id="98"/>
        </w:p>
        <w:p w14:paraId="553EF2E7" w14:textId="77777777" w:rsidR="005C73E3" w:rsidRPr="005C73E3" w:rsidRDefault="005C73E3">
          <w:pPr>
            <w:autoSpaceDE w:val="0"/>
            <w:autoSpaceDN w:val="0"/>
            <w:ind w:hanging="640"/>
            <w:divId w:val="177813034"/>
            <w:rPr>
              <w:rFonts w:eastAsia="Times New Roman" w:cs="Times New Roman"/>
              <w:color w:val="000000"/>
            </w:rPr>
          </w:pPr>
          <w:bookmarkStart w:id="99" w:name="_Ref_bib5"/>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w:t>
          </w:r>
          <w:hyperlink r:id="rId47" w:history="1">
            <w:r>
              <w:t>10.1088/1748-9326/AC4FDC</w:t>
            </w:r>
          </w:hyperlink>
          <w:r>
            <w:t>.</w:t>
          </w:r>
          <w:bookmarkEnd w:id="99"/>
        </w:p>
        <w:p w14:paraId="6AF95C0F" w14:textId="77777777" w:rsidR="005C73E3" w:rsidRPr="005C73E3" w:rsidRDefault="005C73E3">
          <w:pPr>
            <w:autoSpaceDE w:val="0"/>
            <w:autoSpaceDN w:val="0"/>
            <w:ind w:hanging="640"/>
            <w:divId w:val="512375084"/>
            <w:rPr>
              <w:rFonts w:eastAsia="Times New Roman" w:cs="Times New Roman"/>
              <w:color w:val="000000"/>
            </w:rPr>
          </w:pPr>
          <w:bookmarkStart w:id="100" w:name="_Ref_bib6"/>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w:t>
          </w:r>
          <w:hyperlink r:id="rId48" w:history="1">
            <w:r>
              <w:t>http://arxiv.org/abs/2501.13868</w:t>
            </w:r>
          </w:hyperlink>
          <w:bookmarkEnd w:id="100"/>
        </w:p>
        <w:p w14:paraId="7B4DAAF9" w14:textId="77777777" w:rsidR="005C73E3" w:rsidRPr="005C73E3" w:rsidRDefault="005C73E3">
          <w:pPr>
            <w:autoSpaceDE w:val="0"/>
            <w:autoSpaceDN w:val="0"/>
            <w:ind w:hanging="640"/>
            <w:divId w:val="332071241"/>
            <w:rPr>
              <w:rFonts w:eastAsia="Times New Roman" w:cs="Times New Roman"/>
              <w:color w:val="000000"/>
            </w:rPr>
          </w:pPr>
          <w:bookmarkStart w:id="101" w:name="_Ref_bib7"/>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bookmarkEnd w:id="101"/>
        </w:p>
        <w:p w14:paraId="6DA51880" w14:textId="77777777" w:rsidR="005C73E3" w:rsidRPr="005C73E3" w:rsidRDefault="005C73E3">
          <w:pPr>
            <w:autoSpaceDE w:val="0"/>
            <w:autoSpaceDN w:val="0"/>
            <w:ind w:hanging="640"/>
            <w:divId w:val="977800147"/>
            <w:rPr>
              <w:rFonts w:eastAsia="Times New Roman" w:cs="Times New Roman"/>
              <w:color w:val="000000"/>
            </w:rPr>
          </w:pPr>
          <w:bookmarkStart w:id="102" w:name="_Ref_bib8"/>
          <w:r w:rsidRPr="005C73E3">
            <w:rPr>
              <w:rFonts w:eastAsia="Times New Roman" w:cs="Times New Roman"/>
              <w:color w:val="000000"/>
            </w:rPr>
            <w:t>[8]</w:t>
          </w:r>
          <w:r w:rsidRPr="005C73E3">
            <w:rPr>
              <w:rFonts w:eastAsia="Times New Roman" w:cs="Times New Roman"/>
              <w:color w:val="000000"/>
            </w:rPr>
            <w:tab/>
            <w:t>The Greenlining Institute, “Demystifying Equity in California’s Energy Grid Transition,” Jul. 25, 2024. [Online]. Available:</w:t>
          </w:r>
          <w:hyperlink r:id="rId49" w:history="1">
            <w:r>
              <w:t>https://greenlining.org/2024/demystifying-equity-in-californias-energy-grid-transition/</w:t>
            </w:r>
          </w:hyperlink>
          <w:bookmarkEnd w:id="102"/>
        </w:p>
        <w:p w14:paraId="71A9E50D" w14:textId="77777777" w:rsidR="005C73E3" w:rsidRPr="005C73E3" w:rsidRDefault="005C73E3">
          <w:pPr>
            <w:autoSpaceDE w:val="0"/>
            <w:autoSpaceDN w:val="0"/>
            <w:ind w:hanging="640"/>
            <w:divId w:val="7680994"/>
            <w:rPr>
              <w:rFonts w:eastAsia="Times New Roman" w:cs="Times New Roman"/>
              <w:color w:val="000000"/>
            </w:rPr>
          </w:pPr>
          <w:bookmarkStart w:id="103" w:name="_Ref_bib9"/>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w:t>
          </w:r>
          <w:hyperlink r:id="rId50" w:history="1">
            <w:r>
              <w:t>10.38126/jspg200106</w:t>
            </w:r>
          </w:hyperlink>
          <w:r>
            <w:t>.</w:t>
          </w:r>
          <w:bookmarkEnd w:id="103"/>
        </w:p>
        <w:p w14:paraId="1DC51BFC" w14:textId="77777777" w:rsidR="005C73E3" w:rsidRPr="005C73E3" w:rsidRDefault="005C73E3">
          <w:pPr>
            <w:autoSpaceDE w:val="0"/>
            <w:autoSpaceDN w:val="0"/>
            <w:ind w:hanging="640"/>
            <w:divId w:val="1398741142"/>
            <w:rPr>
              <w:rFonts w:eastAsia="Times New Roman" w:cs="Times New Roman"/>
              <w:color w:val="000000"/>
            </w:rPr>
          </w:pPr>
          <w:bookmarkStart w:id="104" w:name="_Ref_bib10"/>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w:t>
          </w:r>
          <w:hyperlink r:id="rId51" w:history="1">
            <w:r>
              <w:t>10.1038/s41467-024-48967-x</w:t>
            </w:r>
          </w:hyperlink>
          <w:r>
            <w:t>.</w:t>
          </w:r>
          <w:bookmarkEnd w:id="104"/>
        </w:p>
        <w:p w14:paraId="2DCF5A8E" w14:textId="77777777" w:rsidR="005C73E3" w:rsidRPr="005C73E3" w:rsidRDefault="005C73E3">
          <w:pPr>
            <w:autoSpaceDE w:val="0"/>
            <w:autoSpaceDN w:val="0"/>
            <w:ind w:hanging="640"/>
            <w:divId w:val="205682073"/>
            <w:rPr>
              <w:rFonts w:eastAsia="Times New Roman" w:cs="Times New Roman"/>
              <w:color w:val="000000"/>
            </w:rPr>
          </w:pPr>
          <w:bookmarkStart w:id="105" w:name="_Ref_bib11"/>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w:t>
          </w:r>
          <w:hyperlink r:id="rId52" w:history="1">
            <w:r>
              <w:t>10.1038/s41560-021-00887-6</w:t>
            </w:r>
          </w:hyperlink>
          <w:r>
            <w:t>.</w:t>
          </w:r>
          <w:bookmarkEnd w:id="105"/>
        </w:p>
        <w:p w14:paraId="06D1C26C" w14:textId="77777777" w:rsidR="005C73E3" w:rsidRPr="005C73E3" w:rsidRDefault="005C73E3">
          <w:pPr>
            <w:autoSpaceDE w:val="0"/>
            <w:autoSpaceDN w:val="0"/>
            <w:ind w:hanging="640"/>
            <w:divId w:val="266012986"/>
            <w:rPr>
              <w:rFonts w:eastAsia="Times New Roman" w:cs="Times New Roman"/>
              <w:color w:val="000000"/>
            </w:rPr>
          </w:pPr>
          <w:bookmarkStart w:id="106" w:name="_Ref_bib12"/>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w:t>
          </w:r>
          <w:hyperlink r:id="rId53" w:history="1">
            <w:r>
              <w:t>10.1016/J</w:t>
            </w:r>
          </w:hyperlink>
          <w:r>
            <w:t>.IJEPES.2021.107900.</w:t>
          </w:r>
          <w:bookmarkEnd w:id="106"/>
        </w:p>
        <w:p w14:paraId="381C4BA1" w14:textId="77777777" w:rsidR="005C73E3" w:rsidRPr="005C73E3" w:rsidRDefault="005C73E3">
          <w:pPr>
            <w:autoSpaceDE w:val="0"/>
            <w:autoSpaceDN w:val="0"/>
            <w:ind w:hanging="640"/>
            <w:divId w:val="1835024084"/>
            <w:rPr>
              <w:rFonts w:eastAsia="Times New Roman" w:cs="Times New Roman"/>
              <w:color w:val="000000"/>
            </w:rPr>
          </w:pPr>
          <w:bookmarkStart w:id="107" w:name="_Ref_bib13"/>
          <w:r w:rsidRPr="005C73E3">
            <w:rPr>
              <w:rFonts w:eastAsia="Times New Roman" w:cs="Times New Roman"/>
              <w:color w:val="000000"/>
            </w:rPr>
            <w:t>[13]</w:t>
          </w:r>
          <w:r w:rsidRPr="005C73E3">
            <w:rPr>
              <w:rFonts w:eastAsia="Times New Roman" w:cs="Times New Roman"/>
              <w:color w:val="000000"/>
            </w:rPr>
            <w:tab/>
            <w:t>Federal Energy Regulatory Commission Staff, “Distributed Energy Resources: Technical Considerations for the Bulk Power System,” Docket No. AD18-10-000, Feb. 2018.</w:t>
          </w:r>
          <w:bookmarkEnd w:id="107"/>
        </w:p>
        <w:p w14:paraId="308E2147" w14:textId="77777777" w:rsidR="005C73E3" w:rsidRPr="005C73E3" w:rsidRDefault="005C73E3">
          <w:pPr>
            <w:autoSpaceDE w:val="0"/>
            <w:autoSpaceDN w:val="0"/>
            <w:ind w:hanging="640"/>
            <w:divId w:val="1439525163"/>
            <w:rPr>
              <w:rFonts w:eastAsia="Times New Roman" w:cs="Times New Roman"/>
              <w:color w:val="000000"/>
            </w:rPr>
          </w:pPr>
          <w:bookmarkStart w:id="108" w:name="_Ref_bib14"/>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bookmarkEnd w:id="108"/>
        </w:p>
        <w:p w14:paraId="579F66B3" w14:textId="77777777" w:rsidR="005C73E3" w:rsidRPr="005C73E3" w:rsidRDefault="005C73E3">
          <w:pPr>
            <w:autoSpaceDE w:val="0"/>
            <w:autoSpaceDN w:val="0"/>
            <w:ind w:hanging="640"/>
            <w:divId w:val="1253735744"/>
            <w:rPr>
              <w:rFonts w:eastAsia="Times New Roman" w:cs="Times New Roman"/>
              <w:color w:val="000000"/>
            </w:rPr>
          </w:pPr>
          <w:bookmarkStart w:id="109" w:name="_Ref_bib15"/>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w:t>
          </w:r>
          <w:hyperlink r:id="rId54" w:history="1">
            <w:r>
              <w:t>http://arxiv.org/abs/2504.18905</w:t>
            </w:r>
          </w:hyperlink>
          <w:bookmarkEnd w:id="109"/>
        </w:p>
        <w:p w14:paraId="1933CCED" w14:textId="77777777" w:rsidR="005C73E3" w:rsidRPr="005C73E3" w:rsidRDefault="005C73E3">
          <w:pPr>
            <w:autoSpaceDE w:val="0"/>
            <w:autoSpaceDN w:val="0"/>
            <w:ind w:hanging="640"/>
            <w:divId w:val="511528959"/>
            <w:rPr>
              <w:rFonts w:eastAsia="Times New Roman" w:cs="Times New Roman"/>
              <w:color w:val="000000"/>
            </w:rPr>
          </w:pPr>
          <w:bookmarkStart w:id="110" w:name="_Ref_bib16"/>
          <w:r w:rsidRPr="005C73E3">
            <w:rPr>
              <w:rFonts w:eastAsia="Times New Roman" w:cs="Times New Roman"/>
              <w:color w:val="000000"/>
            </w:rPr>
            <w:t>[16]</w:t>
          </w:r>
          <w:r w:rsidRPr="005C73E3">
            <w:rPr>
              <w:rFonts w:eastAsia="Times New Roman" w:cs="Times New Roman"/>
              <w:color w:val="000000"/>
            </w:rPr>
            <w:tab/>
            <w:t>“Distributed Energy Resource Interconnection Roadmap.”</w:t>
          </w:r>
          <w:bookmarkEnd w:id="110"/>
        </w:p>
        <w:p w14:paraId="73496926" w14:textId="77777777" w:rsidR="005C73E3" w:rsidRPr="005C73E3" w:rsidRDefault="005C73E3">
          <w:pPr>
            <w:autoSpaceDE w:val="0"/>
            <w:autoSpaceDN w:val="0"/>
            <w:ind w:hanging="640"/>
            <w:divId w:val="1284649049"/>
            <w:rPr>
              <w:rFonts w:eastAsia="Times New Roman" w:cs="Times New Roman"/>
              <w:color w:val="000000"/>
            </w:rPr>
          </w:pPr>
          <w:bookmarkStart w:id="111" w:name="_Ref_bib17"/>
          <w:r w:rsidRPr="005C73E3">
            <w:rPr>
              <w:rFonts w:eastAsia="Times New Roman" w:cs="Times New Roman"/>
              <w:color w:val="000000"/>
            </w:rPr>
            <w:lastRenderedPageBreak/>
            <w:t>[17]</w:t>
          </w:r>
          <w:r w:rsidRPr="005C73E3">
            <w:rPr>
              <w:rFonts w:eastAsia="Times New Roman" w:cs="Times New Roman"/>
              <w:color w:val="000000"/>
            </w:rPr>
            <w:tab/>
            <w:t>B. Tarekegne, R. O’Neil, and J. Twitchell, “Energy Storage as an Equity Asset,” 2021. doi:</w:t>
          </w:r>
          <w:hyperlink r:id="rId55" w:history="1">
            <w:r>
              <w:t>10.1007/s40518-021-00184-6</w:t>
            </w:r>
          </w:hyperlink>
          <w:r>
            <w:t>.</w:t>
          </w:r>
          <w:bookmarkEnd w:id="111"/>
        </w:p>
        <w:p w14:paraId="6253DAD4" w14:textId="77777777" w:rsidR="005C73E3" w:rsidRPr="005C73E3" w:rsidRDefault="005C73E3">
          <w:pPr>
            <w:autoSpaceDE w:val="0"/>
            <w:autoSpaceDN w:val="0"/>
            <w:ind w:hanging="640"/>
            <w:divId w:val="114569170"/>
            <w:rPr>
              <w:rFonts w:eastAsia="Times New Roman" w:cs="Times New Roman"/>
              <w:color w:val="000000"/>
            </w:rPr>
          </w:pPr>
          <w:bookmarkStart w:id="112" w:name="_Ref_bib18"/>
          <w:r w:rsidRPr="005C73E3">
            <w:rPr>
              <w:rFonts w:eastAsia="Times New Roman" w:cs="Times New Roman"/>
              <w:color w:val="000000"/>
            </w:rPr>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w:t>
          </w:r>
          <w:hyperlink r:id="rId56" w:history="1">
            <w:r>
              <w:t>10.1038/NENERGY</w:t>
            </w:r>
          </w:hyperlink>
          <w:r>
            <w:t>.2017.107.</w:t>
          </w:r>
          <w:bookmarkEnd w:id="112"/>
        </w:p>
        <w:p w14:paraId="45FED2CE" w14:textId="77777777" w:rsidR="005C73E3" w:rsidRPr="005C73E3" w:rsidRDefault="005C73E3">
          <w:pPr>
            <w:autoSpaceDE w:val="0"/>
            <w:autoSpaceDN w:val="0"/>
            <w:ind w:hanging="640"/>
            <w:divId w:val="1488011668"/>
            <w:rPr>
              <w:rFonts w:eastAsia="Times New Roman" w:cs="Times New Roman"/>
              <w:color w:val="000000"/>
            </w:rPr>
          </w:pPr>
          <w:bookmarkStart w:id="113" w:name="_Ref_bib19"/>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w:t>
          </w:r>
          <w:hyperlink r:id="rId57" w:history="1">
            <w:r>
              <w:t>10.1146/annurev-economics-080614-115630</w:t>
            </w:r>
          </w:hyperlink>
          <w:r>
            <w:t>.</w:t>
          </w:r>
          <w:bookmarkEnd w:id="113"/>
        </w:p>
        <w:p w14:paraId="5BE9EFDE" w14:textId="77777777" w:rsidR="005C73E3" w:rsidRPr="005C73E3" w:rsidRDefault="005C73E3">
          <w:pPr>
            <w:autoSpaceDE w:val="0"/>
            <w:autoSpaceDN w:val="0"/>
            <w:ind w:hanging="640"/>
            <w:divId w:val="297104338"/>
            <w:rPr>
              <w:rFonts w:eastAsia="Times New Roman" w:cs="Times New Roman"/>
              <w:color w:val="000000"/>
            </w:rPr>
          </w:pPr>
          <w:bookmarkStart w:id="114" w:name="_Ref_bib20"/>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w:t>
          </w:r>
          <w:hyperlink r:id="rId58" w:history="1">
            <w:r>
              <w:t>10.38126/jspg200106</w:t>
            </w:r>
          </w:hyperlink>
          <w:r>
            <w:t>.</w:t>
          </w:r>
          <w:bookmarkEnd w:id="114"/>
        </w:p>
        <w:p w14:paraId="38A3F8FB" w14:textId="77777777" w:rsidR="005C73E3" w:rsidRPr="005C73E3" w:rsidRDefault="005C73E3">
          <w:pPr>
            <w:autoSpaceDE w:val="0"/>
            <w:autoSpaceDN w:val="0"/>
            <w:ind w:hanging="640"/>
            <w:divId w:val="1426000254"/>
            <w:rPr>
              <w:rFonts w:eastAsia="Times New Roman" w:cs="Times New Roman"/>
              <w:color w:val="000000"/>
            </w:rPr>
          </w:pPr>
          <w:bookmarkStart w:id="115" w:name="_Ref_bib21"/>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bookmarkEnd w:id="115"/>
        </w:p>
        <w:p w14:paraId="05938D27" w14:textId="77777777" w:rsidR="005C73E3" w:rsidRPr="005C73E3" w:rsidRDefault="005C73E3">
          <w:pPr>
            <w:autoSpaceDE w:val="0"/>
            <w:autoSpaceDN w:val="0"/>
            <w:ind w:hanging="640"/>
            <w:divId w:val="1907180809"/>
            <w:rPr>
              <w:rFonts w:eastAsia="Times New Roman" w:cs="Times New Roman"/>
              <w:color w:val="000000"/>
            </w:rPr>
          </w:pPr>
          <w:bookmarkStart w:id="116" w:name="_Ref_bib22"/>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w:t>
          </w:r>
          <w:hyperlink r:id="rId59" w:history="1">
            <w:r>
              <w:t>10.1016/j</w:t>
            </w:r>
          </w:hyperlink>
          <w:r>
            <w:t>.renene.2022.03.040.</w:t>
          </w:r>
          <w:bookmarkEnd w:id="116"/>
        </w:p>
        <w:p w14:paraId="089ACE17" w14:textId="77777777" w:rsidR="005C73E3" w:rsidRPr="005C73E3" w:rsidRDefault="005C73E3">
          <w:pPr>
            <w:autoSpaceDE w:val="0"/>
            <w:autoSpaceDN w:val="0"/>
            <w:ind w:hanging="640"/>
            <w:divId w:val="3824811"/>
            <w:rPr>
              <w:rFonts w:eastAsia="Times New Roman" w:cs="Times New Roman"/>
              <w:color w:val="000000"/>
            </w:rPr>
          </w:pPr>
          <w:bookmarkStart w:id="117" w:name="_Ref_bib23"/>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w:t>
          </w:r>
          <w:hyperlink r:id="rId60" w:history="1">
            <w:r>
              <w:t>10.1145/3599733</w:t>
            </w:r>
          </w:hyperlink>
          <w:r>
            <w:t>.3600250.</w:t>
          </w:r>
          <w:bookmarkEnd w:id="117"/>
        </w:p>
        <w:p w14:paraId="35E0EF52" w14:textId="77777777" w:rsidR="005C73E3" w:rsidRPr="005C73E3" w:rsidRDefault="005C73E3">
          <w:pPr>
            <w:autoSpaceDE w:val="0"/>
            <w:autoSpaceDN w:val="0"/>
            <w:ind w:hanging="640"/>
            <w:divId w:val="1290358837"/>
            <w:rPr>
              <w:rFonts w:eastAsia="Times New Roman" w:cs="Times New Roman"/>
              <w:color w:val="000000"/>
            </w:rPr>
          </w:pPr>
          <w:bookmarkStart w:id="118" w:name="_Ref_bib24"/>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w:t>
          </w:r>
          <w:hyperlink r:id="rId61" w:history="1">
            <w:r>
              <w:t>10.3390/en15238783</w:t>
            </w:r>
          </w:hyperlink>
          <w:r>
            <w:t>.</w:t>
          </w:r>
          <w:bookmarkEnd w:id="118"/>
        </w:p>
        <w:p w14:paraId="4202AB9C" w14:textId="1149E1A7" w:rsidR="00C82ADA" w:rsidRDefault="005C73E3" w:rsidP="00BE0E1E">
          <w:r w:rsidRPr="005C73E3">
            <w:rPr>
              <w:rFonts w:eastAsia="Times New Roman" w:cs="Times New Roman"/>
              <w:color w:val="000000"/>
            </w:rPr>
            <w:t> </w:t>
          </w:r>
        </w:p>
      </w:sdtContent>
    </w:sdt>
    <w:p w14:paraId="5DB654E7" w14:textId="77777777" w:rsidR="00E133AE" w:rsidRDefault="00000000">
      <w:pPr>
        <w:autoSpaceDE w:val="0"/>
        <w:autoSpaceDN w:val="0"/>
        <w:ind w:hanging="640"/>
      </w:pPr>
      <w:bookmarkStart w:id="119" w:name="_Ref_src25"/>
      <w:r>
        <w:rPr>
          <w:rFonts w:eastAsia="Times New Roman" w:cs="Times New Roman"/>
          <w:color w:val="000000"/>
        </w:rPr>
        <w:t>[25]</w:t>
      </w:r>
      <w:r>
        <w:rPr>
          <w:rFonts w:eastAsia="Times New Roman" w:cs="Times New Roman"/>
          <w:color w:val="000000"/>
        </w:rPr>
        <w:tab/>
        <w:t xml:space="preserve">T. G. Conley, "GMM estimation with cross sectional dependence," </w:t>
      </w:r>
      <w:r>
        <w:rPr>
          <w:i/>
          <w:iCs/>
        </w:rPr>
        <w:t>Journal of Econometrics</w:t>
      </w:r>
      <w:r>
        <w:rPr>
          <w:rFonts w:eastAsia="Times New Roman" w:cs="Times New Roman"/>
          <w:color w:val="000000"/>
        </w:rPr>
        <w:t xml:space="preserve">, vol. 92, no. 1, pp. 1-45, Sep. 1999, doi: </w:t>
      </w:r>
      <w:hyperlink r:id="rId62" w:history="1">
        <w:r w:rsidR="00E133AE">
          <w:t>10.1016/S0304-4076(98)00084-0</w:t>
        </w:r>
      </w:hyperlink>
      <w:r>
        <w:rPr>
          <w:rFonts w:eastAsia="Times New Roman" w:cs="Times New Roman"/>
          <w:color w:val="000000"/>
        </w:rPr>
        <w:t>.</w:t>
      </w:r>
      <w:bookmarkEnd w:id="119"/>
    </w:p>
    <w:p w14:paraId="36E3FBE8" w14:textId="77777777" w:rsidR="00E133AE" w:rsidRDefault="00000000">
      <w:pPr>
        <w:autoSpaceDE w:val="0"/>
        <w:autoSpaceDN w:val="0"/>
        <w:ind w:hanging="640"/>
      </w:pPr>
      <w:bookmarkStart w:id="120" w:name="_Ref_src26"/>
      <w:r>
        <w:rPr>
          <w:rFonts w:eastAsia="Times New Roman" w:cs="Times New Roman"/>
          <w:color w:val="000000"/>
        </w:rPr>
        <w:t>[26]</w:t>
      </w:r>
      <w:r>
        <w:rPr>
          <w:rFonts w:eastAsia="Times New Roman" w:cs="Times New Roman"/>
          <w:color w:val="000000"/>
        </w:rPr>
        <w:tab/>
        <w:t xml:space="preserve">Lawrence Berkeley National Laboratory, "Tracking the Sun: public data file," 2024. [Online]. Available: </w:t>
      </w:r>
      <w:hyperlink r:id="rId63" w:history="1">
        <w:r w:rsidR="00E133AE">
          <w:t>https://emp.lbl.gov/tracking-the-sun</w:t>
        </w:r>
      </w:hyperlink>
      <w:bookmarkEnd w:id="120"/>
    </w:p>
    <w:p w14:paraId="6343D2E3" w14:textId="77777777" w:rsidR="00E133AE" w:rsidRDefault="00000000">
      <w:pPr>
        <w:autoSpaceDE w:val="0"/>
        <w:autoSpaceDN w:val="0"/>
        <w:ind w:hanging="640"/>
      </w:pPr>
      <w:bookmarkStart w:id="121" w:name="_Ref_src27"/>
      <w:r>
        <w:rPr>
          <w:rFonts w:eastAsia="Times New Roman" w:cs="Times New Roman"/>
          <w:color w:val="000000"/>
        </w:rPr>
        <w:t>[27]</w:t>
      </w:r>
      <w:r>
        <w:rPr>
          <w:rFonts w:eastAsia="Times New Roman" w:cs="Times New Roman"/>
          <w:color w:val="000000"/>
        </w:rPr>
        <w:tab/>
        <w:t xml:space="preserve">California Distributed Generation Statistics, "Interconnected project sites report, 31 December 2023," 2023. [Online]. Available: </w:t>
      </w:r>
      <w:hyperlink r:id="rId64" w:history="1">
        <w:r w:rsidR="00E133AE">
          <w:t>https://www.californiadgstats.ca.gov/downloads/</w:t>
        </w:r>
      </w:hyperlink>
      <w:bookmarkEnd w:id="121"/>
    </w:p>
    <w:p w14:paraId="3BFE45FA" w14:textId="77777777" w:rsidR="00E133AE" w:rsidRDefault="00000000">
      <w:pPr>
        <w:autoSpaceDE w:val="0"/>
        <w:autoSpaceDN w:val="0"/>
        <w:ind w:hanging="640"/>
      </w:pPr>
      <w:bookmarkStart w:id="122" w:name="_Ref_src28"/>
      <w:r>
        <w:rPr>
          <w:rFonts w:eastAsia="Times New Roman" w:cs="Times New Roman"/>
          <w:color w:val="000000"/>
        </w:rPr>
        <w:t>[28]</w:t>
      </w:r>
      <w:r>
        <w:rPr>
          <w:rFonts w:eastAsia="Times New Roman" w:cs="Times New Roman"/>
          <w:color w:val="000000"/>
        </w:rPr>
        <w:tab/>
        <w:t xml:space="preserve">California Energy Commission, "California energy storage system survey," 2024. [Online]. Available: </w:t>
      </w:r>
      <w:hyperlink r:id="rId65" w:history="1">
        <w:r w:rsidR="00E133AE">
          <w:t>https://www.energy.ca.gov/data-reports/energy-almanac/california-electricity-data/california-energy-storage-system-survey</w:t>
        </w:r>
      </w:hyperlink>
      <w:bookmarkEnd w:id="122"/>
    </w:p>
    <w:p w14:paraId="24CF56CC" w14:textId="77777777" w:rsidR="00E133AE" w:rsidRDefault="00000000">
      <w:pPr>
        <w:autoSpaceDE w:val="0"/>
        <w:autoSpaceDN w:val="0"/>
        <w:ind w:hanging="640"/>
      </w:pPr>
      <w:bookmarkStart w:id="123" w:name="_Ref_src29"/>
      <w:r>
        <w:rPr>
          <w:rFonts w:eastAsia="Times New Roman" w:cs="Times New Roman"/>
          <w:color w:val="000000"/>
        </w:rPr>
        <w:t>[29]</w:t>
      </w:r>
      <w:r>
        <w:rPr>
          <w:rFonts w:eastAsia="Times New Roman" w:cs="Times New Roman"/>
          <w:color w:val="000000"/>
        </w:rPr>
        <w:tab/>
        <w:t xml:space="preserve">California Energy Commission, "Zero emission vehicle and infrastructure statistics," 2024. [Online]. Available: </w:t>
      </w:r>
      <w:hyperlink r:id="rId66" w:history="1">
        <w:r w:rsidR="00E133AE">
          <w:t>https://www.energy.ca.gov/data-reports/energy-almanac/zero-emission-vehicle-and-infrastructure-statistics-collection/electric</w:t>
        </w:r>
      </w:hyperlink>
      <w:bookmarkEnd w:id="123"/>
    </w:p>
    <w:p w14:paraId="414194D2" w14:textId="77777777" w:rsidR="00E133AE" w:rsidRDefault="00000000">
      <w:pPr>
        <w:autoSpaceDE w:val="0"/>
        <w:autoSpaceDN w:val="0"/>
        <w:ind w:hanging="640"/>
      </w:pPr>
      <w:bookmarkStart w:id="124" w:name="_Ref_src30"/>
      <w:r>
        <w:rPr>
          <w:rFonts w:eastAsia="Times New Roman" w:cs="Times New Roman"/>
          <w:color w:val="000000"/>
        </w:rPr>
        <w:t>[30]</w:t>
      </w:r>
      <w:r>
        <w:rPr>
          <w:rFonts w:eastAsia="Times New Roman" w:cs="Times New Roman"/>
          <w:color w:val="000000"/>
        </w:rPr>
        <w:tab/>
        <w:t xml:space="preserve">B. D. Hoen, J. E. Diffendorfer, J. T. Rand, L. A. Kramer, C. P. Garrity, and H. E. Hunt, "United States wind turbine database," U.S. Geological Survey data release, 2018, doi: </w:t>
      </w:r>
      <w:hyperlink r:id="rId67" w:history="1">
        <w:r w:rsidR="00E133AE">
          <w:t>10.5066/F7TX3DN0</w:t>
        </w:r>
      </w:hyperlink>
      <w:r>
        <w:rPr>
          <w:rFonts w:eastAsia="Times New Roman" w:cs="Times New Roman"/>
          <w:color w:val="000000"/>
        </w:rPr>
        <w:t>.</w:t>
      </w:r>
      <w:bookmarkEnd w:id="124"/>
    </w:p>
    <w:p w14:paraId="0BF7056C" w14:textId="77777777" w:rsidR="00E133AE" w:rsidRDefault="00000000">
      <w:pPr>
        <w:autoSpaceDE w:val="0"/>
        <w:autoSpaceDN w:val="0"/>
        <w:ind w:hanging="640"/>
      </w:pPr>
      <w:bookmarkStart w:id="125" w:name="_Ref_src31"/>
      <w:r>
        <w:rPr>
          <w:rFonts w:eastAsia="Times New Roman" w:cs="Times New Roman"/>
          <w:color w:val="000000"/>
        </w:rPr>
        <w:t>[31]</w:t>
      </w:r>
      <w:r>
        <w:rPr>
          <w:rFonts w:eastAsia="Times New Roman" w:cs="Times New Roman"/>
          <w:color w:val="000000"/>
        </w:rPr>
        <w:tab/>
        <w:t xml:space="preserve">U.S. Energy Information Administration, "Power plants," 2023. [Online]. Available: </w:t>
      </w:r>
      <w:hyperlink r:id="rId68" w:history="1">
        <w:r w:rsidR="00E133AE">
          <w:t>https://atlas.eia.gov/datasets/eia::power-plants/explore</w:t>
        </w:r>
      </w:hyperlink>
      <w:bookmarkEnd w:id="125"/>
    </w:p>
    <w:p w14:paraId="1E97BE81" w14:textId="77777777" w:rsidR="00E133AE" w:rsidRDefault="00000000">
      <w:pPr>
        <w:autoSpaceDE w:val="0"/>
        <w:autoSpaceDN w:val="0"/>
        <w:ind w:hanging="640"/>
      </w:pPr>
      <w:bookmarkStart w:id="126" w:name="_Ref_src32"/>
      <w:r>
        <w:rPr>
          <w:rFonts w:eastAsia="Times New Roman" w:cs="Times New Roman"/>
          <w:color w:val="000000"/>
        </w:rPr>
        <w:lastRenderedPageBreak/>
        <w:t>[32]</w:t>
      </w:r>
      <w:r>
        <w:rPr>
          <w:rFonts w:eastAsia="Times New Roman" w:cs="Times New Roman"/>
          <w:color w:val="000000"/>
        </w:rPr>
        <w:tab/>
        <w:t xml:space="preserve">U.S. Census Bureau, "American Community Survey 5-year estimates, detailed tables," 2023. [Online]. Available: </w:t>
      </w:r>
      <w:hyperlink r:id="rId69" w:history="1">
        <w:r w:rsidR="00E133AE">
          <w:t>https://api.census.gov/data/2023/acs/acs5</w:t>
        </w:r>
      </w:hyperlink>
      <w:bookmarkEnd w:id="126"/>
    </w:p>
    <w:p w14:paraId="3E740C2B" w14:textId="77777777" w:rsidR="00E133AE" w:rsidRDefault="00000000">
      <w:pPr>
        <w:autoSpaceDE w:val="0"/>
        <w:autoSpaceDN w:val="0"/>
        <w:ind w:hanging="640"/>
      </w:pPr>
      <w:bookmarkStart w:id="127" w:name="_Ref_src33"/>
      <w:r>
        <w:rPr>
          <w:rFonts w:eastAsia="Times New Roman" w:cs="Times New Roman"/>
          <w:color w:val="000000"/>
        </w:rPr>
        <w:t>[33]</w:t>
      </w:r>
      <w:r>
        <w:rPr>
          <w:rFonts w:eastAsia="Times New Roman" w:cs="Times New Roman"/>
          <w:color w:val="000000"/>
        </w:rPr>
        <w:tab/>
        <w:t xml:space="preserve">U.S. Census Bureau, "TIGER/Line shapefiles," 2023. [Online]. Available: </w:t>
      </w:r>
      <w:hyperlink r:id="rId70" w:history="1">
        <w:r w:rsidR="00E133AE">
          <w:t>https://www.census.gov/geographies/mapping-files/time-series/geo/tiger-line-file.html</w:t>
        </w:r>
      </w:hyperlink>
      <w:bookmarkEnd w:id="127"/>
    </w:p>
    <w:p w14:paraId="05039508" w14:textId="77777777" w:rsidR="00E133AE" w:rsidRDefault="00000000">
      <w:pPr>
        <w:autoSpaceDE w:val="0"/>
        <w:autoSpaceDN w:val="0"/>
        <w:ind w:hanging="640"/>
      </w:pPr>
      <w:bookmarkStart w:id="128" w:name="_Ref_src34"/>
      <w:r>
        <w:rPr>
          <w:rFonts w:eastAsia="Times New Roman" w:cs="Times New Roman"/>
          <w:color w:val="000000"/>
        </w:rPr>
        <w:t>[34]</w:t>
      </w:r>
      <w:r>
        <w:rPr>
          <w:rFonts w:eastAsia="Times New Roman" w:cs="Times New Roman"/>
          <w:color w:val="000000"/>
        </w:rPr>
        <w:tab/>
        <w:t xml:space="preserve">NASA Langley Research Center, "Prediction of Worldwide Energy Resources (POWER)," 2023. [Online]. Available: </w:t>
      </w:r>
      <w:hyperlink r:id="rId71" w:history="1">
        <w:r w:rsidR="00E133AE">
          <w:t>https://power.larc.nasa.gov/</w:t>
        </w:r>
      </w:hyperlink>
      <w:bookmarkEnd w:id="128"/>
    </w:p>
    <w:p w14:paraId="75790B5A" w14:textId="77777777" w:rsidR="00E133AE" w:rsidRDefault="00000000">
      <w:pPr>
        <w:autoSpaceDE w:val="0"/>
        <w:autoSpaceDN w:val="0"/>
        <w:ind w:hanging="640"/>
      </w:pPr>
      <w:bookmarkStart w:id="129" w:name="_Ref_src35"/>
      <w:r>
        <w:rPr>
          <w:rFonts w:eastAsia="Times New Roman" w:cs="Times New Roman"/>
          <w:color w:val="000000"/>
        </w:rPr>
        <w:t>[35]</w:t>
      </w:r>
      <w:r>
        <w:rPr>
          <w:rFonts w:eastAsia="Times New Roman" w:cs="Times New Roman"/>
          <w:color w:val="000000"/>
        </w:rPr>
        <w:tab/>
        <w:t xml:space="preserve">California Energy Commission, "Energy equity indicators: deep dive energy," 2023. [Online]. Available: </w:t>
      </w:r>
      <w:hyperlink r:id="rId72" w:history="1">
        <w:r w:rsidR="00E133AE">
          <w:t>https://www.energy.ca.gov/data-reports/data-exploration-tools/energy-equity-indicators-dashboard-collection/deep-dive-energy</w:t>
        </w:r>
      </w:hyperlink>
      <w:bookmarkEnd w:id="129"/>
    </w:p>
    <w:p w14:paraId="3FB5656B" w14:textId="77777777" w:rsidR="00E133AE" w:rsidRDefault="00000000">
      <w:pPr>
        <w:autoSpaceDE w:val="0"/>
        <w:autoSpaceDN w:val="0"/>
        <w:ind w:hanging="640"/>
      </w:pPr>
      <w:bookmarkStart w:id="130" w:name="_Ref_src36"/>
      <w:r>
        <w:rPr>
          <w:rFonts w:eastAsia="Times New Roman" w:cs="Times New Roman"/>
          <w:color w:val="000000"/>
        </w:rPr>
        <w:t>[36]</w:t>
      </w:r>
      <w:r>
        <w:rPr>
          <w:rFonts w:eastAsia="Times New Roman" w:cs="Times New Roman"/>
          <w:color w:val="000000"/>
        </w:rPr>
        <w:tab/>
        <w:t xml:space="preserve">Pacific Gas and Electric Company, Southern California Edison, and San Diego Gas and Electric, "Electric usage by ZIP code, 2023 quarterly datasets," 2023. [Online]. Available: </w:t>
      </w:r>
      <w:hyperlink r:id="rId73" w:history="1">
        <w:r w:rsidR="00E133AE">
          <w:t>https://pge-energydatarequest.com/public_datasets</w:t>
        </w:r>
      </w:hyperlink>
      <w:bookmarkEnd w:id="130"/>
    </w:p>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13"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16"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1"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7"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48"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6"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0"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1"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2"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90"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2"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1"/>
  <w15:commentEx w15:paraId="00186EA9" w15:done="0"/>
  <w15:commentEx w15:paraId="4C7F50AE" w15:done="1"/>
  <w15:commentEx w15:paraId="1C99C58A" w15:done="1"/>
  <w15:commentEx w15:paraId="77147393" w15:done="1"/>
  <w15:commentEx w15:paraId="689F3F06" w15:done="0"/>
  <w15:commentEx w15:paraId="2C23E24B" w15:done="0"/>
  <w15:commentEx w15:paraId="22A9A4F0" w15:done="1"/>
  <w15:commentEx w15:paraId="39356721" w15:done="1"/>
  <w15:commentEx w15:paraId="712553B5" w15:done="1"/>
  <w15:commentEx w15:paraId="0755DAD5" w15:done="0"/>
  <w15:commentEx w15:paraId="1EACE085" w15:done="1"/>
  <w15:commentEx w15:paraId="68C3AEF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E70C320" w16cex:dateUtc="2026-08-13T21:37:00Z">
    <w16cex:extLst>
      <w16:ext w16:uri="{CE6994B0-6A32-4C9F-8C6B-6E91EDA988CE}">
        <cr:reactions xmlns:cr="http://schemas.microsoft.com/office/comments/2020/reactions">
          <cr:reaction reactionType="1">
            <cr:reactionInfo dateUtc="2026-08-18T21:10:50Z">
              <cr:user userId="S::daniknut@mit.edu::faa0d056-9190-4521-8d5e-4d90c40f7ca9" userProvider="AD" userName="Danielle Knutson"/>
            </cr:reactionInfo>
          </cr:reaction>
        </cr:reactions>
      </w16:ext>
    </w16cex:extLst>
  </w16cex:commentExtensible>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doi.org/10.1088/1748-9326/AC4FDC" TargetMode="External"/><Relationship Id="rId63" Type="http://schemas.openxmlformats.org/officeDocument/2006/relationships/hyperlink" Target="https://emp.lbl.gov/tracking-the-sun" TargetMode="External"/><Relationship Id="rId68" Type="http://schemas.openxmlformats.org/officeDocument/2006/relationships/hyperlink" Target="https://atlas.eia.gov/datasets/eia::power-plants/explore"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i.org/10.1016/j" TargetMode="External"/><Relationship Id="rId53" Type="http://schemas.openxmlformats.org/officeDocument/2006/relationships/hyperlink" Target="https://doi.org/10.1016/J" TargetMode="External"/><Relationship Id="rId58" Type="http://schemas.openxmlformats.org/officeDocument/2006/relationships/hyperlink" Target="https://doi.org/10.38126/jspg200106" TargetMode="External"/><Relationship Id="rId66" Type="http://schemas.openxmlformats.org/officeDocument/2006/relationships/hyperlink" Target="https://www.energy.ca.gov/data-reports/energy-almanac/zero-emission-vehicle-and-infrastructure-statistics-collection/electric"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3390/en1523878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1016/j" TargetMode="External"/><Relationship Id="rId48" Type="http://schemas.openxmlformats.org/officeDocument/2006/relationships/hyperlink" Target="http://arxiv.org/abs/2501.13868" TargetMode="External"/><Relationship Id="rId56" Type="http://schemas.openxmlformats.org/officeDocument/2006/relationships/hyperlink" Target="https://doi.org/10.1038/NENERGY" TargetMode="External"/><Relationship Id="rId64" Type="http://schemas.openxmlformats.org/officeDocument/2006/relationships/hyperlink" Target="https://www.californiadgstats.ca.gov/downloads/" TargetMode="External"/><Relationship Id="rId69" Type="http://schemas.openxmlformats.org/officeDocument/2006/relationships/hyperlink" Target="https://api.census.gov/data/2023/acs/acs5" TargetMode="External"/><Relationship Id="rId77" Type="http://schemas.openxmlformats.org/officeDocument/2006/relationships/theme" Target="theme/theme1.xml"/><Relationship Id="rId8" Type="http://schemas.microsoft.com/office/2016/09/relationships/commentsIds" Target="commentsIds.xml"/><Relationship Id="rId51" Type="http://schemas.openxmlformats.org/officeDocument/2006/relationships/hyperlink" Target="https://doi.org/10.1038/s41467-024-48967-x" TargetMode="External"/><Relationship Id="rId72" Type="http://schemas.openxmlformats.org/officeDocument/2006/relationships/hyperlink" Target="https://www.energy.ca.gov/data-reports/data-exploration-tools/energy-equity-indicators-dashboard-collection/deep-dive-energ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doi.org/10.1016/J" TargetMode="External"/><Relationship Id="rId59" Type="http://schemas.openxmlformats.org/officeDocument/2006/relationships/hyperlink" Target="https://doi.org/10.1016/j" TargetMode="External"/><Relationship Id="rId67" Type="http://schemas.openxmlformats.org/officeDocument/2006/relationships/hyperlink" Target="https://doi.org/10.5066/F7TX3DN0" TargetMode="External"/><Relationship Id="rId20" Type="http://schemas.openxmlformats.org/officeDocument/2006/relationships/image" Target="media/image11.svg"/><Relationship Id="rId41" Type="http://schemas.openxmlformats.org/officeDocument/2006/relationships/image" Target="media/image32.png"/><Relationship Id="rId54" Type="http://schemas.openxmlformats.org/officeDocument/2006/relationships/hyperlink" Target="http://arxiv.org/abs/2504.18905" TargetMode="External"/><Relationship Id="rId62" Type="http://schemas.openxmlformats.org/officeDocument/2006/relationships/hyperlink" Target="https://doi.org/10.1016/S0304-4076(98)00084-0" TargetMode="External"/><Relationship Id="rId70" Type="http://schemas.openxmlformats.org/officeDocument/2006/relationships/hyperlink" Target="https://www.census.gov/geographies/mapping-files/time-series/geo/tiger-line-file.html"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s://greenlining.org/2024/demystifying-equity-in-californias-energy-grid-transition/" TargetMode="External"/><Relationship Id="rId57" Type="http://schemas.openxmlformats.org/officeDocument/2006/relationships/hyperlink" Target="https://doi.org/10.1146/annurev-economics-080614-115630"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38/s41893-018-0204-z" TargetMode="External"/><Relationship Id="rId52" Type="http://schemas.openxmlformats.org/officeDocument/2006/relationships/hyperlink" Target="https://doi.org/10.1038/s41560-021-00887-6" TargetMode="External"/><Relationship Id="rId60" Type="http://schemas.openxmlformats.org/officeDocument/2006/relationships/hyperlink" Target="https://doi.org/10.1145/3599733" TargetMode="External"/><Relationship Id="rId65" Type="http://schemas.openxmlformats.org/officeDocument/2006/relationships/hyperlink" Target="https://www.energy.ca.gov/data-reports/energy-almanac/california-electricity-data/california-energy-storage-system-survey" TargetMode="External"/><Relationship Id="rId73" Type="http://schemas.openxmlformats.org/officeDocument/2006/relationships/hyperlink" Target="https://pge-energydatarequest.com/public_datasets"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doi.org/10.38126/jspg200106" TargetMode="External"/><Relationship Id="rId55" Type="http://schemas.openxmlformats.org/officeDocument/2006/relationships/hyperlink" Target="https://doi.org/10.1007/s40518-021-00184-6" TargetMode="External"/><Relationship Id="rId76" Type="http://schemas.openxmlformats.org/officeDocument/2006/relationships/glossaryDocument" Target="glossary/document.xml"/><Relationship Id="rId7" Type="http://schemas.microsoft.com/office/2011/relationships/commentsExtended" Target="commentsExtended.xml"/><Relationship Id="rId71" Type="http://schemas.openxmlformats.org/officeDocument/2006/relationships/hyperlink" Target="https://power.larc.nasa.gov/"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74256A"/>
    <w:rsid w:val="007B0027"/>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42</Pages>
  <Words>15118</Words>
  <Characters>86173</Characters>
  <Application>Microsoft Office Word</Application>
  <DocSecurity>0</DocSecurity>
  <Lines>718</Lines>
  <Paragraphs>202</Paragraphs>
  <ScaleCrop>false</ScaleCrop>
  <Manager/>
  <Company/>
  <LinksUpToDate>false</LinksUpToDate>
  <CharactersWithSpaces>101089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135</cp:revision>
  <dcterms:created xsi:type="dcterms:W3CDTF">2026-06-27T02:50:00Z</dcterms:created>
  <dcterms:modified xsi:type="dcterms:W3CDTF">2026-08-21T22:52:00Z</dcterms:modified>
  <cp:category/>
</cp:coreProperties>
</file>