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8="http://schemas.microsoft.com/office/drawing/2010/main" xmlns:ns9="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0AC803B8" ns2:textId="10370862" w:rsidR="003D485F" w:rsidRDefault="003D485F" w:rsidP="00880690">
      <w:pPr>
        <w:pStyle w:val="Title"/>
        <w:rPr>
          <w:b/>
          <w:bCs/>
        </w:rPr>
      </w:pPr>
      <w:commentRangeStart w:id="0"/>
      <w:r>
        <w:t xml:space="preserve">Inequity in distributed energy adoption is technology-specific, not uniform</w:t>
      </w:r>
      <w:commentRangeEnd w:id="0"/>
      <w:r w:rsidR="00E92A9C">
        <w:rPr>
          <w:rStyle w:val="CommentReference"/>
          <w:b/>
          <w:bCs/>
          <w:sz w:val="52"/>
          <w:szCs w:val="52"/>
        </w:rPr>
        <w:commentReference w:id="0"/>
      </w:r>
    </w:p>
    <w:p>
      <w:r>
        <w:t xml:space="preserve">Vineet Jagadeesan Nair¹*, [co-authors] · ¹Massachusetts Institute of Technology, Cambridge, MA, USA · *Corresponding author: jvineet9@mit.edu</w:t>
      </w:r>
    </w:p>
    <w:p ns2:paraId="364370A7" ns2: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ns2:paraId="474F4A6E" ns2:textId="60414DE1" w:rsidR="007F6C74" w:rsidRDefault="007F6C74" w:rsidP="007F6C74">
      <w:bookmarkStart w:id="3" w:name="OLE_LINK14"/>
      <w:r>
        <w:t xml:space="preserve">Distributed energy resources are central to decarbonisation, resilience and electrification, but their benefits are not guaranteed to be shared evenly. Evidence of racial disparity in rooftop solar is usually assumed to generalise across technologies. We test that assumption across 1,390 California ZIP Code Tabulation Areas, harmonising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 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r w:rsidR="00357D49">
        <w:t xml:space="preserve"/>
      </w:r>
      <w:r>
        <w:t/>
      </w:r>
      <w:r w:rsidR="00D42EC1">
        <w:t/>
      </w:r>
      <w:r>
        <w:t xml:space="preserve"/>
      </w:r>
      <w:r w:rsidR="00D42EC1">
        <w:t xml:space="preserve"/>
      </w:r>
      <w:r>
        <w:t xml:space="preserve"/>
      </w:r>
    </w:p>
    <w:p>
      <w:r>
        <w:t xml:space="preserve">As electricity systems decarbonise,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actually live and park. The clean energy transition is therefore not only a deployment problem but a distributional one: where access depends on financing, housing conditions, siting decisions, permitting, interconnection or neighbourhood infrastructure, the transition can reproduce existing inequities rather than reduce them.</w:t>
      </w:r>
    </w:p>
    <w:p>
      <w:r>
        <w:t xml:space="preserve">The evidence that it does so is almost entirely about solar. Lukanov and Krieger show that California PV deployment is patterned by neighbourhood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 [5], [6]. A parallel literature explains why race should be modelled explicitly rather than assumed away: race-linked inequities in energy burden persist net of income [7], transition planning cannot be treated as race-neutral when the underlying burdens are not [8], and structural barriers limit participation in California's DER programmes even where they are designed for low-income households [9]. Because rooftop solar measurably reduces energy burden for low- and moderate-income adopters [10], unequal access to DERs also means unequal access to bill relief and resilience.</w:t>
      </w:r>
    </w:p>
    <w:p>
      <w:r>
        <w:t xml:space="preserve">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programme design; it has been framed as an equity asset that can either broaden resilience or entrench advantage depending on ownership [14], [15].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harmonised, race-inclusive, multi-technology dataset exists at fine spatial granularity for a single high-penetration market, because DER data is fragmented across technologies and agencies [16], [17].</w:t>
      </w:r>
    </w:p>
    <w:p>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 the standard metric — the count of installed units — does not measure what equity policy assumes it measures.</w:t>
      </w:r>
    </w:p>
    <w:p ns2:paraId="20C4EFBF" ns2:textId="77777777" w:rsidR="00B86A12" w:rsidRDefault="00091F08">
      <w:pPr>
        <w:pStyle w:val="Heading1"/>
        <w:numPr>
          <w:ilvl w:val="0"/>
          <w:numId w:val="11"/>
        </w:numPr>
      </w:pPr>
      <w:bookmarkStart w:id="7" w:name="_Ref_sec_results"/>
      <w:r>
        <w:t>Results</w:t>
      </w:r>
      <w:bookmarkEnd w:id="7"/>
    </w:p>
    <w:p>
      <w:pPr>
        <w:pStyle w:val="Heading2"/>
      </w:pPr>
      <w:r>
        <w:t xml:space="preserve">Disparities differ by technology</w:t>
      </w:r>
    </w:p>
    <w:p>
      <w:r>
        <w:t xml:space="preserve">Racial and socioeconomic disparities are not uniform across technologies. In the baseline specification (Table 1), rooftop PV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Figure 2 places the three outcomes on a common scale. Coefficients reported in the main text use standardised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 cent lower deployment rate (Supplementary Table S3).</w:t>
      </w:r>
    </w:p>
    <w:p ns2:paraId="45D375BB" ns2:textId="77777777" w:rsidR="00F121D0" w:rsidRDefault="009611E9" w:rsidP="00F121D0">
      <w:pPr>
        <w:keepNext/>
        <w:jc w:val="center"/>
      </w:pPr>
      <w:r>
        <w:rPr>
          <w:noProof/>
        </w:rPr>
        <w:lastRenderedPageBreak/>
        <w:drawing>
          <wp:inline distT="0" distB="0" distL="0" distR="0" ns4:anchorId="3BBC15B7" ns4:editId="20FBF7F9">
            <wp:extent cx="5606473" cy="3906733"/>
            <wp:effectExtent l="0" t="0" r="0" b="5080"/>
            <wp:docPr id="1182605404" name="Graphic 2"/>
            <wp:cNvGraphicFramePr>
              <a:graphicFrameLocks noChangeAspect="1"/>
            </wp:cNvGraphicFramePr>
            <a:graphic>
              <a:graphicData uri="http://schemas.openxmlformats.org/drawingml/2006/picture">
                <ns6:pic>
                  <ns6:nvPicPr>
                    <ns6:cNvPr id="1182605404" name="Graphic 1182605404"/>
                    <ns6:cNvPicPr/>
                  </ns6:nvPicPr>
                  <ns6:blipFill>
                    <a:blip r:embed="rId36"/>
                    <a:stretch>
                      <a:fillRect/>
                    </a:stretch>
                  </ns6:blipFill>
                  <ns6:spPr>
                    <a:xfrm>
                      <a:off x="0" y="0"/>
                      <a:ext cx="5622640" cy="3917999"/>
                    </a:xfrm>
                    <a:prstGeom prst="rect">
                      <a:avLst/>
                    </a:prstGeom>
                  </ns6:spPr>
                </ns6:pic>
              </a:graphicData>
            </a:graphic>
          </wp:inline>
        </w:drawing>
      </w:r>
    </w:p>
    <w:p>
      <w:pPr>
        <w:pStyle w:val="Caption"/>
      </w:pPr>
      <w:r>
        <w:t xml:space="preserve">Fig. 1 | Distributed energy deployment across California ZIP Code Tabulation Areas. Rooftop photovoltaics, battery storage and aggregate EV charging, before any regression adjustment. Blank areas indicate excluded or missing observations.</w:t>
      </w:r>
    </w:p>
    <w:p>
      <w:pPr>
        <w:pStyle w:val="Caption"/>
      </w:pPr>
      <w:r>
        <w:t xml:space="preserve">Table 1 | Baseline associations between neighbourhood composition and distributed energy deployment. Standardised predictors; heteroskedasticity-robust (HC1) standard errors in parentheses.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tblGrid>
      <w:tr>
        <w:tc>
          <w:tcPr/>
          <w:p>
            <w:r>
              <w:rPr>
                <w:b/>
              </w:rPr>
              <w:t xml:space="preserve">Predictor</w:t>
            </w:r>
          </w:p>
        </w:tc>
        <w:tc>
          <w:tcPr/>
          <w:p>
            <w:r>
              <w:rPr>
                <w:b/>
              </w:rPr>
              <w:t xml:space="preserve">Rooftop PV</w:t>
            </w:r>
          </w:p>
        </w:tc>
        <w:tc>
          <w:tcPr/>
          <w:p>
            <w:r>
              <w:rPr>
                <w:b/>
              </w:rPr>
              <w:t xml:space="preserve">Battery storage</w:t>
            </w:r>
          </w:p>
        </w:tc>
        <w:tc>
          <w:tcPr/>
          <w:p>
            <w:r>
              <w:rPr>
                <w:b/>
              </w:rPr>
              <w:t xml:space="preserve">EV charging</w:t>
            </w:r>
          </w:p>
        </w:tc>
      </w:tr>
      <w:tr>
        <w:tc>
          <w:tcPr/>
          <w:p>
            <w:r>
              <w:t xml:space="preserve">Log median household income</w:t>
            </w:r>
          </w:p>
        </w:tc>
        <w:tc>
          <w:tcPr/>
          <w:p>
            <w:r>
              <w:t xml:space="preserve">0.439*** (0.084)</w:t>
            </w:r>
          </w:p>
        </w:tc>
        <w:tc>
          <w:tcPr/>
          <w:p>
            <w:r>
              <w:t xml:space="preserve">0.310*** (0.049)</w:t>
            </w:r>
          </w:p>
        </w:tc>
        <w:tc>
          <w:tcPr/>
          <w:p>
            <w:r>
              <w:t xml:space="preserve">0.066 (0.039)</w:t>
            </w:r>
          </w:p>
        </w:tc>
      </w:tr>
      <w:tr>
        <w:tc>
          <w:tcPr/>
          <w:p>
            <w:r>
              <w:t xml:space="preserve">Black share</w:t>
            </w:r>
          </w:p>
        </w:tc>
        <w:tc>
          <w:tcPr/>
          <w:p>
            <w:r>
              <w:t xml:space="preserve">−0.218*** (0.047)</w:t>
            </w:r>
          </w:p>
        </w:tc>
        <w:tc>
          <w:tcPr/>
          <w:p>
            <w:r>
              <w:t xml:space="preserve">−0.106*** (0.021)</w:t>
            </w:r>
          </w:p>
        </w:tc>
        <w:tc>
          <w:tcPr/>
          <w:p>
            <w:r>
              <w:t xml:space="preserve">−0.000 (0.022)</w:t>
            </w:r>
          </w:p>
        </w:tc>
      </w:tr>
      <w:tr>
        <w:tc>
          <w:tcPr/>
          <w:p>
            <w:r>
              <w:t xml:space="preserve">Hispanic share</w:t>
            </w:r>
          </w:p>
        </w:tc>
        <w:tc>
          <w:tcPr/>
          <w:p>
            <w:r>
              <w:t xml:space="preserve">0.219*** (0.059)</w:t>
            </w:r>
          </w:p>
        </w:tc>
        <w:tc>
          <w:tcPr/>
          <w:p>
            <w:r>
              <w:t xml:space="preserve">−0.146*** (0.030)</w:t>
            </w:r>
          </w:p>
        </w:tc>
        <w:tc>
          <w:tcPr/>
          <w:p>
            <w:r>
              <w:t xml:space="preserve">−0.096*** (0.025)</w:t>
            </w:r>
          </w:p>
        </w:tc>
      </w:tr>
      <w:tr>
        <w:tc>
          <w:tcPr/>
          <w:p>
            <w:r>
              <w:t xml:space="preserve">Asian share</w:t>
            </w:r>
          </w:p>
        </w:tc>
        <w:tc>
          <w:tcPr/>
          <w:p>
            <w:r>
              <w:t xml:space="preserve">−0.297*** (0.043)</w:t>
            </w:r>
          </w:p>
        </w:tc>
        <w:tc>
          <w:tcPr/>
          <w:p>
            <w:r>
              <w:t xml:space="preserve">−0.252*** (0.023)</w:t>
            </w:r>
          </w:p>
        </w:tc>
        <w:tc>
          <w:tcPr/>
          <w:p>
            <w:r>
              <w:t xml:space="preserve">0.058** (0.021)</w:t>
            </w:r>
          </w:p>
        </w:tc>
      </w:tr>
      <w:tr>
        <w:tc>
          <w:tcPr/>
          <w:p>
            <w:r>
              <w:t xml:space="preserve">Poverty rate</w:t>
            </w:r>
          </w:p>
        </w:tc>
        <w:tc>
          <w:tcPr/>
          <w:p>
            <w:r>
              <w:t xml:space="preserve">−0.043 (0.081)</w:t>
            </w:r>
          </w:p>
        </w:tc>
        <w:tc>
          <w:tcPr/>
          <w:p>
            <w:r>
              <w:t xml:space="preserve">−0.017 (0.042)</w:t>
            </w:r>
          </w:p>
        </w:tc>
        <w:tc>
          <w:tcPr/>
          <w:p>
            <w:r>
              <w:t xml:space="preserve">0.149*** (0.037)</w:t>
            </w:r>
          </w:p>
        </w:tc>
      </w:tr>
      <w:tr>
        <w:tc>
          <w:tcPr/>
          <w:p>
            <w:r>
              <w:t xml:space="preserve">Resource / climate control</w:t>
            </w:r>
          </w:p>
        </w:tc>
        <w:tc>
          <w:tcPr/>
          <w:p>
            <w:r>
              <w:t xml:space="preserve">GHI 0.106* (0.044)</w:t>
            </w:r>
          </w:p>
        </w:tc>
        <w:tc>
          <w:tcPr/>
          <w:p>
            <w:r>
              <w:t xml:space="preserve">CDD 0.033 (0.033); HDD −0.003 (0.035)</w:t>
            </w:r>
          </w:p>
        </w:tc>
        <w:tc>
          <w:tcPr/>
          <w:p>
            <w:r>
              <w:t xml:space="preserve">CDD −0.120*** (0.022); HDD −0.025 (0.027)</w:t>
            </w:r>
          </w:p>
        </w:tc>
      </w:tr>
      <w:tr>
        <w:tc>
          <w:tcPr/>
          <w:p>
            <w:r>
              <w:t xml:space="preserve">N</w:t>
            </w:r>
          </w:p>
        </w:tc>
        <w:tc>
          <w:tcPr/>
          <w:p>
            <w:r>
              <w:t xml:space="preserve">1,390</w:t>
            </w:r>
          </w:p>
        </w:tc>
        <w:tc>
          <w:tcPr/>
          <w:p>
            <w:r>
              <w:t xml:space="preserve">1,390</w:t>
            </w:r>
          </w:p>
        </w:tc>
        <w:tc>
          <w:tcPr/>
          <w:p>
            <w:r>
              <w:t xml:space="preserve">1,390</w:t>
            </w:r>
          </w:p>
        </w:tc>
      </w:tr>
      <w:tr>
        <w:tc>
          <w:tcPr/>
          <w:p>
            <w:r>
              <w:t xml:space="preserve">R²</w:t>
            </w:r>
          </w:p>
        </w:tc>
        <w:tc>
          <w:tcPr/>
          <w:p>
            <w:r>
              <w:t xml:space="preserve">0.074</w:t>
            </w:r>
          </w:p>
        </w:tc>
        <w:tc>
          <w:tcPr/>
          <w:p>
            <w:r>
              <w:t xml:space="preserve">0.188</w:t>
            </w:r>
          </w:p>
        </w:tc>
        <w:tc>
          <w:tcPr/>
          <w:p>
            <w:r>
              <w:t xml:space="preserve">0.079</w:t>
            </w:r>
          </w:p>
        </w:tc>
      </w:tr>
    </w:tbl>
    <w:p>
      <w:r>
        <w:t xml:space="preserve">Baseline explanatory power is low by construction — R² runs from 0.07 to 0.24 across the three outcomes. The objective here is coefficient stability under conditioning rather than prediction, and area-level cross-sections of this kind carry substantial local heterogeneity that no set of ZCTA-level covariates absorbs. As controls accumulate, R² rises to 0.49 for PV and 0.42 for storage.</w:t>
      </w:r>
    </w:p>
    <w:p>
      <w:r>
        <w:t xml:space="preserve">Housing is tested directly rather than left as a proposed mechanism. Adding the exhaustive ACS B25024 structure composition, with single-family units as the reference, and B25003 owner occupancy, with renters as the reference, moves every race coefficient for PV and storage toward zero without eliminating it (Figure 3). Area-level housing composition absorbs between 32 and 53 per cent of these coefficients across the four technology-by-race combinations, most for the PV Black share and least for the storage Asian share; the coefficient pairs are in Supplementary Table S2. What remains is not explained by the housing stock, but these models do not identify household-level tenure or roof access.</w:t>
      </w:r>
    </w:p>
    <w:p ns2:paraId="316C2719" ns2:textId="77777777" w:rsidR="00F121D0" w:rsidRDefault="009611E9" w:rsidP="00F121D0">
      <w:pPr>
        <w:pStyle w:val="Caption"/>
      </w:pPr>
      <w:r>
        <w:rPr>
          <w:noProof/>
        </w:rPr>
        <w:lastRenderedPageBreak/>
        <w:drawing>
          <wp:inline distT="0" distB="0" distL="0" distR="0" ns4:anchorId="6E3AFED4" ns4:editId="3000504C">
            <wp:extent cx="6400800" cy="5002278"/>
            <wp:effectExtent l="0" t="0" r="0" b="0"/>
            <wp:docPr id="281140160" name="Graphic 4"/>
            <wp:cNvGraphicFramePr>
              <a:graphicFrameLocks noChangeAspect="1"/>
            </wp:cNvGraphicFramePr>
            <a:graphic>
              <a:graphicData uri="http://schemas.openxmlformats.org/drawingml/2006/picture">
                <ns6:pic>
                  <ns6:nvPicPr>
                    <ns6:cNvPr id="281140160" name="Graphic 281140160"/>
                    <ns6:cNvPicPr/>
                  </ns6:nvPicPr>
                  <ns6:blipFill>
                    <a:blip r:embed="rId11"/>
                    <a:stretch>
                      <a:fillRect/>
                    </a:stretch>
                  </ns6:blipFill>
                  <ns6:spPr>
                    <a:xfrm>
                      <a:off x="0" y="0"/>
                      <a:ext cx="6400800" cy="5002278"/>
                    </a:xfrm>
                    <a:prstGeom prst="rect">
                      <a:avLst/>
                    </a:prstGeom>
                  </ns6:spPr>
                </ns6:pic>
              </a:graphicData>
            </a:graphic>
          </wp:inline>
        </w:drawing>
      </w:r>
    </w:p>
    <w:p>
      <w:pPr>
        <w:pStyle w:val="Caption"/>
      </w:pPr>
      <w:r>
        <w:t xml:space="preserve">Fig. 2 | Coefficients across the nested cumulative ladder, C1 to C5. Standardised predictors; each panel traces one coefficient as confounder blocks accumulate on a frozen common sample of 1,160 ZCTAs. Filled markers denote p &lt; 0.05.</w:t>
      </w:r>
    </w:p>
    <w:p>
      <w:pPr>
        <w:pStyle w:val="Heading2"/>
      </w:pPr>
      <w:r>
        <w:t xml:space="preserve">Rooftop solar and storage</w:t>
      </w:r>
    </w:p>
    <w:p>
      <w:r>
        <w:t xml:space="preserve">For rooftop PV, ZCTAs with higher median household income show higher adoption intensity, while those with larger Black and Asian population shares show substantially lower intensity. Hispanic share runs the other way for PV alone, positive and significant, and does not follow the Black and Asian pattern in any specification; we therefore treat the PV racial gradient as a Black- and Asian-share result rather than a general non-white one. Solar resource potential behaves as expected: mean global horizontal irradiance is positive and highly significant, so the racial gradient is not an artefact of lower-income areas having worse solar resource. The negative Black- and Asian-share coefficients persist as education, county clustering, infrastructure context and electricity demand enter the specification (Supplementary Fig. S1).</w:t>
      </w:r>
    </w:p>
    <w:p>
      <w:r>
        <w:t xml:space="preserve">Battery storage shows the strongest and most stable disparity pattern of the three. Income is strongly positive, and Black, Hispanic and Asian shares are all negative, with coefficients larger in magnitude than the corresponding PV estimates and negative across nearly every specification examined (Supplementary Fig. S2). Adding local PV deployment to the most controlled storage specification leaves the race coefficients negative and significant, so the storage gap is not simply the solar gap restated further down the same adoption pathway. That model conditions on a parallel outcome of the same predictors and is therefore not a better-identified estimate of the storage gap; it answers only that narrower question (Supplementary Table S6).</w:t>
      </w:r>
    </w:p>
    <w:p>
      <w:r>
        <w:t xml:space="preserve">The substantive point is that storage inequity is deeper than solar inequity, and storage is the technology whose benefit — backup power during outages and wildfire shutoffs — is most concentrated in exactly the communities that show the lowest deployment. Reported standard errors are heteroskedasticity-robust; spatially robust alternatives that allow residuals to covary with distance are reported in Supplementary Table S8, and residual spatial dependence is documented in Supplementary Table S7.</w:t>
      </w:r>
    </w:p>
    <w:p>
      <w:r>
        <w:t xml:space="preserve">The Asian-share coefficients deserve separate comment, because they point in different directions across technologies and because housing composition explains most of that difference. In the baseline the coefficient is negative for PV and storage and positive for aggregate charging. Once housing structure and tenure enter, the charging coefficient falls to approximately zero and is no longer distinguishable from it, while the PV and storage coefficients attenuate but remain negative at p &lt; 0.001. The apparent sign reversal is not a stable feature of the data. High-Asian-share ZCTAs are also the highest-income profiles in the sample, which is hard to square with an income-based reading of their low PV and storage deployment; they concentrate in dense metropolitan submarkets where multifamily housing and lower owner-occupancy limit roof control, and the same density supports commercial charging siting.</w:t>
      </w:r>
    </w:p>
    <w:p ns2:paraId="4DAC577E" ns2:textId="77777777" w:rsidR="008A7C5A" w:rsidRDefault="00000000" w:rsidP="008A7C5A">
      <w:pPr>
        <w:keepNext/>
      </w:pPr>
      <w:r>
        <w:rPr>
          <w:noProof/>
        </w:rPr>
        <w:drawing>
          <wp:inline distT="0" distB="0" distL="0" distR="0" ns4:anchorId="665C62DD" ns4:editId="01499679">
            <wp:extent cx="5852160" cy="2338610"/>
            <wp:effectExtent l="0" t="0" r="0" b="0"/>
            <wp:docPr id="1989849343" name="Picture 1989849343" descr="Race coefficients before and after adding housing structure and tenure controls"/>
            <wp:cNvGraphicFramePr>
              <a:graphicFrameLocks noChangeAspect="1"/>
            </wp:cNvGraphicFramePr>
            <a:graphic>
              <a:graphicData uri="http://schemas.openxmlformats.org/drawingml/2006/picture">
                <ns6:pic>
                  <ns6:nvPicPr>
                    <ns6:cNvPr id="0" name="housing_structure_attenuation.png"/>
                    <ns6:cNvPicPr/>
                  </ns6:nvPicPr>
                  <ns6:blipFill>
                    <a:blip r:embed="rId43"/>
                    <a:stretch>
                      <a:fillRect/>
                    </a:stretch>
                  </ns6:blipFill>
                  <ns6:spPr>
                    <a:xfrm>
                      <a:off x="0" y="0"/>
                      <a:ext cx="5852160" cy="2338610"/>
                    </a:xfrm>
                    <a:prstGeom prst="rect">
                      <a:avLst/>
                    </a:prstGeom>
                  </ns6:spPr>
                </ns6:pic>
              </a:graphicData>
            </a:graphic>
          </wp:inline>
        </w:drawing>
      </w:r>
    </w:p>
    <w:p>
      <w:pPr>
        <w:pStyle w:val="Caption"/>
      </w:pPr>
      <w:r>
        <w:t xml:space="preserve">Fig. 3 | Race-coefficient attenuation after adding housing structure and tenure. Hollow points are the baseline specification; filled points add exhaustive ACS B25024 structure shares (single-family reference) and B25003 owner occupancy (renter reference).</w:t>
      </w:r>
    </w:p>
    <w:p>
      <w:pPr>
        <w:pStyle w:val="Heading2"/>
      </w:pPr>
      <w:r>
        <w:t xml:space="preserve">Charging measures infrastructure, not access</w:t>
      </w:r>
    </w:p>
    <w:p>
      <w:r>
        <w:t xml:space="preserve">The charging results are more complex.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spatially robust standard errors it remains significant at 50 km and 200 km but not at 100 km, and it reverses sign once housing structure and tenure enter, so we build no interpretation on it.</w:t>
      </w:r>
    </w:p>
    <w:p>
      <w:r>
        <w:t xml:space="preserve">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 cent of ZCTAs report zero, against a statewide total of 256 Level 1 ports compared with 40,078 Level 2 and 13,852 DC fast. We therefore report the Level 1 zero share rather than a coefficient, and the aggregate-versus-Level 2 contrast carries the argument.</w:t>
      </w:r>
    </w:p>
    <w:p>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actually use.</w:t>
      </w:r>
    </w:p>
    <w:p ns2:paraId="1B87DAE6" ns2:textId="77777777" w:rsidR="00B140D9" w:rsidRDefault="00A51986" w:rsidP="00B140D9">
      <w:pPr>
        <w:keepNext/>
        <w:jc w:val="center"/>
      </w:pPr>
      <w:r>
        <w:rPr>
          <w:noProof/>
        </w:rPr>
        <w:lastRenderedPageBreak/>
        <w:drawing>
          <wp:inline distT="0" distB="0" distL="0" distR="0" ns4:anchorId="4573747E" ns4:editId="59FA1D1E">
            <wp:extent cx="4900295" cy="3276600"/>
            <wp:effectExtent l="0" t="0" r="1905" b="0"/>
            <wp:docPr id="1989849342" name="Graphic 9"/>
            <wp:cNvGraphicFramePr>
              <a:graphicFrameLocks noChangeAspect="1"/>
            </wp:cNvGraphicFramePr>
            <a:graphic>
              <a:graphicData uri="http://schemas.openxmlformats.org/drawingml/2006/picture">
                <ns6:pic>
                  <ns6:nvPicPr>
                    <ns6:cNvPr id="1989849342" name="Graphic 1989849342"/>
                    <ns6:cNvPicPr/>
                  </ns6:nvPicPr>
                  <ns6:blipFill rotWithShape="1">
                    <a:blip r:embed="rId16"/>
                    <a:srcRect b="4383"/>
                    <a:stretch>
                      <a:fillRect/>
                    </a:stretch>
                  </ns6:blipFill>
                  <ns6:spPr bwMode="auto">
                    <a:xfrm>
                      <a:off x="0" y="0"/>
                      <a:ext cx="4909751" cy="3282923"/>
                    </a:xfrm>
                    <a:prstGeom prst="rect">
                      <a:avLst/>
                    </a:prstGeom>
                    <a:ln>
                      <a:noFill/>
                    </a:ln>
                    <a:extLst>
                      <a:ext uri="{53640926-AAD7-44D8-BBD7-CCE9431645EC}">
                        <ns8:shadowObscured/>
                      </a:ext>
                    </a:extLst>
                  </ns6:spPr>
                </ns6:pic>
              </a:graphicData>
            </a:graphic>
          </wp:inline>
        </w:drawing>
      </w:r>
    </w:p>
    <w:p>
      <w:pPr>
        <w:pStyle w:val="Caption"/>
      </w:pPr>
      <w:r>
        <w:t xml:space="preserve">Fig. 4 | Charger-type decomposition. Baseline coefficients for aggregate charging and for Level 1, Level 2 and DC fast units separately. The positive association with poverty is carried by Level 2 units; Level 1 is zero in 97.8 per cent of ZCTAs and is shown for completeness only.</w:t>
      </w:r>
    </w:p>
    <w:p>
      <w:pPr>
        <w:pStyle w:val="Heading2"/>
      </w:pPr>
      <w:r>
        <w:t xml:space="preserve">Disparities under a fully stacked specification</w:t>
      </w:r>
    </w:p>
    <w:p>
      <w:r>
        <w:t xml:space="preserve">The specifications above vary one control block at a time against a fixed core. That design isolates which block moves which coefficient, but it is a model series rather than a nested sequence, and it cannot show whether the controls jointly absorb the race coefficients. We therefore also estimate a genuinely nested cumulative ladder: C1 (income, race, poverty, climate), C2 (adding education and housing value), C3 (adding housing structure and tenure), C4 (adding utility fixed effects) and C5 (adding county fixed effects with county-clustered standard errors). All five rungs are fitted on one frozen common sample of 1,160 ZCTAs across 42 county clusters, identical at every rung, so movement reflects added controls rather than sample drift. A further model adds electricity demand and infrastructure capacity; these sit on the causal path from income and race to adoption, so it is reported only as a conservative lower bound (Supplementary Table S5).</w:t>
      </w:r>
    </w:p>
    <w:p>
      <w:r>
        <w:t xml:space="preserve">Figure 2 traces the result, and it is weaker than the baseline models imply. Coefficients attenuate by roughly two-thirds to three-quarters between C1 and C5, and what survives differs by technology. For storage, all three race terms remain negative and significant at C5: Black share −0.034 (p = 0.009), Hispanic share −0.113 (p = 0.016) and Asian share −0.116 (p &lt; 0.001). For PV, only Asian share survives, at −0.114 (p = 0.010); the Black-share coefficient falls to −0.017 and is no longer distinguishable from zero (p = 0.472). For aggregate charging, no race term survives. Storage is thus the one technology whose racial disparities hold under the full confounder set.</w:t>
      </w:r>
    </w:p>
    <w:p>
      <w:r>
        <w:t xml:space="preserve">Two further checks agree with that ranking. Across all 48 valid combinations of the six confounder blocks, the storage Asian-share coefficient is significant and same-signed in 48 of 48 specifications, Hispanic share in 44 and Black share in 36; the corresponding PV counts are 34, 31 and 28; and for aggregate charging the Black-share coefficient is significant in 0 of 48, despite appearing significant in some single specifications (Supplementary Fig. S3). Oster bounds tell the same story: storage Hispanic share (δ = 1.99), PV Asian share (1.57) and storage Asian share (1.29) exceed the conventional threshold of one, meaning selection on unobservables would have to be stronger than selection on the observed confounders to explain them away. We do not report δ for the PV income term or for aggregate charging: adding the full confounder set increases rather than shrinks those coefficients, so the assumption underlying the bound does not hold.</w:t>
      </w:r>
    </w:p>
    <w:p>
      <w:r>
        <w:t xml:space="preserve">A spatial error model reaches the same conclusion by a different route. Fitting the core specification with an eight-nearest-neighbour spatial error term (λ = 0.85 for PV, 0.65 for storage, 0.45 for charging) leaves all three storage race coefficients negative and significant, leaves PV significant for Asian share only (−0.070, p = 0.012) and not for Black share (p = 0.259), and leaves charging significant for Hispanic share alone (Supplementary Table S9). Two methods that treat spatial structure very differently therefore produce the same ordering. Functional form does not drive the result either: Poisson pseudo-maximum-likelihood models on raw counts with a population offset, which handle the zeros directly rather than through a log(1 + x) transformation, reproduce the sign and significance of every headline coefficient (Supplementary Table S10), as do population-weighted estimates (Supplementary Table S11).</w:t>
      </w:r>
    </w:p>
    <w:p>
      <w:r>
        <w:t xml:space="preserve">The fully stacked estimates are the conservative reading. The model series shows which controls do the absorbing, and housing composition does most of it.</w:t>
      </w:r>
    </w:p>
    <w:p>
      <w:pPr>
        <w:pStyle w:val="Caption"/>
      </w:pPr>
      <w:r>
        <w:t xml:space="preserve">Table 2 | Robustness of the focal coefficients. β C1 and β C5 are the bottom and top rungs of the nested cumulative ladder (standardised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β C1</w:t>
            </w:r>
          </w:p>
        </w:tc>
        <w:tc>
          <w:tcPr/>
          <w:p>
            <w:r>
              <w:rPr>
                <w:b/>
              </w:rPr>
              <w:t xml:space="preserve">β C5</w:t>
            </w:r>
          </w:p>
        </w:tc>
        <w:tc>
          <w:tcPr/>
          <w:p>
            <w:r>
              <w:rPr>
                <w:b/>
              </w:rPr>
              <w:t xml:space="preserve">Conley HAC</w:t>
            </w:r>
          </w:p>
        </w:tc>
        <w:tc>
          <w:tcPr/>
          <w:p>
            <w:r>
              <w:rPr>
                <w:b/>
              </w:rPr>
              <w:t xml:space="preserve">Spec curve (n/48)</w:t>
            </w:r>
          </w:p>
        </w:tc>
        <w:tc>
          <w:tcPr/>
          <w:p>
            <w:r>
              <w:rPr>
                <w:b/>
              </w:rPr>
              <w:t xml:space="preserve">Oster δ</w:t>
            </w:r>
          </w:p>
        </w:tc>
      </w:tr>
      <w:tr>
        <w:tc>
          <w:tcPr/>
          <w:p>
            <w:r>
              <w:t xml:space="preserve">Rooftop PV</w:t>
            </w:r>
          </w:p>
        </w:tc>
        <w:tc>
          <w:tcPr/>
          <w:p>
            <w:r>
              <w:t xml:space="preserve">Black share</w:t>
            </w:r>
          </w:p>
        </w:tc>
        <w:tc>
          <w:tcPr/>
          <w:p>
            <w:r>
              <w:t xml:space="preserve">−0.154***</w:t>
            </w:r>
          </w:p>
        </w:tc>
        <w:tc>
          <w:tcPr/>
          <w:p>
            <w:r>
              <w:t xml:space="preserve">−0.017</w:t>
            </w:r>
          </w:p>
        </w:tc>
        <w:tc>
          <w:tcPr/>
          <w:p>
            <w:r>
              <w:t xml:space="preserve">significant, 5%</w:t>
            </w:r>
          </w:p>
        </w:tc>
        <w:tc>
          <w:tcPr/>
          <w:p>
            <w:r>
              <w:t xml:space="preserve">28</w:t>
            </w:r>
          </w:p>
        </w:tc>
        <w:tc>
          <w:tcPr/>
          <w:p>
            <w:r>
              <w:t xml:space="preserve">0.32</w:t>
            </w:r>
          </w:p>
        </w:tc>
      </w:tr>
      <w:tr>
        <w:tc>
          <w:tcPr/>
          <w:p>
            <w:r>
              <w:t xml:space="preserve"/>
            </w:r>
          </w:p>
        </w:tc>
        <w:tc>
          <w:tcPr/>
          <w:p>
            <w:r>
              <w:t xml:space="preserve">Hispanic share</w:t>
            </w:r>
          </w:p>
        </w:tc>
        <w:tc>
          <w:tcPr/>
          <w:p>
            <w:r>
              <w:t xml:space="preserve">−0.058</w:t>
            </w:r>
          </w:p>
        </w:tc>
        <w:tc>
          <w:tcPr/>
          <w:p>
            <w:r>
              <w:t xml:space="preserve">0.047</w:t>
            </w:r>
          </w:p>
        </w:tc>
        <w:tc>
          <w:tcPr/>
          <w:p>
            <w:r>
              <w:t xml:space="preserve">not significant</w:t>
            </w:r>
          </w:p>
        </w:tc>
        <w:tc>
          <w:tcPr/>
          <w:p>
            <w:r>
              <w:t xml:space="preserve">31</w:t>
            </w:r>
          </w:p>
        </w:tc>
        <w:tc>
          <w:tcPr/>
          <w:p>
            <w:r>
              <w:t xml:space="preserve">—</w:t>
            </w:r>
          </w:p>
        </w:tc>
      </w:tr>
      <w:tr>
        <w:tc>
          <w:tcPr/>
          <w:p>
            <w:r>
              <w:t xml:space="preserve"/>
            </w:r>
          </w:p>
        </w:tc>
        <w:tc>
          <w:tcPr/>
          <w:p>
            <w:r>
              <w:t xml:space="preserve">Asian share</w:t>
            </w:r>
          </w:p>
        </w:tc>
        <w:tc>
          <w:tcPr/>
          <w:p>
            <w:r>
              <w:t xml:space="preserve">−0.303***</w:t>
            </w:r>
          </w:p>
        </w:tc>
        <w:tc>
          <w:tcPr/>
          <w:p>
            <w:r>
              <w:t xml:space="preserve">−0.114**</w:t>
            </w:r>
          </w:p>
        </w:tc>
        <w:tc>
          <w:tcPr/>
          <w:p>
            <w:r>
              <w:t xml:space="preserve">significant, 0.1%, every cutoff</w:t>
            </w:r>
          </w:p>
        </w:tc>
        <w:tc>
          <w:tcPr/>
          <w:p>
            <w:r>
              <w:t xml:space="preserve">34</w:t>
            </w:r>
          </w:p>
        </w:tc>
        <w:tc>
          <w:tcPr/>
          <w:p>
            <w:r>
              <w:t xml:space="preserve">1.57</w:t>
            </w:r>
          </w:p>
        </w:tc>
      </w:tr>
      <w:tr>
        <w:tc>
          <w:tcPr/>
          <w:p>
            <w:r>
              <w:t xml:space="preserve"/>
            </w:r>
          </w:p>
        </w:tc>
        <w:tc>
          <w:tcPr/>
          <w:p>
            <w:r>
              <w:t xml:space="preserve">Log income</w:t>
            </w:r>
          </w:p>
        </w:tc>
        <w:tc>
          <w:tcPr/>
          <w:p>
            <w:r>
              <w:t xml:space="preserve">0.173**</w:t>
            </w:r>
          </w:p>
        </w:tc>
        <w:tc>
          <w:tcPr/>
          <w:p>
            <w:r>
              <w:t xml:space="preserve">0.188</w:t>
            </w:r>
          </w:p>
        </w:tc>
        <w:tc>
          <w:tcPr/>
          <w:p>
            <w:r>
              <w:t xml:space="preserve">significant, 5%</w:t>
            </w:r>
          </w:p>
        </w:tc>
        <w:tc>
          <w:tcPr/>
          <w:p>
            <w:r>
              <w:t xml:space="preserve">46</w:t>
            </w:r>
          </w:p>
        </w:tc>
        <w:tc>
          <w:tcPr/>
          <w:p>
            <w:r>
              <w:t xml:space="preserve">—</w:t>
            </w:r>
          </w:p>
        </w:tc>
      </w:tr>
      <w:tr>
        <w:tc>
          <w:tcPr/>
          <w:p>
            <w:r>
              <w:t xml:space="preserve">Battery storage</w:t>
            </w:r>
          </w:p>
        </w:tc>
        <w:tc>
          <w:tcPr/>
          <w:p>
            <w:r>
              <w:t xml:space="preserve">Black share</w:t>
            </w:r>
          </w:p>
        </w:tc>
        <w:tc>
          <w:tcPr/>
          <w:p>
            <w:r>
              <w:t xml:space="preserve">−0.103***</w:t>
            </w:r>
          </w:p>
        </w:tc>
        <w:tc>
          <w:tcPr/>
          <w:p>
            <w:r>
              <w:t xml:space="preserve">−0.034**</w:t>
            </w:r>
          </w:p>
        </w:tc>
        <w:tc>
          <w:tcPr/>
          <w:p>
            <w:r>
              <w:t xml:space="preserve">significant, 5%</w:t>
            </w:r>
          </w:p>
        </w:tc>
        <w:tc>
          <w:tcPr/>
          <w:p>
            <w:r>
              <w:t xml:space="preserve">36</w:t>
            </w:r>
          </w:p>
        </w:tc>
        <w:tc>
          <w:tcPr/>
          <w:p>
            <w:r>
              <w:t xml:space="preserve">0.71</w:t>
            </w:r>
          </w:p>
        </w:tc>
      </w:tr>
      <w:tr>
        <w:tc>
          <w:tcPr/>
          <w:p>
            <w:r>
              <w:t xml:space="preserve"/>
            </w:r>
          </w:p>
        </w:tc>
        <w:tc>
          <w:tcPr/>
          <w:p>
            <w:r>
              <w:t xml:space="preserve">Hispanic share</w:t>
            </w:r>
          </w:p>
        </w:tc>
        <w:tc>
          <w:tcPr/>
          <w:p>
            <w:r>
              <w:t xml:space="preserve">−0.196***</w:t>
            </w:r>
          </w:p>
        </w:tc>
        <w:tc>
          <w:tcPr/>
          <w:p>
            <w:r>
              <w:t xml:space="preserve">−0.113*</w:t>
            </w:r>
          </w:p>
        </w:tc>
        <w:tc>
          <w:tcPr/>
          <w:p>
            <w:r>
              <w:t xml:space="preserve">significant, 1%</w:t>
            </w:r>
          </w:p>
        </w:tc>
        <w:tc>
          <w:tcPr/>
          <w:p>
            <w:r>
              <w:t xml:space="preserve">44</w:t>
            </w:r>
          </w:p>
        </w:tc>
        <w:tc>
          <w:tcPr/>
          <w:p>
            <w:r>
              <w:t xml:space="preserve">1.99</w:t>
            </w:r>
          </w:p>
        </w:tc>
      </w:tr>
      <w:tr>
        <w:tc>
          <w:tcPr/>
          <w:p>
            <w:r>
              <w:t xml:space="preserve"/>
            </w:r>
          </w:p>
        </w:tc>
        <w:tc>
          <w:tcPr/>
          <w:p>
            <w:r>
              <w:t xml:space="preserve">Asian share</w:t>
            </w:r>
          </w:p>
        </w:tc>
        <w:tc>
          <w:tcPr/>
          <w:p>
            <w:r>
              <w:t xml:space="preserve">−0.248***</w:t>
            </w:r>
          </w:p>
        </w:tc>
        <w:tc>
          <w:tcPr/>
          <w:p>
            <w:r>
              <w:t xml:space="preserve">−0.116***</w:t>
            </w:r>
          </w:p>
        </w:tc>
        <w:tc>
          <w:tcPr/>
          <w:p>
            <w:r>
              <w:t xml:space="preserve">significant, 0.1%, every cutoff</w:t>
            </w:r>
          </w:p>
        </w:tc>
        <w:tc>
          <w:tcPr/>
          <w:p>
            <w:r>
              <w:t xml:space="preserve">48</w:t>
            </w:r>
          </w:p>
        </w:tc>
        <w:tc>
          <w:tcPr/>
          <w:p>
            <w:r>
              <w:t xml:space="preserve">1.29</w:t>
            </w:r>
          </w:p>
        </w:tc>
      </w:tr>
      <w:tr>
        <w:tc>
          <w:tcPr/>
          <w:p>
            <w:r>
              <w:t xml:space="preserve"/>
            </w:r>
          </w:p>
        </w:tc>
        <w:tc>
          <w:tcPr/>
          <w:p>
            <w:r>
              <w:t xml:space="preserve">Log income</w:t>
            </w:r>
          </w:p>
        </w:tc>
        <w:tc>
          <w:tcPr/>
          <w:p>
            <w:r>
              <w:t xml:space="preserve">0.220***</w:t>
            </w:r>
          </w:p>
        </w:tc>
        <w:tc>
          <w:tcPr/>
          <w:p>
            <w:r>
              <w:t xml:space="preserve">0.087</w:t>
            </w:r>
          </w:p>
        </w:tc>
        <w:tc>
          <w:tcPr/>
          <w:p>
            <w:r>
              <w:t xml:space="preserve">significant, 0.1%</w:t>
            </w:r>
          </w:p>
        </w:tc>
        <w:tc>
          <w:tcPr/>
          <w:p>
            <w:r>
              <w:t xml:space="preserve">44</w:t>
            </w:r>
          </w:p>
        </w:tc>
        <w:tc>
          <w:tcPr/>
          <w:p>
            <w:r>
              <w:t xml:space="preserve">0.96</w:t>
            </w:r>
          </w:p>
        </w:tc>
      </w:tr>
      <w:tr>
        <w:tc>
          <w:tcPr/>
          <w:p>
            <w:r>
              <w:t xml:space="preserve">EV charging</w:t>
            </w:r>
          </w:p>
        </w:tc>
        <w:tc>
          <w:tcPr/>
          <w:p>
            <w:r>
              <w:t xml:space="preserve">Black share</w:t>
            </w:r>
          </w:p>
        </w:tc>
        <w:tc>
          <w:tcPr/>
          <w:p>
            <w:r>
              <w:t xml:space="preserve">−0.006</w:t>
            </w:r>
          </w:p>
        </w:tc>
        <w:tc>
          <w:tcPr/>
          <w:p>
            <w:r>
              <w:t xml:space="preserve">−0.008</w:t>
            </w:r>
          </w:p>
        </w:tc>
        <w:tc>
          <w:tcPr/>
          <w:p>
            <w:r>
              <w:t xml:space="preserve">not significant</w:t>
            </w:r>
          </w:p>
        </w:tc>
        <w:tc>
          <w:tcPr/>
          <w:p>
            <w:r>
              <w:t xml:space="preserve">0</w:t>
            </w:r>
          </w:p>
        </w:tc>
        <w:tc>
          <w:tcPr/>
          <w:p>
            <w:r>
              <w:t xml:space="preserve">—</w:t>
            </w:r>
          </w:p>
        </w:tc>
      </w:tr>
      <w:tr>
        <w:tc>
          <w:tcPr/>
          <w:p>
            <w:r>
              <w:t xml:space="preserve"/>
            </w:r>
          </w:p>
        </w:tc>
        <w:tc>
          <w:tcPr/>
          <w:p>
            <w:r>
              <w:t xml:space="preserve">Hispanic share</w:t>
            </w:r>
          </w:p>
        </w:tc>
        <w:tc>
          <w:tcPr/>
          <w:p>
            <w:r>
              <w:t xml:space="preserve">−0.097***</w:t>
            </w:r>
          </w:p>
        </w:tc>
        <w:tc>
          <w:tcPr/>
          <w:p>
            <w:r>
              <w:t xml:space="preserve">−0.037</w:t>
            </w:r>
          </w:p>
        </w:tc>
        <w:tc>
          <w:tcPr/>
          <w:p>
            <w:r>
              <w:t xml:space="preserve">significant, 5%</w:t>
            </w:r>
          </w:p>
        </w:tc>
        <w:tc>
          <w:tcPr/>
          <w:p>
            <w:r>
              <w:t xml:space="preserve">22</w:t>
            </w:r>
          </w:p>
        </w:tc>
        <w:tc>
          <w:tcPr/>
          <w:p>
            <w:r>
              <w:t xml:space="preserve">1.50</w:t>
            </w:r>
          </w:p>
        </w:tc>
      </w:tr>
      <w:tr>
        <w:tc>
          <w:tcPr/>
          <w:p>
            <w:r>
              <w:t xml:space="preserve"/>
            </w:r>
          </w:p>
        </w:tc>
        <w:tc>
          <w:tcPr/>
          <w:p>
            <w:r>
              <w:t xml:space="preserve">Asian share</w:t>
            </w:r>
          </w:p>
        </w:tc>
        <w:tc>
          <w:tcPr/>
          <w:p>
            <w:r>
              <w:t xml:space="preserve">0.046*</w:t>
            </w:r>
          </w:p>
        </w:tc>
        <w:tc>
          <w:tcPr/>
          <w:p>
            <w:r>
              <w:t xml:space="preserve">0.013</w:t>
            </w:r>
          </w:p>
        </w:tc>
        <w:tc>
          <w:tcPr/>
          <w:p>
            <w:r>
              <w:t xml:space="preserve">significant at 50 and 200 km only</w:t>
            </w:r>
          </w:p>
        </w:tc>
        <w:tc>
          <w:tcPr/>
          <w:p>
            <w:r>
              <w:t xml:space="preserve">4</w:t>
            </w:r>
          </w:p>
        </w:tc>
        <w:tc>
          <w:tcPr/>
          <w:p>
            <w:r>
              <w:t xml:space="preserve">0.97</w:t>
            </w:r>
          </w:p>
        </w:tc>
      </w:tr>
      <w:tr>
        <w:tc>
          <w:tcPr/>
          <w:p>
            <w:r>
              <w:t xml:space="preserve"/>
            </w:r>
          </w:p>
        </w:tc>
        <w:tc>
          <w:tcPr/>
          <w:p>
            <w:r>
              <w:t xml:space="preserve">Poverty rate</w:t>
            </w:r>
          </w:p>
        </w:tc>
        <w:tc>
          <w:tcPr/>
          <w:p>
            <w:r>
              <w:t xml:space="preserve">—</w:t>
            </w:r>
          </w:p>
        </w:tc>
        <w:tc>
          <w:tcPr/>
          <w:p>
            <w:r>
              <w:t xml:space="preserve">—</w:t>
            </w:r>
          </w:p>
        </w:tc>
        <w:tc>
          <w:tcPr/>
          <w:p>
            <w:r>
              <w:t xml:space="preserve">significant, 1%</w:t>
            </w:r>
          </w:p>
        </w:tc>
        <w:tc>
          <w:tcPr/>
          <w:p>
            <w:r>
              <w:t xml:space="preserve">—</w:t>
            </w:r>
          </w:p>
        </w:tc>
        <w:tc>
          <w:tcPr/>
          <w:p>
            <w:r>
              <w:t xml:space="preserve">—</w:t>
            </w:r>
          </w:p>
        </w:tc>
      </w:tr>
    </w:tbl>
    <w:p>
      <w:pPr>
        <w:pStyle w:val="Heading2"/>
      </w:pPr>
      <w:r>
        <w:t xml:space="preserve">Affordability context</w:t>
      </w:r>
    </w:p>
    <w:p>
      <w:r>
        <w:t xml:space="preserve">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 the median ZCTA reports about $75 while the maximum exceeds $236,000, and the top 100 ZCTAs account for 92 per cent of the statewide total — which we attribute to error in the source series rather than to real variation. Main-text estimates therefore exclude the 134 ZCTAs above $1,000 per capita; the full-sample results are in Supplementary Table S12. The exclusion matters: the positive Asian-share association with the affordability gap in the full sample (0.090, p = 0.010) disappears once the outliers are removed (−0.019, p = 0.477), and we do not report it as a finding.</w:t>
      </w:r>
    </w:p>
    <w:p ns2:paraId="6E83B6A2" ns2:textId="77777777" w:rsidR="00B86A12" w:rsidRDefault="00091F08">
      <w:pPr>
        <w:pStyle w:val="Heading1"/>
        <w:numPr>
          <w:ilvl w:val="0"/>
          <w:numId w:val="11"/>
        </w:numPr>
      </w:pPr>
      <w:bookmarkStart w:id="39" w:name="_Ref_sec_discussion"/>
      <w:r>
        <w:t>Discussion</w:t>
      </w:r>
      <w:bookmarkEnd w:id="39"/>
    </w:p>
    <w:p>
      <w:pPr>
        <w:pStyle w:val="Heading2"/>
      </w:pPr>
      <w:r>
        <w:t xml:space="preserve">What persists and what changes across technologies</w:t>
      </w:r>
    </w:p>
    <w:p>
      <w:r>
        <w:t xml:space="preserve">The clean energy transition does not reproduce inequality in the same way across technologies. Rooftop PV shows racial and socioeconomic patterning that is substantially, though not entirely, explained by housing composition. Storage is more unequal and more stable, and is the only technology whose disparities survive a fully stacked specification, a specification curve and a spatial error model alike.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actually use.</w:t>
      </w:r>
    </w:p>
    <w:p>
      <w:pPr>
        <w:pStyle w:val="Heading2"/>
      </w:pPr>
      <w:r>
        <w:t xml:space="preserve">Plausible mechanisms</w:t>
      </w:r>
    </w:p>
    <w:p>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r>
        <w:t xml:space="preserve">One result runs against the expected direction and deserves its own explanation. Adding the full confounder set does not shrink the PV income coefficient; it increases it. Education, housing value, structure, tenure and geography together leave the income gradient in rooftop solar larger than the core specification implies, which is 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r>
        <w:t xml:space="preserve">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pPr>
        <w:pStyle w:val="Heading2"/>
      </w:pPr>
      <w:r>
        <w:t xml:space="preserve">Implications for how equity is measured</w:t>
      </w:r>
    </w:p>
    <w:p>
      <w:r>
        <w:t xml:space="preserve">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r>
        <w:t xml:space="preserve">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behaviour, but eligibility rules are themselves written at area level.</w:t>
      </w:r>
    </w:p>
    <w:p>
      <w:pPr>
        <w:pStyle w:val="Heading2"/>
      </w:pPr>
      <w:r>
        <w:t xml:space="preserve">Policy levers differ by technology</w:t>
      </w:r>
    </w:p>
    <w:p>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programmes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r>
        <w:t xml:space="preserve">Two further levers sit outside consumer programmes. Adoption is partly gated by hosting-capacity and interconnection frictions that are themselves socially patterned [11], [12];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incentives for renters — that third-party ownership, on-bill and inclusive financing, and community solar-plus-storage can address where subsidies alone do not.</w:t>
      </w:r>
    </w:p>
    <w:p>
      <w:r>
        <w:t xml:space="preserve">California is both an empirical case and an early warning. As decarbonisation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ns2:paraId="5B589B4F" ns2:textId="77777777" w:rsidR="00091F08" w:rsidRDefault="00091F08" w:rsidP="00091F08">
      <w:pPr>
        <w:pStyle w:val="Heading1"/>
        <w:numPr>
          <w:ilvl w:val="0"/>
          <w:numId w:val="11"/>
        </w:numPr>
      </w:pPr>
      <w:bookmarkStart w:id="40" w:name="_Ref_sec_methods"/>
      <w:commentRangeStart w:id="41"/>
      <w:r>
        <w:lastRenderedPageBreak/>
        <w:t>Methods</w:t>
      </w:r>
      <w:bookmarkEnd w:id="40"/>
      <w:commentRangeEnd w:id="41"/>
      <w:r w:rsidR="009C6396">
        <w:rPr>
          <w:rStyle w:val="CommentReference"/>
          <w:sz w:val="28"/>
          <w:szCs w:val="28"/>
        </w:rPr>
        <w:commentReference w:id="41"/>
      </w:r>
    </w:p>
    <w:p ns2:paraId="714B1591" ns2:textId="77777777" w:rsidR="00091F08" w:rsidRDefault="00091F08" w:rsidP="00091F08">
      <w:pPr>
        <w:pStyle w:val="Heading2"/>
        <w:numPr>
          <w:ilvl w:val="1"/>
          <w:numId w:val="11"/>
        </w:numPr>
      </w:pPr>
      <w:r>
        <w:t>Empirical Approach</w:t>
      </w:r>
    </w:p>
    <w:p ns2:paraId="68873CC8" ns2: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series makes the results easier to interpret because changes in the coefficients of interest can be linked to specific added controls rather than to one opaque saturated specification. The Methods state the baseline equation and define each rung of the cumulative ladder, and Figure 2 shows the resulting coefficient paths. It also supports direct comparison across technologies, which is central to the paper’s multi-DER framing.</w:t>
      </w:r>
      <w:r w:rsidR="001F19B7">
        <w:t/>
      </w:r>
      <w:r>
        <w:t xml:space="preserve"/>
      </w:r>
      <w:r>
        <w:fldChar w:fldCharType="begin"/>
      </w:r>
      <w:r>
        <w:instrText xml:space="preserve"> REF _Ref_sec_m_baseline \r \h </w:instrText>
      </w:r>
      <w:r>
        <w:fldChar w:fldCharType="separate"/>
      </w:r>
      <w:r>
        <w:t/>
      </w:r>
      <w:r>
        <w:fldChar w:fldCharType="end"/>
      </w:r>
      <w:r>
        <w:t xml:space="preserve"/>
      </w:r>
      <w:r>
        <w:fldChar w:fldCharType="begin"/>
      </w:r>
      <w:r>
        <w:instrText xml:space="preserve"> REF _Ref_sec_modelseries \r \h </w:instrText>
      </w:r>
      <w:r>
        <w:fldChar w:fldCharType="separate"/>
      </w:r>
      <w:r>
        <w:t/>
      </w:r>
      <w:r>
        <w:fldChar w:fldCharType="end"/>
      </w:r>
      <w:r>
        <w:t xml:space="preserve"/>
      </w:r>
      <w:r>
        <w:fldChar w:fldCharType="begin"/>
      </w:r>
      <w:r>
        <w:instrText xml:space="preserve"> REF _Ref_fig4 \h </w:instrText>
      </w:r>
      <w:r>
        <w:fldChar w:fldCharType="separate"/>
      </w:r>
      <w:r>
        <w:t/>
      </w:r>
      <w:r>
        <w:fldChar w:fldCharType="end"/>
      </w:r>
      <w:r>
        <w:t xml:space="preserve"/>
      </w:r>
    </w:p>
    <w:p ns2:paraId="759A5941" ns2: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ns2:paraId="2733AE15" ns2:textId="77777777" w:rsidR="00091F08" w:rsidRDefault="00091F08" w:rsidP="00091F08">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ns2:paraId="04AA24EA" ns2: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ns2:paraId="13560EE8" ns2:textId="63E9BC3B" w:rsidR="0019795D" w:rsidRDefault="0019795D" w:rsidP="0019795D">
      <w:pPr>
        <w:pStyle w:val="Heading2"/>
        <w:numPr>
          <w:ilvl w:val="1"/>
          <w:numId w:val="11"/>
        </w:numPr>
      </w:pPr>
      <w:bookmarkStart w:id="43" w:name="_Ref_tbl1"/>
      <w:r>
        <w:t>Data and Measures</w:t>
      </w:r>
    </w:p>
    <w:p ns2:paraId="32458CC3" ns2:textId="77777777" w:rsidR="00B86A12" w:rsidRDefault="00000000" w:rsidP="0019795D">
      <w:pPr>
        <w:pStyle w:val="Heading3"/>
        <w:numPr>
          <w:ilvl w:val="2"/>
          <w:numId w:val="11"/>
        </w:numPr>
      </w:pPr>
      <w:r>
        <w:rPr>
          <w:rStyle w:val="Heading2Char"/>
          <w:b/>
          <w:bCs/>
        </w:rPr>
        <w:t>Unit of analysis</w:t>
      </w:r>
    </w:p>
    <w:p ns2:paraId="3135F1C1" ns2:textId="77777777" w:rsidR="00B86A12" w:rsidRDefault="00000000">
      <w:r>
        <w:t xml:space="preserve">The unit of analysis is the ZIP-code level, implemented using Census ZIP Code Tabulation Areas (ZCTAs),  which are geographic entities defined by the U.S. Census Bureau to approximate ZIP code service areas. ZCTA geography is the most practical common denominator across the DER, demographic, and contextual assembled source files.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ns2:paraId="43BF3209" ns2:textId="77777777" w:rsidR="00B86A12" w:rsidRDefault="00000000" w:rsidP="0019795D">
      <w:pPr>
        <w:pStyle w:val="Heading3"/>
        <w:numPr>
          <w:ilvl w:val="2"/>
          <w:numId w:val="11"/>
        </w:numPr>
      </w:pPr>
      <w:r>
        <w:t>Descriptive distributions</w:t>
      </w:r>
    </w:p>
    <w:p ns2:paraId="18EF5B9D" ns2:textId="77777777" w:rsidR="00B86A12" w:rsidRDefault="00000000">
      <w:r>
        <w:t xml:space="preserve">Before turning to regression coefficients, it is useful to see how uneven the raw distributions already are. Figure 1 shows that the DER adoption is quite uneven and heterogeneous across the state for all three DER types (solar PV, storage, and EV charging). Supplementary Fig. S15 shows that the three DER outcomes are right-skewed, while the socioeconomic context variables span materially different neighborhood conditions. Table 2 then summarizes the analysis sample numerically so that the later model comparisons can be interpreted relative to the observed scale of the data.</w:t>
      </w:r>
      <w:r>
        <w:fldChar w:fldCharType="begin"/>
      </w:r>
      <w:r>
        <w:instrText xml:space="preserve"> REF _Ref_fig1 \h </w:instrText>
      </w:r>
      <w:r>
        <w:fldChar w:fldCharType="separate"/>
      </w:r>
      <w:r>
        <w:t/>
      </w:r>
      <w:r>
        <w:fldChar w:fldCharType="end"/>
      </w:r>
      <w:r>
        <w:t xml:space="preserve"/>
      </w:r>
      <w:r>
        <w:fldChar w:fldCharType="begin"/>
      </w:r>
      <w:r>
        <w:instrText xml:space="preserve"> REF _Ref_fig2 \h </w:instrText>
      </w:r>
      <w:r>
        <w:fldChar w:fldCharType="separate"/>
      </w:r>
      <w:r>
        <w:t/>
      </w:r>
      <w:r>
        <w:fldChar w:fldCharType="end"/>
      </w:r>
      <w:r>
        <w:t xml:space="preserve"/>
      </w:r>
      <w:r>
        <w:fldChar w:fldCharType="begin"/>
      </w:r>
      <w:r>
        <w:instrText xml:space="preserve"> REF _Ref_tbl2 \h </w:instrText>
      </w:r>
      <w:r>
        <w:fldChar w:fldCharType="separate"/>
      </w:r>
      <w:r>
        <w:t/>
      </w:r>
      <w:r>
        <w:fldChar w:fldCharType="end"/>
      </w:r>
      <w:r>
        <w:t xml:space="preserve"/>
      </w:r>
    </w:p>
    <w:p ns2:paraId="0E56CADA" ns2:textId="77777777" w:rsidR="00091F08" w:rsidRDefault="00091F08" w:rsidP="00091F08">
      <w:pPr>
        <w:pStyle w:val="Heading2"/>
        <w:numPr>
          <w:ilvl w:val="1"/>
          <w:numId w:val="11"/>
        </w:numPr>
      </w:pPr>
      <w:bookmarkStart w:id="47" w:name="_Ref_sec_m_data"/>
      <w:r>
        <w:t>Dataset Construction and Sample</w:t>
      </w:r>
      <w:bookmarkEnd w:id="47"/>
    </w:p>
    <w:p>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utility, so the behind-the-meter reading of the storage results is supported by the source. A sensitivity excluding non-residential records is reported in Supplementary Table S16.</w:t>
      </w:r>
    </w:p>
    <w:p ns2:paraId="32B0B642" ns2:textId="612A9EB3" w:rsidR="00091F08" w:rsidRDefault="00091F08" w:rsidP="00091F08">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38" w:history="1">
        <w:r w:rsidR="00B908F0" w:rsidRPr="00CB6459">
          <w:rPr>
            <w:rStyle w:val="Hyperlink"/>
          </w:rPr>
          <w:t>https://github.com/vineetjnair9/distributed-energy-resources-equity-CA</w:t>
        </w:r>
      </w:hyperlink>
      <w:r w:rsidR="00B908F0">
        <w:t xml:space="preserve"> </w:t>
      </w:r>
      <w:r>
        <w:t>under the MIT License. The harmonized ZCTA analysis file will be deposited as a separate Zenodo record under CC-BY-4.0.</w:t>
      </w:r>
    </w:p>
    <w:p ns2:paraId="404CCA22" ns2:textId="32F7E52B" w:rsidR="00091F08" w:rsidRDefault="00091F08" w:rsidP="00091F08">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and also makes clear that some ZCTAs are absent because the underlying merged sample is incomplete in those places.</w:t>
      </w:r>
      <w:r w:rsidR="00B908F0">
        <w:t xml:space="preserve"/>
      </w:r>
      <w:hyperlink w:anchor="_Ref_src26" w:history="1">
        <w:r>
          <w:t/>
        </w:r>
      </w:hyperlink>
      <w:r>
        <w:t xml:space="preserve"/>
      </w:r>
      <w:r>
        <w:lastRenderedPageBreak/>
        <w:t/>
      </w:r>
      <w:r w:rsidR="00B908F0">
        <w:t xml:space="preserve"/>
      </w:r>
      <w:hyperlink w:anchor="_Ref_src28" w:history="1">
        <w:r>
          <w:t/>
        </w:r>
      </w:hyperlink>
      <w:r>
        <w:t xml:space="preserve"/>
      </w:r>
      <w:r w:rsidR="00B908F0">
        <w:t xml:space="preserve"/>
      </w:r>
      <w:hyperlink w:anchor="_Ref_src29" w:history="1">
        <w:r>
          <w:t/>
        </w:r>
      </w:hyperlink>
      <w:r>
        <w:t xml:space="preserve"/>
      </w:r>
      <w:hyperlink w:anchor="_Ref_src30" w:history="1">
        <w:r>
          <w:t/>
        </w:r>
      </w:hyperlink>
      <w:r>
        <w:t xml:space="preserve"/>
      </w:r>
      <w:hyperlink w:anchor="_Ref_src31" w:history="1">
        <w:r>
          <w:t/>
        </w:r>
      </w:hyperlink>
      <w:r>
        <w:t xml:space="preserve"/>
      </w:r>
      <w:hyperlink w:anchor="_Ref_src27" w:history="1">
        <w:r>
          <w:t/>
        </w:r>
      </w:hyperlink>
      <w:r>
        <w:t xml:space="preserve"/>
      </w:r>
      <w:hyperlink w:anchor="_Ref_src33" w:history="1">
        <w:r>
          <w:t/>
        </w:r>
      </w:hyperlink>
      <w:r>
        <w:t xml:space="preserve"/>
      </w:r>
      <w:hyperlink w:anchor="_Ref_src35" w:history="1">
        <w:r>
          <w:t/>
        </w:r>
      </w:hyperlink>
      <w:r>
        <w:t xml:space="preserve"/>
      </w:r>
      <w:r>
        <w:fldChar w:fldCharType="begin"/>
      </w:r>
      <w:r>
        <w:instrText xml:space="preserve"> REF _Ref_fig1 \h </w:instrText>
      </w:r>
      <w:r>
        <w:fldChar w:fldCharType="separate"/>
      </w:r>
      <w:r>
        <w:t/>
      </w:r>
      <w:r>
        <w:fldChar w:fldCharType="end"/>
      </w:r>
      <w:r>
        <w:t xml:space="preserve"/>
      </w:r>
    </w:p>
    <w:p ns2:paraId="5CF3511E" ns2:textId="77777777" w:rsidR="00091F08" w:rsidRDefault="00091F08" w:rsidP="00091F08">
      <w:r>
        <w:t xml:space="preserve">After source-specific cleaning, the DER measures are merged with contextual predictors. Demographic and socioeconomic variables come from the 2023 American Community Survey 5-year estimates[25]. Housing structure uses every category in ACS B25024: single-family, multifamily, mobile-home, and boat/RV/van/other shares sum to one. Tenure uses B25003 owner occupancy, with renter occupancy as its complement. Climate and renewable-resource controls come from NASA POWER[27]; utility territory uses a ZIP-to-utility spatial crosswalk; and annualized utility usage provides the electricity-demand proxy[29].</w:t>
      </w:r>
      <w:hyperlink w:anchor="_Ref_src32" w:history="1">
        <w:r>
          <w:t/>
        </w:r>
      </w:hyperlink>
      <w:r>
        <w:t/>
      </w:r>
      <w:hyperlink w:anchor="_Ref_src34" w:history="1">
        <w:r>
          <w:t/>
        </w:r>
      </w:hyperlink>
      <w:r>
        <w:t/>
      </w:r>
      <w:hyperlink w:anchor="_Ref_src36" w:history="1">
        <w:r>
          <w:t/>
        </w:r>
      </w:hyperlink>
      <w:r>
        <w:t/>
      </w:r>
    </w:p>
    <w:p ns2:paraId="7D7BD2C6" ns2:textId="77777777" w:rsidR="00091F08" w:rsidRDefault="00091F08" w:rsidP="00091F08">
      <w:r>
        <w:t xml:space="preserve">The unit of analysis is the ZCTA. We use ZCTAs because they provide the most practical common geography across the available DER and demographic sources. The study is designed as a 2023 cross-sectional snapshot, using the most recent data aligned as closely as possible to that year.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ns2:paraId="1251DED5" ns2:textId="77777777" w:rsidR="00091F08" w:rsidRDefault="00091F08" w:rsidP="00091F08">
      <w:pPr>
        <w:pStyle w:val="Heading2"/>
        <w:numPr>
          <w:ilvl w:val="1"/>
          <w:numId w:val="11"/>
        </w:numPr>
      </w:pPr>
      <w:bookmarkStart w:id="50" w:name="_Ref_sec_m_outcomes"/>
      <w:r>
        <w:t>Outcome Variables</w:t>
      </w:r>
      <w:bookmarkEnd w:id="50"/>
    </w:p>
    <w:p ns2:paraId="69DE503E" ns2: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ns2:paraId="5925AA47" ns2:textId="77777777" w:rsidR="001F19B7" w:rsidRDefault="00091F08" w:rsidP="001F19B7">
      <w:r>
        <w:t>For EV charging:</w:t>
      </w:r>
    </w:p>
    <w:p ns2:paraId="2E622B35" ns2:textId="34591920" w:rsidR="00091F08" w:rsidRDefault="009657B3" w:rsidP="001F19B7">
      <ns9:oMathPara>
        <ns9:oMathParaPr>
          <ns9:jc ns9:val="left"/>
        </ns9:oMathParaPr>
        <ns9:oMath>
          <ns9:r>
            <w:rPr>
              <w:rFonts w:ascii="Cambria Math" w:hAnsi="Cambria Math"/>
              <w:sz w:val="14"/>
              <w:szCs w:val="14"/>
            </w:rPr>
            <ns9:t>chargers_per_1k = (total_chargers × 1000) / population</ns9:t>
          </ns9:r>
          <ns9:r>
            <ns9:rPr>
              <ns9:sty ns9:val="p"/>
            </ns9:rPr>
            <w:rPr>
              <w:rFonts w:ascii="Cambria Math" w:hAnsi="Cambria Math"/>
              <w:sz w:val="14"/>
              <w:szCs w:val="14"/>
            </w:rPr>
            <w:br/>
          </ns9:r>
        </ns9:oMath>
      </ns9:oMathPara>
      <ns9:oMath>
        <ns9:r>
          <w:rPr>
            <w:rFonts w:ascii="Cambria Math" w:hAnsi="Cambria Math"/>
            <w:sz w:val="14"/>
            <w:szCs w:val="14"/>
          </w:rPr>
          <ns9:t>y_chargers = log(1 + chargers_per_1k)</ns9:t>
        </ns9:r>
      </ns9:oMath>
      <w:r>
        <w:tab/>
      </w:r>
      <w:bookmarkStart w:id="51" w:name="_Ref_eq_chargers"/>
      <w:r>
        <w:t>(</w:t>
      </w:r>
      <w:fldSimple w:instr=" SEQ Equation \* ARABIC ">
        <w:r>
          <w:t>1</w:t>
        </w:r>
      </w:fldSimple>
      <w:r>
        <w:t>)</w:t>
      </w:r>
      <w:bookmarkEnd w:id="51"/>
    </w:p>
    <w:p ns2:paraId="07204AB4" ns2:textId="77777777" w:rsidR="00091F08" w:rsidRDefault="00091F08" w:rsidP="00091F08">
      <w:r>
        <w:t>For solar PV:</w:t>
      </w:r>
    </w:p>
    <w:p ns2:paraId="7CDE8293" ns2:textId="77777777" w:rsidR="00091F08" w:rsidRDefault="009657B3" w:rsidP="3DC018EE">
      <w:pPr>
        <w:tabs>
          <w:tab w:val="right" w:pos="10080"/>
        </w:tabs>
        <w:jc w:val="center"/>
      </w:pPr>
      <ns9:oMathPara>
        <ns9:oMathParaPr>
          <ns9:jc ns9:val="left"/>
        </ns9:oMathParaPr>
        <ns9:oMath>
          <ns9:r>
            <w:rPr>
              <w:rFonts w:ascii="Cambria Math" w:hAnsi="Cambria Math"/>
              <w:sz w:val="14"/>
              <w:szCs w:val="14"/>
            </w:rPr>
            <ns9:t>pv_kW_per_1k = (PV_system_size_DC × 1000) / population</ns9:t>
          </ns9:r>
          <ns9:r>
            <ns9:rPr>
              <ns9:sty ns9:val="p"/>
            </ns9:rPr>
            <w:rPr>
              <w:rFonts w:ascii="Cambria Math" w:hAnsi="Cambria Math"/>
              <w:sz w:val="14"/>
              <w:szCs w:val="14"/>
            </w:rPr>
            <w:br/>
          </ns9:r>
        </ns9:oMath>
      </ns9:oMathPara>
      <ns9:oMath>
        <ns9:r>
          <w:rPr>
            <w:rFonts w:ascii="Cambria Math" w:hAnsi="Cambria Math"/>
            <w:sz w:val="14"/>
            <w:szCs w:val="14"/>
          </w:rPr>
          <ns9:t>y_pv = log(1 + pv_kW_per_1k)</ns9:t>
        </ns9:r>
      </ns9:oMath>
      <w:r>
        <w:tab/>
      </w:r>
      <w:bookmarkStart w:id="52" w:name="_Ref_eq_pv"/>
      <w:r>
        <w:t>(</w:t>
      </w:r>
      <w:fldSimple w:instr=" SEQ Equation \* ARABIC ">
        <w:r>
          <w:t>2</w:t>
        </w:r>
      </w:fldSimple>
      <w:r>
        <w:t>)</w:t>
      </w:r>
      <w:bookmarkEnd w:id="52"/>
    </w:p>
    <w:p ns2:paraId="7F444187" ns2:textId="77777777" w:rsidR="00091F08" w:rsidRDefault="00091F08" w:rsidP="00091F08">
      <w:r>
        <w:t>For battery storage:</w:t>
      </w:r>
    </w:p>
    <w:p ns2:paraId="7892C91B" ns2:textId="77777777" w:rsidR="00091F08" w:rsidRDefault="009657B3" w:rsidP="3DC018EE">
      <w:pPr>
        <w:tabs>
          <w:tab w:val="right" w:pos="10080"/>
        </w:tabs>
        <w:jc w:val="center"/>
      </w:pPr>
      <ns9:oMathPara>
        <ns9:oMathParaPr>
          <ns9:jc ns9:val="left"/>
        </ns9:oMathParaPr>
        <ns9:oMath>
          <ns9:r>
            <w:rPr>
              <w:rFonts w:ascii="Cambria Math" w:hAnsi="Cambria Math"/>
              <w:sz w:val="14"/>
              <w:szCs w:val="14"/>
            </w:rPr>
            <ns9:t>storage_MW_per_100k = (storage_capacity_mw × 100000) / population</ns9:t>
          </ns9:r>
          <ns9:r>
            <ns9:rPr>
              <ns9:sty ns9:val="p"/>
            </ns9:rPr>
            <w:rPr>
              <w:rFonts w:ascii="Cambria Math" w:hAnsi="Cambria Math"/>
              <w:sz w:val="14"/>
              <w:szCs w:val="14"/>
            </w:rPr>
            <w:br/>
          </ns9:r>
        </ns9:oMath>
      </ns9:oMathPara>
      <ns9:oMath>
        <ns9:r>
          <w:rPr>
            <w:rFonts w:ascii="Cambria Math" w:hAnsi="Cambria Math"/>
            <w:sz w:val="14"/>
            <w:szCs w:val="14"/>
          </w:rPr>
          <ns9:t>y_storage = log(1 + storage_MW_per_100k)</ns9:t>
        </ns9:r>
      </ns9:oMath>
      <w:r>
        <w:tab/>
      </w:r>
      <w:bookmarkStart w:id="53" w:name="_Ref_eq_storage"/>
      <w:r>
        <w:t>(</w:t>
      </w:r>
      <w:fldSimple w:instr=" SEQ Equation \* ARABIC ">
        <w:r>
          <w:t>3</w:t>
        </w:r>
      </w:fldSimple>
      <w:r>
        <w:t>)</w:t>
      </w:r>
      <w:bookmarkEnd w:id="53"/>
    </w:p>
    <w:p ns2:paraId="323A14C2" ns2: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r>
        <w:t xml:space="preserve">Deployment is zero in a non-trivial share of ZCTAs, and the share differs sharply by technology: 5.3 per cent for PV, 6.6 for storage, 19.0 for aggregate charging, 22.3 for Level 2 and 44.2 for DC fast, but 97.8 per cent for Level 1 and 97.5 per cent for wind capacity (Supplementary Table S17). Level 1 charging and wind are therefore too sparse to support a coefficient at this geography and are reported descriptively rather than modelled in the main text.</w:t>
      </w:r>
    </w:p>
    <w:p ns2:paraId="793B2B5E" ns2:textId="77777777" w:rsidR="00091F08" w:rsidRDefault="00091F08" w:rsidP="00091F08">
      <w:pPr>
        <w:pStyle w:val="Heading2"/>
        <w:numPr>
          <w:ilvl w:val="1"/>
          <w:numId w:val="11"/>
        </w:numPr>
      </w:pPr>
      <w:bookmarkStart w:id="54" w:name="_Ref_sec_m_predictors"/>
      <w:r>
        <w:lastRenderedPageBreak/>
        <w:t>Key Explanatory Variables</w:t>
      </w:r>
      <w:bookmarkEnd w:id="54"/>
    </w:p>
    <w:p ns2:paraId="6DFBADA1" ns2:textId="0DBAE160" w:rsidR="00091F08" w:rsidRDefault="00091F08" w:rsidP="00091F08">
      <w:r>
        <w:t xml:space="preserve">The main explanatory variables fall into two groups: racial/ethnic composition and socioeconomic status. The race/ethnicity variables are 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ns2:paraId="6B40FCAF" ns2: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ns2:paraId="372AC7E0" ns2: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ns2:paraId="7F42B16A" ns2:textId="77777777" w:rsidR="00091F08" w:rsidRDefault="0014223F" w:rsidP="00091F08">
      <w:pPr>
        <w:pStyle w:val="Heading2"/>
        <w:numPr>
          <w:ilvl w:val="1"/>
          <w:numId w:val="11"/>
        </w:numPr>
      </w:pPr>
      <w:bookmarkStart w:id="55" w:name="_Ref_sec_m_controls"/>
      <w:r>
        <w:t>Contextual Controls</w:t>
      </w:r>
      <w:bookmarkEnd w:id="55"/>
    </w:p>
    <w:p ns2:paraId="3C9D35EE" ns2: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ns2:paraId="762AC00D" ns2: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ns2:paraId="6116B5B2" ns2: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ZCTA contributes an independent disturbance.</w:t>
      </w:r>
    </w:p>
    <w:p ns2:paraId="3F455AFC" ns2: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r>
        <w:t xml:space="preserve">The resource control differs by outcome by design rather than by oversight. Each technology takes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standardised scale and on the nested ladder, in which the control is held fixed within each outcome, rather than on an identical right-hand side.</w:t>
      </w:r>
    </w:p>
    <w:p ns2:paraId="62C04FE9" ns2:textId="77777777" w:rsidR="00091F08" w:rsidRDefault="00F51C53" w:rsidP="00091F08">
      <w:pPr>
        <w:pStyle w:val="Heading2"/>
        <w:numPr>
          <w:ilvl w:val="1"/>
          <w:numId w:val="11"/>
        </w:numPr>
      </w:pPr>
      <w:bookmarkStart w:id="56" w:name="_Ref_sec_m_baseline"/>
      <w:r>
        <w:t>Baseline Regression Specification</w:t>
      </w:r>
      <w:bookmarkEnd w:id="56"/>
    </w:p>
    <w:p ns2:paraId="06C679BC" ns2:textId="77777777" w:rsidR="00091F08" w:rsidRDefault="00091F08" w:rsidP="00091F08">
      <w:r>
        <w:t>The main estimation approach is ordinary least squares regression using the transformed ZCTA-level deployment outcomes. The baseline specification is:</w:t>
      </w:r>
    </w:p>
    <w:p ns2:paraId="0738DDD8" ns2:textId="7F374BB7" w:rsidR="00091F08" w:rsidRDefault="00191111" w:rsidP="3DC018EE">
      <w:pPr>
        <w:tabs>
          <w:tab w:val="right" w:pos="10080"/>
        </w:tabs>
        <w:jc w:val="center"/>
      </w:pPr>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8"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8"/>
    </w:p>
    <w:p ns2:paraId="2BA351F4" ns2:textId="6BDBA16B" w:rsidR="00091F08" w:rsidRDefault="00091F08" w:rsidP="00091F08">
      <w:r>
        <w:lastRenderedPageBreak/>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ns2:paraId="338BD71B" ns2: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S8.</w:t>
      </w:r>
      <w:r w:rsidR="001F19B7">
        <w:t/>
      </w:r>
      <w:r>
        <w:t xml:space="preserve"/>
      </w:r>
      <w:r w:rsidR="00581AD7">
        <w:t xml:space="preserve"/>
      </w:r>
      <w:r w:rsidR="002E28C7">
        <w:t xml:space="preserve"/>
      </w:r>
      <w:r w:rsidR="00581AD7">
        <w:t xml:space="preserve"/>
      </w:r>
      <w:r>
        <w:t xml:space="preserve"/>
      </w:r>
      <w:r>
        <w:fldChar w:fldCharType="begin"/>
      </w:r>
      <w:r>
        <w:instrText xml:space="preserve"> REF _Ref_tbl_conley \h </w:instrText>
      </w:r>
      <w:r>
        <w:fldChar w:fldCharType="separate"/>
      </w:r>
      <w:r>
        <w:t/>
      </w:r>
      <w:r>
        <w:fldChar w:fldCharType="end"/>
      </w:r>
      <w:r>
        <w:t/>
      </w:r>
    </w:p>
    <w:p ns2:paraId="16C7FC01" ns2:textId="18FD81DD" w:rsidR="00091F08" w:rsidRDefault="00091F08" w:rsidP="00091F08">
      <w:r>
        <w:t xml:space="preserve">Rather than relying on one preferred specification, </w:t>
      </w:r>
      <w:r w:rsidR="001F19B7">
        <w:t>we</w:t>
      </w:r>
      <w:r>
        <w:t xml:space="preserve"> estimate a model series. This matters because the paper is not only asking whether disparities appear in one model, but whether they persist as progressively richer controls are introduced. The modeling objective is therefore coefficient stability and interpretability across related specifications, not selection of a single best predictive model.</w:t>
      </w:r>
    </w:p>
    <w:p>
      <w:pPr>
        <w:pStyle w:val="Heading2"/>
      </w:pPr>
      <w:r>
        <w:t xml:space="preserve">Model series and nested cumulative ladder</w:t>
      </w:r>
    </w:p>
    <w:p>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housing value, housing structure, tenure, alternative climate and resource measures, centred income-by-race interactions, utility fixed effects, geographic controls, infrastructure context and an electricity-demand proxy. These are siblings rather than rungs — some swap a control rather than adding one — so the series answers which single block moves which coefficient, not whether the blocks jointly absorb an effect. Full specifications and coefficient tables are in Supplementary Table S18.</w:t>
      </w:r>
    </w:p>
    <w:p>
      <w:r>
        <w:t xml:space="preserve">The second is a genuinely nested cumulative ladder in which each rung is a strict superset of the last: C1 adds nothing to the core; C2 adds educational attainment and median housing value; C3 adds ACS B25024 housing structure and B25003 tenure; C4 adds utility fixed effects; and C5 adds county fixed effects with county-clustered standard errors, dropping the ZCTA-level climate control that county fixed effects very nearly absorb. County and utility fixed effects are not stacked with climate in one design matrix. All rungs are fitted on one intersected, listwise-deleted sample — rows non-missing on every variable used anywhere in the ladder, plus the minimum cluster-size filter — so N and cluster count are identical at every rung and coefficient movement reflects controls alone. A separate model adds the electricity-demand proxy and infrastructure capacity; these sit on the causal path from income and race to adoption, so conditioning on them estimates a direct rather than a total effect and it is reported only as a conservative lower bound. Interactions are kept out of the cumulative ladder.</w:t>
      </w:r>
    </w:p>
    <w:p>
      <w:r>
        <w:t xml:space="preserve">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R²max set to 1.3 times the saturated R², capped at one; δ is reported only where adding controls attenuates the coefficient, since the bound is not interpretable otherwise.</w:t>
      </w:r>
    </w:p>
    <w:p ns2:paraId="1B6BCBBE" ns2:textId="77777777" w:rsidR="00091F08" w:rsidRDefault="0042424C" w:rsidP="00091F08">
      <w:pPr>
        <w:pStyle w:val="Heading2"/>
        <w:numPr>
          <w:ilvl w:val="1"/>
          <w:numId w:val="11"/>
        </w:numPr>
      </w:pPr>
      <w:bookmarkStart w:id="78" w:name="_Ref_sec_m_estimation"/>
      <w:r>
        <w:t>Estimation and Inference</w:t>
      </w:r>
      <w:bookmarkEnd w:id="78"/>
    </w:p>
    <w:p ns2:paraId="1173EAD4" ns2: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ns2:paraId="27048056" ns2:textId="77777777" w:rsidR="00091F08" w:rsidRDefault="0042424C" w:rsidP="0019795D">
      <w:pPr>
        <w:pStyle w:val="Heading2"/>
        <w:numPr>
          <w:ilvl w:val="1"/>
          <w:numId w:val="11"/>
        </w:numPr>
        <w:ind w:hanging="540"/>
      </w:pPr>
      <w:bookmarkStart w:id="79" w:name="_Ref_sec_m_robustness"/>
      <w:r>
        <w:t>Robustness and Diagnostic Checks</w:t>
      </w:r>
      <w:bookmarkEnd w:id="79"/>
    </w:p>
    <w:p ns2:paraId="72BC3B5B" ns2:textId="2127660D" w:rsidR="00091F08" w:rsidRDefault="00091F08" w:rsidP="00091F08">
      <w:r>
        <w:t xml:space="preserve">In addition to the main regression ladder, we conduct several supporting checks. We examine variance inflation factors (VIFs) to monitor multicollinearity across specifications (Supplementary Table S13),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(Figure 1, Supplementary Fig. S15, and Figure 2). Residual spatial dependence and spatially robust inference are examined in Statistical robustness and diagnostics (Supplementary Table S7 and Supplementary Table S8).</w:t>
      </w:r>
      <w:r w:rsidR="00FA0279">
        <w:t/>
      </w:r>
      <w:r>
        <w:t xml:space="preserve"/>
      </w:r>
      <w:r>
        <w:fldChar w:fldCharType="begin"/>
      </w:r>
      <w:r>
        <w:instrText xml:space="preserve"> REF _Ref_tbl_vif \h </w:instrText>
      </w:r>
      <w:r>
        <w:fldChar w:fldCharType="separate"/>
      </w:r>
      <w:r>
        <w:t/>
      </w:r>
      <w:r>
        <w:fldChar w:fldCharType="end"/>
      </w:r>
      <w:r>
        <w:t/>
      </w:r>
      <w:r>
        <w:fldChar w:fldCharType="begin"/>
      </w:r>
      <w:r>
        <w:instrText xml:space="preserve"> REF _Ref_fig1 \h </w:instrText>
      </w:r>
      <w:r>
        <w:fldChar w:fldCharType="separate"/>
      </w:r>
      <w:r>
        <w:t/>
      </w:r>
      <w:r>
        <w:fldChar w:fldCharType="end"/>
      </w:r>
      <w:r>
        <w:t xml:space="preserve"/>
      </w:r>
      <w:r>
        <w:fldChar w:fldCharType="begin"/>
      </w:r>
      <w:r>
        <w:instrText xml:space="preserve"> REF _Ref_fig2 \h </w:instrText>
      </w:r>
      <w:r>
        <w:fldChar w:fldCharType="separate"/>
      </w:r>
      <w:r>
        <w:t/>
      </w:r>
      <w:r>
        <w:fldChar w:fldCharType="end"/>
      </w:r>
      <w:r>
        <w:t xml:space="preserve"/>
      </w:r>
      <w:r>
        <w:fldChar w:fldCharType="begin"/>
      </w:r>
      <w:r>
        <w:instrText xml:space="preserve"> REF _Ref_fig4 \h </w:instrText>
      </w:r>
      <w:r>
        <w:fldChar w:fldCharType="separate"/>
      </w:r>
      <w:r>
        <w:t/>
      </w:r>
      <w:r>
        <w:fldChar w:fldCharType="end"/>
      </w:r>
      <w:r>
        <w:t xml:space="preserve"/>
      </w:r>
      <w:r>
        <w:fldChar w:fldCharType="begin"/>
      </w:r>
      <w:r>
        <w:instrText xml:space="preserve"> REF _Ref_sec_appx_diag \h </w:instrText>
      </w:r>
      <w:r>
        <w:fldChar w:fldCharType="separate"/>
      </w:r>
      <w:r>
        <w:t/>
      </w:r>
      <w:r>
        <w:fldChar w:fldCharType="end"/>
      </w:r>
      <w:r>
        <w:t xml:space="preserve"/>
      </w:r>
      <w:r>
        <w:fldChar w:fldCharType="begin"/>
      </w:r>
      <w:r>
        <w:instrText xml:space="preserve"> REF _Ref_tbl_moran \h </w:instrText>
      </w:r>
      <w:r>
        <w:fldChar w:fldCharType="separate"/>
      </w:r>
      <w:r>
        <w:t/>
      </w:r>
      <w:r>
        <w:fldChar w:fldCharType="end"/>
      </w:r>
      <w:r>
        <w:t xml:space="preserve"/>
      </w:r>
      <w:r>
        <w:fldChar w:fldCharType="begin"/>
      </w:r>
      <w:r>
        <w:instrText xml:space="preserve"> REF _Ref_tbl_conley \h </w:instrText>
      </w:r>
      <w:r>
        <w:fldChar w:fldCharType="separate"/>
      </w:r>
      <w:r>
        <w:t/>
      </w:r>
      <w:r>
        <w:fldChar w:fldCharType="end"/>
      </w:r>
      <w:r>
        <w:t/>
      </w:r>
    </w:p>
    <w:p ns2:paraId="3A3E0347" ns2: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S13</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ns2:paraId="78107FF3" ns2:textId="586FF2A7" w:rsidR="00091F08" w:rsidRDefault="00091F08" w:rsidP="00091F08">
      <w:r>
        <w:t xml:space="preserve">In exploratory analysis, we compare linear specifications to more flexible predictive models, including polynomial regression, random forest, and gradient-boosted trees, using cross-validation (Supplementary Fig. S5, Supplementary Fig. S6, and Supplementary Fig. S8). These models are not the basis for the paper’s main claims. Instead, they serve as a diagnostic check on whether simple linear models are missing strong nonlinear structure. The substantive conclusions remain grounded in the interpretable OLS results.</w:t>
      </w:r>
      <w:r w:rsidR="001F19B7">
        <w:t/>
      </w:r>
      <w:r>
        <w:t xml:space="preserve"/>
      </w:r>
      <w:r>
        <w:fldChar w:fldCharType="begin"/>
      </w:r>
      <w:r>
        <w:instrText xml:space="preserve"> REF _Ref_fig17 \h </w:instrText>
      </w:r>
      <w:r>
        <w:fldChar w:fldCharType="separate"/>
      </w:r>
      <w:r>
        <w:t/>
      </w:r>
      <w:r>
        <w:fldChar w:fldCharType="end"/>
      </w:r>
      <w:r>
        <w:t xml:space="preserve"/>
      </w:r>
      <w:r>
        <w:fldChar w:fldCharType="begin"/>
      </w:r>
      <w:r>
        <w:instrText xml:space="preserve"> REF _Ref_fig18 \h </w:instrText>
      </w:r>
      <w:r>
        <w:fldChar w:fldCharType="separate"/>
      </w:r>
      <w:r>
        <w:t/>
      </w:r>
      <w:r>
        <w:fldChar w:fldCharType="end"/>
      </w:r>
      <w:r>
        <w:t xml:space="preserve"/>
      </w:r>
      <w:r>
        <w:fldChar w:fldCharType="begin"/>
      </w:r>
      <w:r>
        <w:instrText xml:space="preserve"> REF _Ref_fig20 \h </w:instrText>
      </w:r>
      <w:r>
        <w:fldChar w:fldCharType="separate"/>
      </w:r>
      <w:r>
        <w:t/>
      </w:r>
      <w:r>
        <w:fldChar w:fldCharType="end"/>
      </w:r>
      <w:r>
        <w:t/>
      </w:r>
    </w:p>
    <w:p>
      <w:r>
        <w:t xml:space="preserve">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eight-nearest-neighbour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 cent of the statewide total — which we attribute to error in the source series. Main-text affordability estimates exclude the 134 ZCTAs above $1,000 per capita; full-sample estimates are in Supplementary Table S12. Mean energy burden in the matched sample is about 2.2 per cent, below commonly cited household energy-burden estimates because the Commission series covers electricity costs rather than total household energy expenditure, and it should be read as a relative affordability-stress index rather than a total-burden measure.</w:t>
      </w:r>
    </w:p>
    <w:p ns2:paraId="2C098038" ns2:textId="77777777" w:rsidR="00091F08" w:rsidRDefault="00D32F87" w:rsidP="0019795D">
      <w:pPr>
        <w:pStyle w:val="Heading2"/>
        <w:numPr>
          <w:ilvl w:val="1"/>
          <w:numId w:val="11"/>
        </w:numPr>
        <w:ind w:hanging="540"/>
        <w:jc w:val="both"/>
      </w:pPr>
      <w:bookmarkStart w:id="80" w:name="_Ref_sec_limitations"/>
      <w:r>
        <w:lastRenderedPageBreak/>
        <w:t>Methodological Limitations</w:t>
      </w:r>
      <w:bookmarkEnd w:id="80"/>
    </w:p>
    <w:p ns2:paraId="4182A31D" ns2:textId="77777777" w:rsidR="00B86A12" w:rsidRDefault="00000000">
      <w:r>
        <w:t>This study identifies area-level conditional associations, not causal effects (Methods). Area-level housing structure and tenure are observed in Models 2C and 2D, but unmeasured confounding may remain around household tenancy, roof suitability, installer availability, local permitting, program participation, and technology-specific incentive access.</w:t>
      </w:r>
    </w:p>
    <w:p ns2:paraId="4BB864CE" ns2:textId="77777777" w:rsidR="00B86A12" w:rsidRDefault="00000000">
      <w:r>
        <w:t xml:space="preserve">The use of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t/>
      </w:r>
      <w:r>
        <w:fldChar w:fldCharType="end"/>
      </w:r>
      <w:r>
        <w:t/>
      </w:r>
    </w:p>
    <w:p ns2:paraId="7C00016F" ns2:textId="77777777" w:rsidR="00B86A12" w:rsidRDefault="00000000">
      <w:r>
        <w:t xml:space="preserve">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Information; Supplementary Fig. S4).</w:t>
      </w:r>
    </w:p>
    <w:p ns2:paraId="2743EDEC" ns2: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r>
        <w:t xml:space="preserve">Descriptive material supporting the analysis sample is reported in the Supplementary Information: variable definitions (Supplementary Table S1), summary statistics (Supplementary Table S15), the distribution of raw deployment rates (Supplementary Fig. S15), non-parametric gradients against non-white share and educational attainment (Supplementary Figs. S9 and S10), the two affordability outcomes and their model coefficients (Supplementary Figs. S12, S13 and S14), the exploratory principal-component and K-means neighbourhood typology (Supplementary Fig. S11 and Supplementary Table S14), spatial residual maps (Supplementary Fig. S7) and the baseline cross-outcome comparison (Supplementary Fig. S16).</w:t>
      </w:r>
    </w:p>
    <w:p>
      <w:pPr>
        <w:pStyle w:val="Heading1"/>
      </w:pPr>
      <w:r>
        <w:t xml:space="preserve">Data availability</w:t>
      </w:r>
    </w:p>
    <w:p>
      <w:r>
        <w:t xml:space="preserve">The harmonised ZCTA analysis dataset is deposited at Zenodo under CC-BY-4.0 [DOI to be inserted before submission]. All underlying sources are public and are listed in the Supplementary Information.</w:t>
      </w:r>
    </w:p>
    <w:p>
      <w:pPr>
        <w:pStyle w:val="Heading1"/>
      </w:pPr>
      <w:r>
        <w:t xml:space="preserve">Code availability</w:t>
      </w:r>
    </w:p>
    <w:p>
      <w:r>
        <w:t xml:space="preserve">Data-construction and analysis code is available at https://github.com/vineetjnair9/distributed-energy-resources-equity-CA under the MIT License.</w:t>
      </w:r>
    </w:p>
    <w:p>
      <w:pPr>
        <w:pStyle w:val="Heading1"/>
      </w:pPr>
      <w:r>
        <w:t xml:space="preserve">Author contributions</w:t>
      </w:r>
    </w:p>
    <w:p>
      <w:r>
        <w:t xml:space="preserve">[To be completed.]</w:t>
      </w:r>
    </w:p>
    <w:p>
      <w:pPr>
        <w:pStyle w:val="Heading1"/>
      </w:pPr>
      <w:r>
        <w:t xml:space="preserve">Competing interests</w:t>
      </w:r>
    </w:p>
    <w:p>
      <w:r>
        <w:t xml:space="preserve">The authors declare no competing interests.</w:t>
      </w:r>
    </w:p>
    <w:p>
      <w:pPr>
        <w:pStyle w:val="Heading1"/>
      </w:pPr>
      <w:r>
        <w:t xml:space="preserve">Acknowledgements</w:t>
      </w:r>
    </w:p>
    <w:p>
      <w:r>
        <w:t xml:space="preserve">[To be completed.]</w:t>
      </w:r>
    </w:p>
    <w:p ns2:paraId="76101832" ns2:textId="77777777" w:rsidR="00B86A12" w:rsidRDefault="00000000">
      <w:pPr>
        <w:pStyle w:val="Heading1"/>
      </w:pPr>
      <w:r>
        <w:t>References</w:t>
      </w:r>
    </w:p>
    <w:sdt>
      <w:sdtPr>
        <w:rPr>
          <w:rFonts w:cs="Times New Roman"/>
          <w:color w:val="000000"/>
        </w:rPr>
        <w:tag w:val="MENDELEY_BIBLIOGRAPHY"/>
        <w:id w:val="-1455015959"/>
      </w:sdtPr>
      <w:sdtContent>
        <w:p ns2:paraId="76A39857" ns2: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 xml:space="preserve">[1]B. R. Lukanov and E. M. Krieger, “Distributed solar and environmental justice: Exploring the demographic and socio-economic trends of residential PV adoption in California,” Energy Policy, vol. 134, 2019, doi:10.1016/j.enpol.2019.110935.</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4" w:history="1">
            <w:r>
              <w:t/>
            </w:r>
          </w:hyperlink>
          <w:r>
            <w:t/>
          </w:r>
          <w:bookmarkEnd w:id="96"/>
        </w:p>
        <w:p ns2:paraId="7D182EC6" ns2:textId="77777777" w:rsidR="005C73E3" w:rsidRPr="005C73E3" w:rsidRDefault="005C73E3">
          <w:pPr>
            <w:autoSpaceDE w:val="0"/>
            <w:autoSpaceDN w:val="0"/>
            <w:ind w:hanging="640"/>
            <w:divId w:val="832456146"/>
            <w:rPr>
              <w:rFonts w:eastAsia="Times New Roman" w:cs="Times New Roman"/>
              <w:color w:val="000000"/>
            </w:rPr>
          </w:pPr>
          <w:bookmarkStart w:id="97" w:name="_Ref_bib2"/>
          <w:r w:rsidRPr="005C73E3">
            <w:rPr>
              <w:rFonts w:eastAsia="Times New Roman" w:cs="Times New Roman"/>
              <w:color w:val="000000"/>
            </w:rPr>
            <w:t xml:space="preserve">[2]D. A. Sunter, S. Castellanos, and D. M. Kammen, “Disparities in rooftop photovoltaics deployment in the United States by race and ethnicity,” Nat. Sustain., vol. 2, no. 1, pp. 71–76, Jan. 2019, doi:10.1038/s41893-018-0204-z.</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5" w:history="1">
            <w:r>
              <w:t/>
            </w:r>
          </w:hyperlink>
          <w:r>
            <w:t/>
          </w:r>
          <w:bookmarkEnd w:id="97"/>
        </w:p>
        <w:p ns2:paraId="23C754CC" ns2:textId="77777777" w:rsidR="005C73E3" w:rsidRPr="005C73E3" w:rsidRDefault="005C73E3">
          <w:pPr>
            <w:autoSpaceDE w:val="0"/>
            <w:autoSpaceDN w:val="0"/>
            <w:ind w:hanging="640"/>
            <w:divId w:val="246692011"/>
            <w:rPr>
              <w:rFonts w:eastAsia="Times New Roman" w:cs="Times New Roman"/>
              <w:color w:val="000000"/>
            </w:rPr>
          </w:pPr>
          <w:bookmarkStart w:id="98" w:name="_Ref_bib3"/>
          <w:r w:rsidRPr="005C73E3">
            <w:rPr>
              <w:rFonts w:eastAsia="Times New Roman" w:cs="Times New Roman"/>
              <w:color w:val="000000"/>
            </w:rPr>
            <w:lastRenderedPageBreak/>
            <w:t xml:space="preserve">[3]L. Kurdgelashvili, C. H. Shih, F. Yang, and M. Garg, “An empirical analysis of county-level residential PV adoption in California,” Technol. Forecast. Soc. Change, vol. 139, 2019, doi:10.1016/j.techfore.2018.11.021.</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6" w:history="1">
            <w:r>
              <w:t/>
            </w:r>
          </w:hyperlink>
          <w:r>
            <w:t/>
          </w:r>
          <w:bookmarkEnd w:id="98"/>
        </w:p>
        <w:p ns2:paraId="310CDB1F" ns2:textId="77777777" w:rsidR="005C73E3" w:rsidRPr="005C73E3" w:rsidRDefault="005C73E3">
          <w:pPr>
            <w:autoSpaceDE w:val="0"/>
            <w:autoSpaceDN w:val="0"/>
            <w:ind w:hanging="640"/>
            <w:divId w:val="65810408"/>
            <w:rPr>
              <w:rFonts w:eastAsia="Times New Roman" w:cs="Times New Roman"/>
              <w:color w:val="000000"/>
            </w:rPr>
          </w:pPr>
          <w:bookmarkStart w:id="99" w:name="_Ref_bib4"/>
          <w:r w:rsidRPr="005C73E3">
            <w:rPr>
              <w:rFonts w:eastAsia="Times New Roman" w:cs="Times New Roman"/>
              <w:color w:val="000000"/>
            </w:rPr>
            <w:t xml:space="preserve">[4]T. G. Reames, “Distributional disparities in residential rooftop solar potential and penetration in four cities in the United States,” Energy Res. Soc. Sci., vol. 69, p. 101612, Nov. 2020, doi:10.1016/J.ERSS.2020.101612.</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7" w:history="1">
            <w:r>
              <w:t/>
            </w:r>
          </w:hyperlink>
          <w:r>
            <w:t/>
          </w:r>
          <w:bookmarkEnd w:id="99"/>
        </w:p>
        <w:p ns2:paraId="553EF2E7" ns2:textId="77777777" w:rsidR="005C73E3" w:rsidRPr="005C73E3" w:rsidRDefault="005C73E3">
          <w:pPr>
            <w:autoSpaceDE w:val="0"/>
            <w:autoSpaceDN w:val="0"/>
            <w:ind w:hanging="640"/>
            <w:divId w:val="177813034"/>
            <w:rPr>
              <w:rFonts w:eastAsia="Times New Roman" w:cs="Times New Roman"/>
              <w:color w:val="000000"/>
            </w:rPr>
          </w:pPr>
          <w:bookmarkStart w:id="100" w:name="_Ref_bib5"/>
          <w:r w:rsidRPr="005C73E3">
            <w:rPr>
              <w:rFonts w:eastAsia="Times New Roman" w:cs="Times New Roman"/>
              <w:color w:val="000000"/>
            </w:rPr>
            <w:t xml:space="preserve">[5]N. R. Darghouth, E. O’Shaughnessy, S. Forrester, and G. Barbose, “Characterizing local rooftop solar adoption inequity in the US,” Environmental Research Letters, vol. 17, no. 3, p. 034028, Feb. 2022, doi:10.1088/1748-9326/AC4FDC.</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8" w:history="1">
            <w:r>
              <w:t/>
            </w:r>
          </w:hyperlink>
          <w:r>
            <w:t/>
          </w:r>
          <w:bookmarkEnd w:id="100"/>
        </w:p>
        <w:p ns2:paraId="6AF95C0F" ns2:textId="77777777" w:rsidR="005C73E3" w:rsidRPr="005C73E3" w:rsidRDefault="005C73E3">
          <w:pPr>
            <w:autoSpaceDE w:val="0"/>
            <w:autoSpaceDN w:val="0"/>
            <w:ind w:hanging="640"/>
            <w:divId w:val="512375084"/>
            <w:rPr>
              <w:rFonts w:eastAsia="Times New Roman" w:cs="Times New Roman"/>
              <w:color w:val="000000"/>
            </w:rPr>
          </w:pPr>
          <w:bookmarkStart w:id="101" w:name="_Ref_bib6"/>
          <w:r w:rsidRPr="005C73E3">
            <w:rPr>
              <w:rFonts w:eastAsia="Times New Roman" w:cs="Times New Roman"/>
              <w:color w:val="000000"/>
            </w:rPr>
            <w:t xml:space="preserve">[6]C. Sigrist, A. Lechowicz, J. Champ, N. Bashir, and M. Hajiesmaili, “Lost in Siting: The Hidden Carbon Cost of Inequitable Residential Solar Installations,” Jan. 2025, [Online]. Available:http://arxiv.org/abs/2501.13868</w:t>
          </w:r>
          <w:r w:rsidRPr="005C73E3">
            <w:rPr>
              <w:rFonts w:eastAsia="Times New Roman" w:cs="Times New Roman"/>
              <w:color w:val="000000"/>
            </w:rPr>
            <w:tab/>
            <w:t/>
          </w:r>
          <w:hyperlink r:id="rId49" w:history="1">
            <w:r>
              <w:t/>
            </w:r>
          </w:hyperlink>
          <w:bookmarkEnd w:id="101"/>
        </w:p>
        <w:p ns2:paraId="7B4DAAF9" ns2:textId="77777777" w:rsidR="005C73E3" w:rsidRPr="005C73E3" w:rsidRDefault="005C73E3">
          <w:pPr>
            <w:autoSpaceDE w:val="0"/>
            <w:autoSpaceDN w:val="0"/>
            <w:ind w:hanging="640"/>
            <w:divId w:val="332071241"/>
            <w:rPr>
              <w:rFonts w:eastAsia="Times New Roman" w:cs="Times New Roman"/>
              <w:color w:val="000000"/>
            </w:rPr>
          </w:pPr>
          <w:bookmarkStart w:id="102" w:name="_Ref_bib7"/>
          <w:r w:rsidRPr="005C73E3">
            <w:rPr>
              <w:rFonts w:eastAsia="Times New Roman" w:cs="Times New Roman"/>
              <w:color w:val="000000"/>
            </w:rPr>
            <w:t xml:space="preserve">[7]A.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t/>
          </w:r>
          <w:bookmarkEnd w:id="102"/>
        </w:p>
        <w:p ns2:paraId="6DA51880" ns2:textId="77777777" w:rsidR="005C73E3" w:rsidRPr="005C73E3" w:rsidRDefault="005C73E3">
          <w:pPr>
            <w:autoSpaceDE w:val="0"/>
            <w:autoSpaceDN w:val="0"/>
            <w:ind w:hanging="640"/>
            <w:divId w:val="977800147"/>
            <w:rPr>
              <w:rFonts w:eastAsia="Times New Roman" w:cs="Times New Roman"/>
              <w:color w:val="000000"/>
            </w:rPr>
          </w:pPr>
          <w:bookmarkStart w:id="103" w:name="_Ref_bib8"/>
          <w:r w:rsidRPr="005C73E3">
            <w:rPr>
              <w:rFonts w:eastAsia="Times New Roman" w:cs="Times New Roman"/>
              <w:color w:val="000000"/>
            </w:rPr>
            <w:t xml:space="preserve">[8]The Greenlining Institute, “Demystifying Equity in California’s Energy Grid Transition,” Jul. 25, 2024. [Online]. Available:https://greenlining.org/2024/demystifying-equity-in-californias-energy-grid-transition/</w:t>
          </w:r>
          <w:r w:rsidRPr="005C73E3">
            <w:rPr>
              <w:rFonts w:eastAsia="Times New Roman" w:cs="Times New Roman"/>
              <w:color w:val="000000"/>
            </w:rPr>
            <w:tab/>
            <w:t/>
          </w:r>
          <w:hyperlink r:id="rId50" w:history="1">
            <w:r>
              <w:t/>
            </w:r>
          </w:hyperlink>
          <w:bookmarkEnd w:id="103"/>
        </w:p>
        <w:p ns2:paraId="71A9E50D" ns2:textId="77777777" w:rsidR="005C73E3" w:rsidRPr="005C73E3" w:rsidRDefault="005C73E3">
          <w:pPr>
            <w:autoSpaceDE w:val="0"/>
            <w:autoSpaceDN w:val="0"/>
            <w:ind w:hanging="640"/>
            <w:divId w:val="7680994"/>
            <w:rPr>
              <w:rFonts w:eastAsia="Times New Roman" w:cs="Times New Roman"/>
              <w:color w:val="000000"/>
            </w:rPr>
          </w:pPr>
          <w:bookmarkStart w:id="104" w:name="_Ref_bib9"/>
          <w:r w:rsidRPr="005C73E3">
            <w:rPr>
              <w:rFonts w:eastAsia="Times New Roman" w:cs="Times New Roman"/>
              <w:color w:val="000000"/>
            </w:rPr>
            <w:t xml:space="preserve">[9]T.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51" w:history="1">
            <w:r>
              <w:t/>
            </w:r>
          </w:hyperlink>
          <w:r>
            <w:t/>
          </w:r>
          <w:bookmarkEnd w:id="104"/>
        </w:p>
        <w:p ns2:paraId="1DC51BFC" ns2:textId="77777777" w:rsidR="005C73E3" w:rsidRPr="005C73E3" w:rsidRDefault="005C73E3">
          <w:pPr>
            <w:autoSpaceDE w:val="0"/>
            <w:autoSpaceDN w:val="0"/>
            <w:ind w:hanging="640"/>
            <w:divId w:val="1398741142"/>
            <w:rPr>
              <w:rFonts w:eastAsia="Times New Roman" w:cs="Times New Roman"/>
              <w:color w:val="000000"/>
            </w:rPr>
          </w:pPr>
          <w:bookmarkStart w:id="105" w:name="_Ref_bib10"/>
          <w:r w:rsidRPr="005C73E3">
            <w:rPr>
              <w:rFonts w:eastAsia="Times New Roman" w:cs="Times New Roman"/>
              <w:color w:val="000000"/>
            </w:rPr>
            <w:t xml:space="preserve">[10]S. P. Forrester, C. C. Montañés, E. O’Shaughnessy, and G. Barbose,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52" w:history="1">
            <w:r>
              <w:t/>
            </w:r>
          </w:hyperlink>
          <w:r>
            <w:t/>
          </w:r>
          <w:bookmarkEnd w:id="105"/>
        </w:p>
        <w:p ns2:paraId="2DCF5A8E" ns2:textId="77777777" w:rsidR="005C73E3" w:rsidRPr="005C73E3" w:rsidRDefault="005C73E3">
          <w:pPr>
            <w:autoSpaceDE w:val="0"/>
            <w:autoSpaceDN w:val="0"/>
            <w:ind w:hanging="640"/>
            <w:divId w:val="205682073"/>
            <w:rPr>
              <w:rFonts w:eastAsia="Times New Roman" w:cs="Times New Roman"/>
              <w:color w:val="000000"/>
            </w:rPr>
          </w:pPr>
          <w:bookmarkStart w:id="106" w:name="_Ref_bib11"/>
          <w:r w:rsidRPr="005C73E3">
            <w:rPr>
              <w:rFonts w:eastAsia="Times New Roman" w:cs="Times New Roman"/>
              <w:color w:val="000000"/>
            </w:rPr>
            <w:t xml:space="preserve">[11]A.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53" w:history="1">
            <w:r>
              <w:t/>
            </w:r>
          </w:hyperlink>
          <w:r>
            <w:t/>
          </w:r>
          <w:bookmarkEnd w:id="106"/>
        </w:p>
        <w:p ns2:paraId="579F66B3" ns2:textId="77777777" w:rsidR="005C73E3" w:rsidRPr="005C73E3" w:rsidRDefault="005C73E3">
          <w:pPr>
            <w:autoSpaceDE w:val="0"/>
            <w:autoSpaceDN w:val="0"/>
            <w:ind w:hanging="640"/>
            <w:divId w:val="1253735744"/>
            <w:rPr>
              <w:rFonts w:eastAsia="Times New Roman" w:cs="Times New Roman"/>
              <w:color w:val="000000"/>
            </w:rPr>
          </w:pPr>
          <w:bookmarkStart w:id="110" w:name="_Ref_bib15"/>
          <w:r w:rsidRPr="005C73E3">
            <w:rPr>
              <w:rFonts w:eastAsia="Times New Roman" w:cs="Times New Roman"/>
              <w:color w:val="000000"/>
            </w:rPr>
            <w:t xml:space="preserve">[12]B. Aydin, R. Holt, and M. Almassalkhi, “Fairness-aware Dynamic Hosting Capacity and the Impacts of Strategic Solar PV Curtailment,” Apr. 2025, [Online]. Available:http://arxiv.org/abs/2504.18905</w:t>
          </w:r>
          <w:r w:rsidRPr="005C73E3">
            <w:rPr>
              <w:rFonts w:eastAsia="Times New Roman" w:cs="Times New Roman"/>
              <w:color w:val="000000"/>
            </w:rPr>
            <w:tab/>
            <w:t/>
          </w:r>
          <w:hyperlink r:id="rId55" w:history="1">
            <w:r>
              <w:t/>
            </w:r>
          </w:hyperlink>
          <w:bookmarkEnd w:id="110"/>
        </w:p>
        <w:p ns2:paraId="1933CCED" ns2:textId="77777777" w:rsidR="005C73E3" w:rsidRPr="005C73E3" w:rsidRDefault="005C73E3">
          <w:pPr>
            <w:autoSpaceDE w:val="0"/>
            <w:autoSpaceDN w:val="0"/>
            <w:ind w:hanging="640"/>
            <w:divId w:val="511528959"/>
            <w:rPr>
              <w:rFonts w:eastAsia="Times New Roman" w:cs="Times New Roman"/>
              <w:color w:val="000000"/>
            </w:rPr>
          </w:pPr>
          <w:bookmarkStart w:id="111" w:name="_Ref_bib16"/>
          <w:r w:rsidRPr="005C73E3">
            <w:rPr>
              <w:rFonts w:eastAsia="Times New Roman" w:cs="Times New Roman"/>
              <w:color w:val="000000"/>
            </w:rPr>
            <w:t xml:space="preserve">[13]U.S. Department of Energy, “Distributed energy resource interconnection roadmap,” i2X initiative, 2023. [Online]. Available: https://www.energy.gov/eere/i2x</w:t>
          </w:r>
          <w:r w:rsidRPr="005C73E3">
            <w:rPr>
              <w:rFonts w:eastAsia="Times New Roman" w:cs="Times New Roman"/>
              <w:color w:val="000000"/>
            </w:rPr>
            <w:tab/>
            <w:t/>
          </w:r>
          <w:bookmarkEnd w:id="111"/>
        </w:p>
        <w:p ns2:paraId="73496926" ns2:textId="77777777" w:rsidR="005C73E3" w:rsidRPr="005C73E3" w:rsidRDefault="005C73E3">
          <w:pPr>
            <w:autoSpaceDE w:val="0"/>
            <w:autoSpaceDN w:val="0"/>
            <w:ind w:hanging="640"/>
            <w:divId w:val="1284649049"/>
            <w:rPr>
              <w:rFonts w:eastAsia="Times New Roman" w:cs="Times New Roman"/>
              <w:color w:val="000000"/>
            </w:rPr>
          </w:pPr>
          <w:bookmarkStart w:id="112" w:name="_Ref_bib17"/>
          <w:r w:rsidRPr="005C73E3">
            <w:rPr>
              <w:rFonts w:eastAsia="Times New Roman" w:cs="Times New Roman"/>
              <w:color w:val="000000"/>
            </w:rPr>
            <w:lastRenderedPageBreak/>
            <w:t xml:space="preserve">[14]B. Tarekegne, R. O’Neil, and J. Twitchell, “Energy Storage as an Equity Asset,” 2021. doi:10.1007/s40518-021-00184-6.</w:t>
          </w:r>
          <w:r w:rsidRPr="005C73E3">
            <w:rPr>
              <w:rFonts w:eastAsia="Times New Roman" w:cs="Times New Roman"/>
              <w:color w:val="000000"/>
            </w:rPr>
            <w:tab/>
            <w:t/>
          </w:r>
          <w:hyperlink r:id="rId56" w:history="1">
            <w:r>
              <w:t/>
            </w:r>
          </w:hyperlink>
          <w:r>
            <w:t/>
          </w:r>
          <w:bookmarkEnd w:id="112"/>
        </w:p>
        <w:p ns2:paraId="05938D27" ns2:textId="77777777" w:rsidR="005C73E3" w:rsidRPr="005C73E3" w:rsidRDefault="005C73E3">
          <w:pPr>
            <w:autoSpaceDE w:val="0"/>
            <w:autoSpaceDN w:val="0"/>
            <w:ind w:hanging="640"/>
            <w:divId w:val="1907180809"/>
            <w:rPr>
              <w:rFonts w:eastAsia="Times New Roman" w:cs="Times New Roman"/>
              <w:color w:val="000000"/>
            </w:rPr>
          </w:pPr>
          <w:bookmarkStart w:id="117" w:name="_Ref_bib22"/>
          <w:r w:rsidRPr="005C73E3">
            <w:rPr>
              <w:rFonts w:eastAsia="Times New Roman" w:cs="Times New Roman"/>
              <w:color w:val="000000"/>
            </w:rPr>
            <w:t xml:space="preserve">[15]M. Alipour, E. Irannezhad, R. A. Stewart, and O. Sahin, “Exploring residential solar PV and battery energy storage adoption motivations and barriers in a mature PV market,” Renew. Energy, vol. 190, 2022, doi:10.1016/j.renene.2022.03.040.</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60" w:history="1">
            <w:r>
              <w:t/>
            </w:r>
          </w:hyperlink>
          <w:r>
            <w:t/>
          </w:r>
          <w:bookmarkEnd w:id="117"/>
        </w:p>
        <w:p ns2:paraId="089ACE17" ns2:textId="77777777" w:rsidR="005C73E3" w:rsidRPr="005C73E3" w:rsidRDefault="005C73E3">
          <w:pPr>
            <w:autoSpaceDE w:val="0"/>
            <w:autoSpaceDN w:val="0"/>
            <w:ind w:hanging="640"/>
            <w:divId w:val="3824811"/>
            <w:rPr>
              <w:rFonts w:eastAsia="Times New Roman" w:cs="Times New Roman"/>
              <w:color w:val="000000"/>
            </w:rPr>
          </w:pPr>
          <w:bookmarkStart w:id="118" w:name="_Ref_bib23"/>
          <w:r w:rsidRPr="005C73E3">
            <w:rPr>
              <w:rFonts w:eastAsia="Times New Roman" w:cs="Times New Roman"/>
              <w:color w:val="000000"/>
            </w:rPr>
            <w:t xml:space="preserve">[16]R.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61" w:history="1">
            <w:r>
              <w:t/>
            </w:r>
          </w:hyperlink>
          <w:r>
            <w:t/>
          </w:r>
          <w:bookmarkEnd w:id="118"/>
        </w:p>
        <w:p ns2:paraId="35E0EF52" ns2:textId="77777777" w:rsidR="005C73E3" w:rsidRPr="005C73E3" w:rsidRDefault="005C73E3">
          <w:pPr>
            <w:autoSpaceDE w:val="0"/>
            <w:autoSpaceDN w:val="0"/>
            <w:ind w:hanging="640"/>
            <w:divId w:val="1290358837"/>
            <w:rPr>
              <w:rFonts w:eastAsia="Times New Roman" w:cs="Times New Roman"/>
              <w:color w:val="000000"/>
            </w:rPr>
          </w:pPr>
          <w:bookmarkStart w:id="119" w:name="_Ref_bib24"/>
          <w:r w:rsidRPr="005C73E3">
            <w:rPr>
              <w:rFonts w:eastAsia="Times New Roman" w:cs="Times New Roman"/>
              <w:color w:val="000000"/>
            </w:rPr>
            <w:t xml:space="preserve">[17]L. Ge, T. Du, C. Li, Y. Li, J. Yan, and M. U. Rafiq, “Virtual Collection for Distributed Photovoltaic Data: Challenges, Methodologies, and Applications,” 2022. doi:10.3390/en15238783.</w:t>
          </w:r>
          <w:r w:rsidRPr="005C73E3">
            <w:rPr>
              <w:rFonts w:eastAsia="Times New Roman" w:cs="Times New Roman"/>
              <w:color w:val="000000"/>
            </w:rPr>
            <w:tab/>
            <w:t/>
          </w:r>
          <w:hyperlink r:id="rId62" w:history="1">
            <w:r>
              <w:t/>
            </w:r>
          </w:hyperlink>
          <w:r>
            <w:t/>
          </w:r>
          <w:bookmarkEnd w:id="119"/>
        </w:p>
        <w:p ns2:paraId="4202AB9C" ns2:textId="1149E1A7" w:rsidR="00C82ADA" w:rsidRDefault="005C73E3" w:rsidP="00BE0E1E">
          <w:r w:rsidRPr="005C73E3">
            <w:rPr>
              <w:rFonts w:eastAsia="Times New Roman" w:cs="Times New Roman"/>
              <w:color w:val="000000"/>
            </w:rPr>
            <w:t> </w:t>
          </w:r>
        </w:p>
      </w:sdtContent>
    </w:sdt>
    <w:p ns2:paraId="5DB654E7" ns2:textId="77777777" w:rsidR="00E133AE" w:rsidRDefault="00000000">
      <w:pPr>
        <w:autoSpaceDE w:val="0"/>
        <w:autoSpaceDN w:val="0"/>
        <w:ind w:hanging="640"/>
      </w:pPr>
      <w:bookmarkStart w:id="120" w:name="_Ref_src25"/>
      <w:r>
        <w:rPr>
          <w:rFonts w:eastAsia="Times New Roman" w:cs="Times New Roman"/>
          <w:color w:val="000000"/>
        </w:rPr>
        <w:t xml:space="preserve">[18]T. G. Conley, "GMM estimation with cross sectional dependence," Journal of Econometrics, vol. 92, no. 1, pp. 1-45, Sep. 1999, doi: 10.1016/S0304-4076(98)00084-0.</w:t>
      </w:r>
      <w:r>
        <w:rPr>
          <w:rFonts w:eastAsia="Times New Roman" w:cs="Times New Roman"/>
          <w:color w:val="000000"/>
        </w:rPr>
        <w:tab/>
        <w:t xml:space="preserve"/>
      </w:r>
      <w:r>
        <w:rPr>
          <w:i/>
          <w:iCs/>
        </w:rPr>
        <w:t/>
      </w:r>
      <w:r>
        <w:rPr>
          <w:rFonts w:eastAsia="Times New Roman" w:cs="Times New Roman"/>
          <w:color w:val="000000"/>
        </w:rPr>
        <w:t xml:space="preserve"/>
      </w:r>
      <w:hyperlink r:id="rId63" w:history="1">
        <w:r w:rsidR="00E133AE">
          <w:t/>
        </w:r>
      </w:hyperlink>
      <w:r>
        <w:rPr>
          <w:rFonts w:eastAsia="Times New Roman" w:cs="Times New Roman"/>
          <w:color w:val="000000"/>
        </w:rPr>
        <w:t/>
      </w:r>
      <w:bookmarkEnd w:id="120"/>
    </w:p>
    <w:p ns2:paraId="36E3FBE8" ns2:textId="77777777" w:rsidR="00E133AE" w:rsidRDefault="00000000">
      <w:pPr>
        <w:autoSpaceDE w:val="0"/>
        <w:autoSpaceDN w:val="0"/>
        <w:ind w:hanging="640"/>
      </w:pPr>
      <w:bookmarkStart w:id="121" w:name="_Ref_src26"/>
      <w:r>
        <w:rPr>
          <w:rFonts w:eastAsia="Times New Roman" w:cs="Times New Roman"/>
          <w:color w:val="000000"/>
        </w:rPr>
        <w:t xml:space="preserve">[19]Lawrence Berkeley National Laboratory, "Tracking the Sun: public data file," 2024. [Online]. Available: https://emp.lbl.gov/tracking-the-sun</w:t>
      </w:r>
      <w:r>
        <w:rPr>
          <w:rFonts w:eastAsia="Times New Roman" w:cs="Times New Roman"/>
          <w:color w:val="000000"/>
        </w:rPr>
        <w:tab/>
        <w:t xml:space="preserve"/>
      </w:r>
      <w:hyperlink r:id="rId64" w:history="1">
        <w:r w:rsidR="00E133AE">
          <w:t/>
        </w:r>
      </w:hyperlink>
      <w:bookmarkEnd w:id="121"/>
    </w:p>
    <w:p ns2:paraId="6343D2E3" ns2:textId="77777777" w:rsidR="00E133AE" w:rsidRDefault="00000000">
      <w:pPr>
        <w:autoSpaceDE w:val="0"/>
        <w:autoSpaceDN w:val="0"/>
        <w:ind w:hanging="640"/>
      </w:pPr>
      <w:bookmarkStart w:id="122" w:name="_Ref_src27"/>
      <w:r>
        <w:rPr>
          <w:rFonts w:eastAsia="Times New Roman" w:cs="Times New Roman"/>
          <w:color w:val="000000"/>
        </w:rPr>
        <w:t xml:space="preserve">[20]California Distributed Generation Statistics, "Interconnected project sites report, 31 December 2023," 2023. [Online]. Available: https://www.californiadgstats.ca.gov/downloads/</w:t>
      </w:r>
      <w:r>
        <w:rPr>
          <w:rFonts w:eastAsia="Times New Roman" w:cs="Times New Roman"/>
          <w:color w:val="000000"/>
        </w:rPr>
        <w:tab/>
        <w:t xml:space="preserve"/>
      </w:r>
      <w:hyperlink r:id="rId65" w:history="1">
        <w:r w:rsidR="00E133AE">
          <w:t/>
        </w:r>
      </w:hyperlink>
      <w:bookmarkEnd w:id="122"/>
    </w:p>
    <w:p ns2:paraId="3BFE45FA" ns2:textId="77777777" w:rsidR="00E133AE" w:rsidRDefault="00000000">
      <w:pPr>
        <w:autoSpaceDE w:val="0"/>
        <w:autoSpaceDN w:val="0"/>
        <w:ind w:hanging="640"/>
      </w:pPr>
      <w:bookmarkStart w:id="123" w:name="_Ref_src28"/>
      <w:r>
        <w:rPr>
          <w:rFonts w:eastAsia="Times New Roman" w:cs="Times New Roman"/>
          <w:color w:val="000000"/>
        </w:rPr>
        <w:t xml:space="preserve">[21]California Energy Commission, "California energy storage system survey," 2024. [Online]. Available: https://www.energy.ca.gov/data-reports/energy-almanac/california-electricity-data/california-energy-storage-system-survey</w:t>
      </w:r>
      <w:r>
        <w:rPr>
          <w:rFonts w:eastAsia="Times New Roman" w:cs="Times New Roman"/>
          <w:color w:val="000000"/>
        </w:rPr>
        <w:tab/>
        <w:t xml:space="preserve"/>
      </w:r>
      <w:hyperlink r:id="rId66" w:history="1">
        <w:r w:rsidR="00E133AE">
          <w:t/>
        </w:r>
      </w:hyperlink>
      <w:bookmarkEnd w:id="123"/>
    </w:p>
    <w:p ns2:paraId="24CF56CC" ns2:textId="77777777" w:rsidR="00E133AE" w:rsidRDefault="00000000">
      <w:pPr>
        <w:autoSpaceDE w:val="0"/>
        <w:autoSpaceDN w:val="0"/>
        <w:ind w:hanging="640"/>
      </w:pPr>
      <w:bookmarkStart w:id="124" w:name="_Ref_src29"/>
      <w:r>
        <w:rPr>
          <w:rFonts w:eastAsia="Times New Roman" w:cs="Times New Roman"/>
          <w:color w:val="000000"/>
        </w:rPr>
        <w:t xml:space="preserve">[22]California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t xml:space="preserve"/>
      </w:r>
      <w:hyperlink r:id="rId67" w:history="1">
        <w:r w:rsidR="00E133AE">
          <w:t/>
        </w:r>
      </w:hyperlink>
      <w:bookmarkEnd w:id="124"/>
    </w:p>
    <w:p ns2:paraId="414194D2" ns2:textId="77777777" w:rsidR="00E133AE" w:rsidRDefault="00000000">
      <w:pPr>
        <w:autoSpaceDE w:val="0"/>
        <w:autoSpaceDN w:val="0"/>
        <w:ind w:hanging="640"/>
      </w:pPr>
      <w:bookmarkStart w:id="125" w:name="_Ref_src30"/>
      <w:r>
        <w:rPr>
          <w:rFonts w:eastAsia="Times New Roman" w:cs="Times New Roman"/>
          <w:color w:val="000000"/>
        </w:rPr>
        <w:t xml:space="preserve">[23]B. D. Hoen, J. E. Diffendorfer, J. T. Rand, L. A. Kramer, C. P. Garrity, and H. E. Hunt, "United States wind turbine database," U.S. Geological Survey data release, 2018, doi: 10.5066/F7TX3DN0.</w:t>
      </w:r>
      <w:r>
        <w:rPr>
          <w:rFonts w:eastAsia="Times New Roman" w:cs="Times New Roman"/>
          <w:color w:val="000000"/>
        </w:rPr>
        <w:tab/>
        <w:t xml:space="preserve"/>
      </w:r>
      <w:hyperlink r:id="rId68" w:history="1">
        <w:r w:rsidR="00E133AE">
          <w:t/>
        </w:r>
      </w:hyperlink>
      <w:r>
        <w:rPr>
          <w:rFonts w:eastAsia="Times New Roman" w:cs="Times New Roman"/>
          <w:color w:val="000000"/>
        </w:rPr>
        <w:t/>
      </w:r>
      <w:bookmarkEnd w:id="125"/>
    </w:p>
    <w:p ns2:paraId="0BF7056C" ns2:textId="77777777" w:rsidR="00E133AE" w:rsidRDefault="00000000">
      <w:pPr>
        <w:autoSpaceDE w:val="0"/>
        <w:autoSpaceDN w:val="0"/>
        <w:ind w:hanging="640"/>
      </w:pPr>
      <w:bookmarkStart w:id="126" w:name="_Ref_src31"/>
      <w:r>
        <w:rPr>
          <w:rFonts w:eastAsia="Times New Roman" w:cs="Times New Roman"/>
          <w:color w:val="000000"/>
        </w:rPr>
        <w:t xml:space="preserve">[24]U.S. Energy Information Administration, "Power plants," 2023. [Online]. Available: https://atlas.eia.gov/datasets/eia::power-plants/explore</w:t>
      </w:r>
      <w:r>
        <w:rPr>
          <w:rFonts w:eastAsia="Times New Roman" w:cs="Times New Roman"/>
          <w:color w:val="000000"/>
        </w:rPr>
        <w:tab/>
        <w:t xml:space="preserve"/>
      </w:r>
      <w:hyperlink r:id="rId69" w:history="1">
        <w:r w:rsidR="00E133AE">
          <w:t/>
        </w:r>
      </w:hyperlink>
      <w:bookmarkEnd w:id="126"/>
    </w:p>
    <w:p ns2:paraId="1E97BE81" ns2:textId="77777777" w:rsidR="00E133AE" w:rsidRDefault="00000000">
      <w:pPr>
        <w:autoSpaceDE w:val="0"/>
        <w:autoSpaceDN w:val="0"/>
        <w:ind w:hanging="640"/>
      </w:pPr>
      <w:bookmarkStart w:id="127" w:name="_Ref_src32"/>
      <w:r>
        <w:rPr>
          <w:rFonts w:eastAsia="Times New Roman" w:cs="Times New Roman"/>
          <w:color w:val="000000"/>
        </w:rPr>
        <w:lastRenderedPageBreak/>
        <w:t xml:space="preserve">[25]U.S. Census Bureau, "American Community Survey 5-year estimates, detailed tables," 2023. [Online]. Available: https://api.census.gov/data/2023/acs/acs5</w:t>
      </w:r>
      <w:r>
        <w:rPr>
          <w:rFonts w:eastAsia="Times New Roman" w:cs="Times New Roman"/>
          <w:color w:val="000000"/>
        </w:rPr>
        <w:tab/>
        <w:t xml:space="preserve"/>
      </w:r>
      <w:hyperlink r:id="rId70" w:history="1">
        <w:r w:rsidR="00E133AE">
          <w:t/>
        </w:r>
      </w:hyperlink>
      <w:bookmarkEnd w:id="127"/>
    </w:p>
    <w:p ns2:paraId="3E740C2B" ns2:textId="77777777" w:rsidR="00E133AE" w:rsidRDefault="00000000">
      <w:pPr>
        <w:autoSpaceDE w:val="0"/>
        <w:autoSpaceDN w:val="0"/>
        <w:ind w:hanging="640"/>
      </w:pPr>
      <w:bookmarkStart w:id="128" w:name="_Ref_src33"/>
      <w:r>
        <w:rPr>
          <w:rFonts w:eastAsia="Times New Roman" w:cs="Times New Roman"/>
          <w:color w:val="000000"/>
        </w:rPr>
        <w:t xml:space="preserve">[26]U.S. Census Bureau, "TIGER/Line shapefiles," 2023. [Online]. Available: https://www.census.gov/geographies/mapping-files/time-series/geo/tiger-line-file.html</w:t>
      </w:r>
      <w:r>
        <w:rPr>
          <w:rFonts w:eastAsia="Times New Roman" w:cs="Times New Roman"/>
          <w:color w:val="000000"/>
        </w:rPr>
        <w:tab/>
        <w:t xml:space="preserve"/>
      </w:r>
      <w:hyperlink r:id="rId71" w:history="1">
        <w:r w:rsidR="00E133AE">
          <w:t/>
        </w:r>
      </w:hyperlink>
      <w:bookmarkEnd w:id="128"/>
    </w:p>
    <w:p ns2:paraId="05039508" ns2:textId="77777777" w:rsidR="00E133AE" w:rsidRDefault="00000000">
      <w:pPr>
        <w:autoSpaceDE w:val="0"/>
        <w:autoSpaceDN w:val="0"/>
        <w:ind w:hanging="640"/>
      </w:pPr>
      <w:bookmarkStart w:id="129" w:name="_Ref_src34"/>
      <w:r>
        <w:rPr>
          <w:rFonts w:eastAsia="Times New Roman" w:cs="Times New Roman"/>
          <w:color w:val="000000"/>
        </w:rPr>
        <w:t xml:space="preserve">[27]NASA Langley Research Center, "Prediction of Worldwide Energy Resources (POWER)," 2023. [Online]. Available: https://power.larc.nasa.gov/</w:t>
      </w:r>
      <w:r>
        <w:rPr>
          <w:rFonts w:eastAsia="Times New Roman" w:cs="Times New Roman"/>
          <w:color w:val="000000"/>
        </w:rPr>
        <w:tab/>
        <w:t xml:space="preserve"/>
      </w:r>
      <w:hyperlink r:id="rId72" w:history="1">
        <w:r w:rsidR="00E133AE">
          <w:t/>
        </w:r>
      </w:hyperlink>
      <w:bookmarkEnd w:id="129"/>
    </w:p>
    <w:p ns2:paraId="75790B5A" ns2:textId="77777777" w:rsidR="00E133AE" w:rsidRDefault="00000000">
      <w:pPr>
        <w:autoSpaceDE w:val="0"/>
        <w:autoSpaceDN w:val="0"/>
        <w:ind w:hanging="640"/>
      </w:pPr>
      <w:bookmarkStart w:id="130" w:name="_Ref_src35"/>
      <w:r>
        <w:rPr>
          <w:rFonts w:eastAsia="Times New Roman" w:cs="Times New Roman"/>
          <w:color w:val="000000"/>
        </w:rPr>
        <w:t xml:space="preserve">[28]California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t xml:space="preserve"/>
      </w:r>
      <w:hyperlink r:id="rId73" w:history="1">
        <w:r w:rsidR="00E133AE">
          <w:t/>
        </w:r>
      </w:hyperlink>
      <w:bookmarkEnd w:id="130"/>
    </w:p>
    <w:p ns2:paraId="3FB5656B" ns2:textId="77777777" w:rsidR="00E133AE" w:rsidRDefault="00000000">
      <w:pPr>
        <w:autoSpaceDE w:val="0"/>
        <w:autoSpaceDN w:val="0"/>
        <w:ind w:hanging="640"/>
      </w:pPr>
      <w:bookmarkStart w:id="131" w:name="_Ref_src36"/>
      <w:r>
        <w:rPr>
          <w:rFonts w:eastAsia="Times New Roman" w:cs="Times New Roman"/>
          <w:color w:val="000000"/>
        </w:rPr>
        <w:t xml:space="preserve">[29]Pacific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t xml:space="preserve"/>
      </w:r>
      <w:hyperlink r:id="rId74" w:history="1">
        <w:r w:rsidR="00E133AE">
          <w:t/>
        </w:r>
      </w:hyperlink>
      <w:bookmarkEnd w:id="131"/>
    </w:p>
    <w:sectPr w:rsidR="00B86A1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doi.org/10.1016/J" TargetMode="External"/><Relationship Id="rId63" Type="http://schemas.openxmlformats.org/officeDocument/2006/relationships/hyperlink" Target="https://doi.org/10.1016/S0304-4076(98)00084-0" TargetMode="External"/><Relationship Id="rId68" Type="http://schemas.openxmlformats.org/officeDocument/2006/relationships/hyperlink" Target="https://doi.org/10.5066/F7TX3DN0"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yperlink" Target="https://doi.org/10.1038/s41893-018-0204-z" TargetMode="External"/><Relationship Id="rId53" Type="http://schemas.openxmlformats.org/officeDocument/2006/relationships/hyperlink" Target="https://doi.org/10.1038/s41560-021-00887-6" TargetMode="External"/><Relationship Id="rId58" Type="http://schemas.openxmlformats.org/officeDocument/2006/relationships/hyperlink" Target="https://doi.org/10.1146/annurev-economics-080614-115630" TargetMode="External"/><Relationship Id="rId66" Type="http://schemas.openxmlformats.org/officeDocument/2006/relationships/hyperlink" Target="https://www.energy.ca.gov/data-reports/energy-almanac/california-electricity-data/california-energy-storage-system-survey" TargetMode="External"/><Relationship Id="rId74" Type="http://schemas.openxmlformats.org/officeDocument/2006/relationships/hyperlink" Target="https://pge-energydatarequest.com/public_datasets" TargetMode="External"/><Relationship Id="rId5" Type="http://schemas.openxmlformats.org/officeDocument/2006/relationships/webSettings" Target="webSettings.xml"/><Relationship Id="rId61" Type="http://schemas.openxmlformats.org/officeDocument/2006/relationships/hyperlink" Target="https://doi.org/10.1145/359973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doi.org/10.1088/1748-9326/AC4FDC" TargetMode="External"/><Relationship Id="rId56" Type="http://schemas.openxmlformats.org/officeDocument/2006/relationships/hyperlink" Target="https://doi.org/10.1007/s40518-021-00184-6" TargetMode="External"/><Relationship Id="rId64" Type="http://schemas.openxmlformats.org/officeDocument/2006/relationships/hyperlink" Target="https://emp.lbl.gov/tracking-the-sun" TargetMode="External"/><Relationship Id="rId69" Type="http://schemas.openxmlformats.org/officeDocument/2006/relationships/hyperlink" Target="https://atlas.eia.gov/datasets/eia::power-plants/explore" TargetMode="External"/><Relationship Id="rId77" Type="http://schemas.openxmlformats.org/officeDocument/2006/relationships/glossaryDocument" Target="glossary/document.xml"/><Relationship Id="rId51" Type="http://schemas.openxmlformats.org/officeDocument/2006/relationships/hyperlink" Target="https://doi.org/10.38126/jspg200106" TargetMode="External"/><Relationship Id="rId72" Type="http://schemas.openxmlformats.org/officeDocument/2006/relationships/hyperlink" Target="https://power.larc.nasa.gov/"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vineetjnair9/distributed-energy-resources-equity-CA" TargetMode="External"/><Relationship Id="rId46" Type="http://schemas.openxmlformats.org/officeDocument/2006/relationships/hyperlink" Target="https://doi.org/10.1016/j" TargetMode="External"/><Relationship Id="rId59" Type="http://schemas.openxmlformats.org/officeDocument/2006/relationships/hyperlink" Target="https://doi.org/10.38126/jspg200106" TargetMode="External"/><Relationship Id="rId67" Type="http://schemas.openxmlformats.org/officeDocument/2006/relationships/hyperlink" Target="https://www.energy.ca.gov/data-reports/energy-almanac/zero-emission-vehicle-and-infrastructure-statistics-collection/electric" TargetMode="External"/><Relationship Id="rId20" Type="http://schemas.openxmlformats.org/officeDocument/2006/relationships/image" Target="media/image11.svg"/><Relationship Id="rId41" Type="http://schemas.openxmlformats.org/officeDocument/2006/relationships/image" Target="media/image31.png"/><Relationship Id="rId54" Type="http://schemas.openxmlformats.org/officeDocument/2006/relationships/hyperlink" Target="https://doi.org/10.1016/J" TargetMode="External"/><Relationship Id="rId62" Type="http://schemas.openxmlformats.org/officeDocument/2006/relationships/hyperlink" Target="https://doi.org/10.3390/en15238783" TargetMode="External"/><Relationship Id="rId70" Type="http://schemas.openxmlformats.org/officeDocument/2006/relationships/hyperlink" Target="https://api.census.gov/data/2023/acs/acs5" TargetMode="External"/><Relationship Id="rId75" Type="http://schemas.openxmlformats.org/officeDocument/2006/relationships/fontTable" Target="fontTable.xml"/><Relationship Id="rId1" Type="http://schemas.openxmlformats.org/officeDocument/2006/relationships/customXml" Target="../customXml/item1.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hyperlink" Target="http://arxiv.org/abs/2501.13868" TargetMode="External"/><Relationship Id="rId57" Type="http://schemas.openxmlformats.org/officeDocument/2006/relationships/hyperlink" Target="https://doi.org/10.1038/NENERGY"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16/j" TargetMode="External"/><Relationship Id="rId52" Type="http://schemas.openxmlformats.org/officeDocument/2006/relationships/hyperlink" Target="https://doi.org/10.1038/s41467-024-48967-x" TargetMode="External"/><Relationship Id="rId60" Type="http://schemas.openxmlformats.org/officeDocument/2006/relationships/hyperlink" Target="https://doi.org/10.1016/j" TargetMode="External"/><Relationship Id="rId65" Type="http://schemas.openxmlformats.org/officeDocument/2006/relationships/hyperlink" Target="https://www.californiadgstats.ca.gov/downloads/" TargetMode="External"/><Relationship Id="rId73" Type="http://schemas.openxmlformats.org/officeDocument/2006/relationships/hyperlink" Target="https://www.energy.ca.gov/data-reports/data-exploration-tools/energy-equity-indicators-dashboard-collection/deep-dive-energy" TargetMode="External"/><Relationship Id="rId78" Type="http://schemas.openxmlformats.org/officeDocument/2006/relationships/theme" Target="theme/theme1.xml"/><Relationship Id="rId4"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sv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hyperlink" Target="https://greenlining.org/2024/demystifying-equity-in-californias-energy-grid-transition/" TargetMode="External"/><Relationship Id="rId55" Type="http://schemas.openxmlformats.org/officeDocument/2006/relationships/hyperlink" Target="http://arxiv.org/abs/2504.18905" TargetMode="External"/><Relationship Id="rId71" Type="http://schemas.openxmlformats.org/officeDocument/2006/relationships/hyperlink" Target="https://www.census.gov/geographies/mapping-files/time-series/geo/tiger-line-file.html" TargetMode="External"/><Relationship Id="rId2" Type="http://schemas.openxmlformats.org/officeDocument/2006/relationships/numbering" Target="numbering.xml"/><Relationship Id="rId29"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09611B"/>
    <w:rsid w:val="00127501"/>
    <w:rsid w:val="001A2BDD"/>
    <w:rsid w:val="0029729D"/>
    <w:rsid w:val="002D2B29"/>
    <w:rsid w:val="003442C4"/>
    <w:rsid w:val="00384861"/>
    <w:rsid w:val="003F7B79"/>
    <w:rsid w:val="00454AF2"/>
    <w:rsid w:val="00562F98"/>
    <w:rsid w:val="0062078F"/>
    <w:rsid w:val="00644B63"/>
    <w:rsid w:val="00731622"/>
    <w:rsid w:val="0074256A"/>
    <w:rsid w:val="00851642"/>
    <w:rsid w:val="00881233"/>
    <w:rsid w:val="009368C5"/>
    <w:rsid w:val="009B318D"/>
    <w:rsid w:val="00A14FD4"/>
    <w:rsid w:val="00A61A5D"/>
    <w:rsid w:val="00AC1D30"/>
    <w:rsid w:val="00B22EC3"/>
    <w:rsid w:val="00B87543"/>
    <w:rsid w:val="00BB27C7"/>
    <w:rsid w:val="00C0319E"/>
    <w:rsid w:val="00C27543"/>
    <w:rsid w:val="00C9282C"/>
    <w:rsid w:val="00CC53FF"/>
    <w:rsid w:val="00CE78DD"/>
    <w:rsid w:val="00D45EB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15131</Words>
  <Characters>86249</Characters>
  <Application>Microsoft Office Word</Application>
  <DocSecurity>0</DocSecurity>
  <Lines>718</Lines>
  <Paragraphs>202</Paragraphs>
  <ScaleCrop>false</ScaleCrop>
  <Manager/>
  <Company/>
  <LinksUpToDate>false</LinksUpToDate>
  <CharactersWithSpaces>101178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136</cp:revision>
  <dcterms:created xsi:type="dcterms:W3CDTF">2026-06-27T02:50:00Z</dcterms:created>
  <dcterms:modified xsi:type="dcterms:W3CDTF">2026-08-21T23:01:00Z</dcterms:modified>
  <cp:category/>
</cp:coreProperties>
</file>