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45.pdf" ContentType="application/pdf"/>
  <Override PartName="/word/media/rId54.pdf" ContentType="application/pdf"/>
  <Override PartName="/word/media/rId34.pdf" ContentType="application/pdf"/>
  <Override PartName="/word/media/rId49.pdf" ContentType="application/pdf"/>
  <Override PartName="/word/media/rId3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Frozen Foundation Features for Ordinal</w:t>
      </w:r>
      <w:r>
        <w:br/>
      </w:r>
      <w:r>
        <w:t xml:space="preserve">Diabetic Retinopathy Grading:</w:t>
      </w:r>
      <w:r>
        <w:br/>
      </w:r>
      <w:r>
        <w:t xml:space="preserve">A Head </w:t>
      </w:r>
      <m:oMath>
        <m:r>
          <m:rPr>
            <m:sty m:val="p"/>
          </m:rPr>
          <m:t>×</m:t>
        </m:r>
      </m:oMath>
      <w:r>
        <w:t xml:space="preserve"> Backbone Analysis with</w:t>
      </w:r>
      <w:r>
        <w:br/>
      </w:r>
      <w:r>
        <w:t xml:space="preserve">Calibrated Conformal Uncertainty</w:t>
      </w:r>
    </w:p>
    <w:p>
      <w:pPr>
        <w:pStyle w:val="Author"/>
      </w:pPr>
      <w:r>
        <w:t xml:space="preserve">Vineet Kumar</w:t>
      </w:r>
      <w:r>
        <w:t xml:space="preserve"> </w:t>
      </w:r>
      <w:r>
        <w:rPr>
          <w:rStyle w:val="FootnoteReference"/>
        </w:rPr>
        <w:footnoteReference w:id="9"/>
      </w:r>
    </w:p>
    <w:p>
      <w:pPr>
        <w:pStyle w:val="AbstractTitle"/>
      </w:pPr>
      <w:r>
        <w:t xml:space="preserve">Abstract</w:t>
      </w:r>
    </w:p>
    <w:p>
      <w:pPr>
        <w:pStyle w:val="Abstract"/>
      </w:pPr>
      <w:r>
        <w:t xml:space="preserve">Automated diabetic retinopathy (DR) grading needs both accuracy and trustworthy uncertainty, but it is unclear which design choices actually drive either. The three candidates are the pretrained backbone, the prediction head on top, and the uncertainty layer wrapped around it. We run a fully-crossed ablation that varies all three on APTOS-2019 and Messidor-2, comparing a domain-specific backbone (RETFound-MAE) against a generalist one (DINOv2), a capsule-network head against a plain MLP with</w:t>
      </w:r>
      <w:r>
        <w:t xml:space="preserve"> </w:t>
      </w:r>
      <m:oMath>
        <m:r>
          <m:t>K</m:t>
        </m:r>
        <m:r>
          <m:rPr>
            <m:sty m:val="p"/>
          </m:rPr>
          <m:t>−</m:t>
        </m:r>
        <m:r>
          <m:t>1</m:t>
        </m:r>
      </m:oMath>
      <w:r>
        <w:t xml:space="preserve"> </w:t>
      </w:r>
      <w:r>
        <w:t xml:space="preserve">ordinal sigmoid thresholds, and capsule-native confidence against temperature scaling and split conformal prediction. Features are extracted once and frozen, so only the head trains, on consumer hardware, with three seeds and five-fold cross-validation. The backbone is the dominant lever. Swapping RETFound-MAE for DINOv2 lifts QWK by an order of magnitude more than swapping the head, while capsule routing adds little over the much simpler MLP+</w:t>
      </w:r>
      <m:oMath>
        <m:r>
          <m:t>K</m:t>
        </m:r>
        <m:r>
          <m:rPr>
            <m:sty m:val="p"/>
          </m:rPr>
          <m:t>−</m:t>
        </m:r>
        <m:r>
          <m:t>1</m:t>
        </m:r>
      </m:oMath>
      <w:r>
        <w:t xml:space="preserve"> </w:t>
      </w:r>
      <w:r>
        <w:t xml:space="preserve">baseline and produces an over-confident confidence signal that a single-parameter temperature rescaling fixes. Split conformal prediction is the uncertainty layer that holds up. It delivers the requested coverage on average, but coverage collapses on rare grades unless a per-class quantile is used. Out of distribution, transfer from APTOS to Messidor-2 collapses to a single predicted grade until a prior-shift correction is applied, after which performance recovers part-way but stays well below clinical agreement. The contribution is a calibrated map of what helps frozen-feature DR grading, what does not, and where the in-domain numbers stop being trustworthy.</w:t>
      </w:r>
    </w:p>
    <w:p>
      <w:pPr>
        <w:pStyle w:val="FirstParagraph"/>
      </w:pPr>
      <w:r>
        <w:t xml:space="preserve">Kumar: Frozen Foundation Features for Ordinal DR Grading</w:t>
      </w:r>
    </w:p>
    <w:p>
      <w:pPr>
        <w:pStyle w:val="BodyText"/>
      </w:pPr>
      <w:r>
        <w:t xml:space="preserve">diabetic retinopathy, ordinal regression, foundation models, RETFound, DINOv2, calibration, conformal prediction, cross-dataset generalisation.</w:t>
      </w:r>
    </w:p>
    <w:bookmarkStart w:id="15" w:name="introduction"/>
    <w:p>
      <w:pPr>
        <w:pStyle w:val="Heading1"/>
      </w:pPr>
      <w:r>
        <w:t xml:space="preserve">Introduction</w:t>
      </w:r>
    </w:p>
    <w:p>
      <w:pPr>
        <w:pStyle w:val="FirstParagraph"/>
      </w:pPr>
      <w:r>
        <w:t xml:space="preserve">retinopathy (DR) is a leading cause of preventable blindness in working-age adults, and automating severity grading from colour fundus photographs (Figure </w:t>
      </w:r>
      <w:hyperlink w:anchor="fig:grades">
        <w:r>
          <w:rPr>
            <w:rStyle w:val="Hyperlink"/>
          </w:rPr>
          <w:t xml:space="preserve">1</w:t>
        </w:r>
      </w:hyperlink>
      <w:r>
        <w:t xml:space="preserve">) is one of the most-benchmarked tasks in medical AI. Recent progress on it has come from two largely independent directions. One is stronger frozen backbones, including retinal foundation models like RETFound</w:t>
      </w:r>
      <w:r>
        <w:t xml:space="preserve"> </w:t>
      </w:r>
      <w:r>
        <w:t xml:space="preserve"> </w:t>
      </w:r>
      <w:r>
        <w:t xml:space="preserve">and general-purpose vision transformers like DINOv2</w:t>
      </w:r>
      <w:r>
        <w:t xml:space="preserve"> </w:t>
      </w:r>
      <w:r>
        <w:t xml:space="preserve">. The other is richer prediction heads such as ordinal-regression decompositions</w:t>
      </w:r>
      <w:r>
        <w:t xml:space="preserve"> </w:t>
      </w:r>
      <w:r>
        <w:t xml:space="preserve"> </w:t>
      </w:r>
      <w:r>
        <w:t xml:space="preserve">and capsule networks</w:t>
      </w:r>
      <w:r>
        <w:t xml:space="preserve"> </w:t>
      </w:r>
      <w:r>
        <w:t xml:space="preserve">. It remains unclear which of those two levers actually moves the needle, and whether the resulting confidences are trustworthy enough to act on.</w:t>
      </w:r>
    </w:p>
    <w:bookmarkStart w:id="13" w:name="fig:grades"/>
    <w:p>
      <w:pPr>
        <w:pStyle w:val="CaptionedFigure"/>
      </w:pPr>
      <w:r>
        <w:drawing>
          <wp:inline>
            <wp:extent cx="5334000" cy="1259558"/>
            <wp:effectExtent b="0" l="0" r="0" t="0"/>
            <wp:docPr descr="" title="" id="11" name="Picture"/>
            <a:graphic>
              <a:graphicData uri="http://schemas.openxmlformats.org/drawingml/2006/picture">
                <pic:pic>
                  <pic:nvPicPr>
                    <pic:cNvPr descr="figs/fig_0_grade_samples.pdf" id="12" name="Picture"/>
                    <pic:cNvPicPr>
                      <a:picLocks noChangeArrowheads="1" noChangeAspect="1"/>
                    </pic:cNvPicPr>
                  </pic:nvPicPr>
                  <pic:blipFill>
                    <a:blip r:embed="rId10"/>
                    <a:stretch>
                      <a:fillRect/>
                    </a:stretch>
                  </pic:blipFill>
                  <pic:spPr bwMode="auto">
                    <a:xfrm>
                      <a:off x="0" y="0"/>
                      <a:ext cx="5334000" cy="1259558"/>
                    </a:xfrm>
                    <a:prstGeom prst="rect">
                      <a:avLst/>
                    </a:prstGeom>
                    <a:noFill/>
                    <a:ln w="9525">
                      <a:noFill/>
                      <a:headEnd/>
                      <a:tailEnd/>
                    </a:ln>
                  </pic:spPr>
                </pic:pic>
              </a:graphicData>
            </a:graphic>
          </wp:inline>
        </w:drawing>
      </w:r>
    </w:p>
    <w:p>
      <w:pPr>
        <w:pStyle w:val="ImageCaption"/>
      </w:pPr>
      <w:r>
        <w:t xml:space="preserve">Representative APTOS-2019 samples across the five-point ICDR severity scale. Preprocessing follows the official RETFound evaluation transform (Resize-256 bicubic</w:t>
      </w:r>
      <w:r>
        <w:t xml:space="preserve"> </w:t>
      </w:r>
      <m:oMath>
        <m:r>
          <m:rPr>
            <m:sty m:val="p"/>
          </m:rPr>
          <m:t>→</m:t>
        </m:r>
      </m:oMath>
      <w:r>
        <w:t xml:space="preserve"> </w:t>
      </w:r>
      <w:r>
        <w:t xml:space="preserve">CenterCrop-224</w:t>
      </w:r>
      <w:r>
        <w:t xml:space="preserve"> </w:t>
      </w:r>
      <m:oMath>
        <m:r>
          <m:rPr>
            <m:sty m:val="p"/>
          </m:rPr>
          <m:t>→</m:t>
        </m:r>
      </m:oMath>
      <w:r>
        <w:t xml:space="preserve"> </w:t>
      </w:r>
      <w:r>
        <w:t xml:space="preserve">ImageNet normalise). Clinical descriptors are standard ICDR definitions.</w:t>
      </w:r>
    </w:p>
    <w:bookmarkEnd w:id="13"/>
    <w:p>
      <w:pPr>
        <w:pStyle w:val="BodyText"/>
      </w:pPr>
      <w:r>
        <w:t xml:space="preserve">Recent DR-grading work has pushed on backbone scale (ViT-L ensembles, ConvNeXt-Base</w:t>
      </w:r>
      <w:r>
        <w:t xml:space="preserve"> </w:t>
      </w:r>
      <w:r>
        <w:t xml:space="preserve">, MAFNet</w:t>
      </w:r>
      <w:r>
        <w:t xml:space="preserve"> </w:t>
      </w:r>
      <w:r>
        <w:t xml:space="preserve">, Dual-SwinOrd</w:t>
      </w:r>
      <w:r>
        <w:t xml:space="preserve"> </w:t>
      </w:r>
      <w:r>
        <w:t xml:space="preserve">), on ordinal formulations (autoregressive</w:t>
      </w:r>
      <w:r>
        <w:t xml:space="preserve"> </w:t>
      </w:r>
      <w:r>
        <w:t xml:space="preserve">, evidential</w:t>
      </w:r>
      <w:r>
        <w:t xml:space="preserve"> </w:t>
      </w:r>
      <w:r>
        <w:t xml:space="preserve">), and on richer uncertainty layers (Bayesian heads, ensembles, evidential losses). This paper asks an orthogonal question. How much does the head actually matter once the backbone is frozen, and which uncertainty story survives an honest audit?</w:t>
      </w:r>
    </w:p>
    <w:p>
      <w:pPr>
        <w:pStyle w:val="BodyText"/>
      </w:pPr>
      <w:r>
        <w:t xml:space="preserve">The headline finding from the head</w:t>
      </w:r>
      <m:oMath>
        <m:r>
          <m:rPr>
            <m:sty m:val="p"/>
          </m:rPr>
          <m:t>×</m:t>
        </m:r>
      </m:oMath>
      <w:r>
        <w:t xml:space="preserve">backbone grid is that the backbone dominates the head. Swapping the domain-specific RETFound for the generalist DINOv2 lifts grading agreement substantially on both datasets, an order of magnitude more than swapping the prediction head. On Messidor-2 with DINOv2 features the simple MLP head actually</w:t>
      </w:r>
      <w:r>
        <w:t xml:space="preserve"> </w:t>
      </w:r>
      <w:r>
        <w:rPr>
          <w:i/>
          <w:iCs/>
        </w:rPr>
        <w:t xml:space="preserve">beats</w:t>
      </w:r>
      <w:r>
        <w:t xml:space="preserve"> </w:t>
      </w:r>
      <w:r>
        <w:t xml:space="preserve">the capsule. The advantage of capsule routing over the much simpler MLP+</w:t>
      </w:r>
      <m:oMath>
        <m:r>
          <m:t>K</m:t>
        </m:r>
        <m:r>
          <m:rPr>
            <m:sty m:val="p"/>
          </m:rPr>
          <m:t>−</m:t>
        </m:r>
        <m:r>
          <m:t>1</m:t>
        </m:r>
      </m:oMath>
      <w:r>
        <w:t xml:space="preserve"> </w:t>
      </w:r>
      <w:r>
        <w:t xml:space="preserve">baseline is real but small on APTOS, and it disappears or reverses once the backbone is strong enough. This narrows the case for domain-specific retinal pretraining and for capsule routing to a single regime, namely the 2023-generation RETFound-MAE backbone paired with a small ordinal head.</w:t>
      </w:r>
    </w:p>
    <w:p>
      <w:pPr>
        <w:pStyle w:val="BodyText"/>
      </w:pPr>
      <w:r>
        <w:t xml:space="preserve">The capsule head is also commonly credited with a</w:t>
      </w:r>
      <w:r>
        <w:t xml:space="preserve"> </w:t>
      </w:r>
      <w:r>
        <w:rPr>
          <w:i/>
          <w:iCs/>
        </w:rPr>
        <w:t xml:space="preserve">native</w:t>
      </w:r>
      <w:r>
        <w:t xml:space="preserve"> </w:t>
      </w:r>
      <w:r>
        <w:t xml:space="preserve">uncertainty signal, namely the margin between the top two capsule lengths. We find this signal essentially indistinguishable from the analogous top-2 margin of a plain MLP with sigmoid outputs, and the underlying capsule-length probabilities are systematically over-confident. A single-parameter temperature rescaling closes most of the calibration gap, but on stricter scoring rules the MLP head still wins. The capsule margin behaves as a useful</w:t>
      </w:r>
      <w:r>
        <w:t xml:space="preserve"> </w:t>
      </w:r>
      <w:r>
        <w:rPr>
          <w:i/>
          <w:iCs/>
        </w:rPr>
        <w:t xml:space="preserve">discriminative</w:t>
      </w:r>
      <w:r>
        <w:t xml:space="preserve"> </w:t>
      </w:r>
      <w:r>
        <w:t xml:space="preserve">score for ranking confident predictions. It is not a calibrated probability.</w:t>
      </w:r>
    </w:p>
    <w:p>
      <w:pPr>
        <w:pStyle w:val="BodyText"/>
      </w:pPr>
      <w:r>
        <w:t xml:space="preserve">Split conformal prediction is the uncertainty layer that holds up. Asked for a</w:t>
      </w:r>
      <w:r>
        <w:t xml:space="preserve"> </w:t>
      </w:r>
      <m:oMath>
        <m:r>
          <m:t>90</m:t>
        </m:r>
        <m:r>
          <m:rPr>
            <m:sty m:val="p"/>
          </m:rPr>
          <m:t>%</m:t>
        </m:r>
      </m:oMath>
      <w:r>
        <w:t xml:space="preserve"> </w:t>
      </w:r>
      <w:r>
        <w:t xml:space="preserve">confidence level, it returns a small</w:t>
      </w:r>
      <w:r>
        <w:t xml:space="preserve"> </w:t>
      </w:r>
      <w:r>
        <w:rPr>
          <w:i/>
          <w:iCs/>
        </w:rPr>
        <w:t xml:space="preserve">set</w:t>
      </w:r>
      <w:r>
        <w:t xml:space="preserve"> </w:t>
      </w:r>
      <w:r>
        <w:t xml:space="preserve">of grades that contains the true grade</w:t>
      </w:r>
      <w:r>
        <w:t xml:space="preserve"> </w:t>
      </w:r>
      <m:oMath>
        <m:r>
          <m:t>90</m:t>
        </m:r>
        <m:r>
          <m:rPr>
            <m:sty m:val="p"/>
          </m:rPr>
          <m:t>%</m:t>
        </m:r>
      </m:oMath>
      <w:r>
        <w:t xml:space="preserve"> </w:t>
      </w:r>
      <w:r>
        <w:t xml:space="preserve">of the time</w:t>
      </w:r>
      <w:r>
        <w:t xml:space="preserve"> </w:t>
      </w:r>
      <w:r>
        <w:rPr>
          <w:i/>
          <w:iCs/>
        </w:rPr>
        <w:t xml:space="preserve">averaged over all patients</w:t>
      </w:r>
      <w:r>
        <w:t xml:space="preserve">, and this guarantee holds on every cell of our grid. The catch is in the word</w:t>
      </w:r>
      <w:r>
        <w:t xml:space="preserve"> </w:t>
      </w:r>
      <w:r>
        <w:rPr>
          <w:i/>
          <w:iCs/>
        </w:rPr>
        <w:t xml:space="preserve">averaged</w:t>
      </w:r>
      <w:r>
        <w:t xml:space="preserve">. Under the standard scoring rules, that average is met by being very accurate on the no-DR majority while leaving the rare severe-DR cases under-covered, exactly the patients we can least afford to miss. A per-class quantile restores the guarantee</w:t>
      </w:r>
      <w:r>
        <w:t xml:space="preserve"> </w:t>
      </w:r>
      <w:r>
        <w:rPr>
          <w:i/>
          <w:iCs/>
        </w:rPr>
        <w:t xml:space="preserve">separately for each grade</w:t>
      </w:r>
      <w:r>
        <w:t xml:space="preserve"> </w:t>
      </w:r>
      <w:r>
        <w:t xml:space="preserve">at a small cost in average set size. Conformal therefore turns frozen-feature DR grading into a probabilistically meaningful screening tool, with the caveat that per-grade reliability requires the per-class fix.</w:t>
      </w:r>
    </w:p>
    <w:p>
      <w:pPr>
        <w:pStyle w:val="BodyText"/>
      </w:pPr>
      <w:r>
        <w:t xml:space="preserve">As a separate cross-dataset diagnostic, the APTOS-trained frozen head collapses to a near-constant Grade-0 predictor on Messidor-2 (99.4% Grade-0 predictions; Zoellin et al. </w:t>
      </w:r>
      <w:r>
        <w:t xml:space="preserve"> </w:t>
      </w:r>
      <w:r>
        <w:t xml:space="preserve">report frozen-RETFound Messidor QKappa of exactly</w:t>
      </w:r>
      <w:r>
        <w:t xml:space="preserve"> </w:t>
      </w:r>
      <m:oMath>
        <m:r>
          <m:t>0.0</m:t>
        </m:r>
      </m:oMath>
      <w:r>
        <w:t xml:space="preserve"> </w:t>
      </w:r>
      <w:r>
        <w:t xml:space="preserve">in an independent setup). A standard post-hoc rescaling, using only the expected grade distribution on Messidor-2 with no true labels</w:t>
      </w:r>
      <w:r>
        <w:t xml:space="preserve"> </w:t>
      </w:r>
      <w:r>
        <w:t xml:space="preserve">, lifts the model’s agreement with clinicians from essentially zero to the</w:t>
      </w:r>
      <w:r>
        <w:t xml:space="preserve"> </w:t>
      </w:r>
      <w:r>
        <w:rPr>
          <w:i/>
          <w:iCs/>
        </w:rPr>
        <w:t xml:space="preserve">fair</w:t>
      </w:r>
      <w:r>
        <w:t xml:space="preserve"> </w:t>
      </w:r>
      <w:r>
        <w:t xml:space="preserve">band of the standard kappa scale, still well below the threshold expected for clinical screening. We report this as a diagnostic that the failure is a threshold miscalibration rather than a feature-space collapse, not as a domain-adaptation contribution.</w:t>
      </w:r>
    </w:p>
    <w:p>
      <w:pPr>
        <w:pStyle w:val="BodyText"/>
      </w:pPr>
      <w:r>
        <w:rPr>
          <w:b/>
          <w:bCs/>
        </w:rPr>
        <w:t xml:space="preserve">Contributions.</w:t>
      </w:r>
    </w:p>
    <w:p>
      <w:pPr>
        <w:numPr>
          <w:ilvl w:val="0"/>
          <w:numId w:val="1001"/>
        </w:numPr>
      </w:pPr>
      <w:r>
        <w:rPr>
          <w:b/>
          <w:bCs/>
        </w:rPr>
        <w:t xml:space="preserve">Decomposing backbone vs head effects.</w:t>
      </w:r>
      <w:r>
        <w:t xml:space="preserve"> </w:t>
      </w:r>
      <w:r>
        <w:t xml:space="preserve">A fully-crossed</w:t>
      </w:r>
      <w:r>
        <w:t xml:space="preserve"> </w:t>
      </w:r>
      <m:oMath>
        <m:r>
          <m:t>2</m:t>
        </m:r>
        <m:r>
          <m:rPr>
            <m:sty m:val="p"/>
          </m:rPr>
          <m:t>×</m:t>
        </m:r>
        <m:r>
          <m:t>2</m:t>
        </m:r>
      </m:oMath>
      <w:r>
        <w:t xml:space="preserve"> </w:t>
      </w:r>
      <w:r>
        <w:t xml:space="preserve">head</w:t>
      </w:r>
      <m:oMath>
        <m:r>
          <m:rPr>
            <m:sty m:val="p"/>
          </m:rPr>
          <m:t>×</m:t>
        </m:r>
      </m:oMath>
      <w:r>
        <w:t xml:space="preserve">backbone ablation (capsule and MLP+</w:t>
      </w:r>
      <m:oMath>
        <m:r>
          <m:t>K</m:t>
        </m:r>
        <m:r>
          <m:rPr>
            <m:sty m:val="p"/>
          </m:rPr>
          <m:t>−</m:t>
        </m:r>
        <m:r>
          <m:t>1</m:t>
        </m:r>
      </m:oMath>
      <w:r>
        <w:t xml:space="preserve"> </w:t>
      </w:r>
      <w:r>
        <w:t xml:space="preserve">heads, RETFound and DINOv2 features) on APTOS and Messidor-2 at</w:t>
      </w:r>
      <w:r>
        <w:t xml:space="preserve"> </w:t>
      </w:r>
      <m:oMath>
        <m:r>
          <m:t>3</m:t>
        </m:r>
      </m:oMath>
      <w:r>
        <w:t xml:space="preserve"> </w:t>
      </w:r>
      <w:r>
        <w:t xml:space="preserve">seeds</w:t>
      </w:r>
      <w:r>
        <w:t xml:space="preserve"> </w:t>
      </w:r>
      <m:oMath>
        <m:r>
          <m:rPr>
            <m:sty m:val="p"/>
          </m:rPr>
          <m:t>×</m:t>
        </m:r>
      </m:oMath>
      <w:r>
        <w:t xml:space="preserve"> </w:t>
      </w:r>
      <m:oMath>
        <m:r>
          <m:t>5</m:t>
        </m:r>
      </m:oMath>
      <w:r>
        <w:t xml:space="preserve"> </w:t>
      </w:r>
      <w:r>
        <w:t xml:space="preserve">folds, with paired Wilcoxon tests on per-fold QWK.</w:t>
      </w:r>
    </w:p>
    <w:p>
      <w:pPr>
        <w:numPr>
          <w:ilvl w:val="0"/>
          <w:numId w:val="1001"/>
        </w:numPr>
      </w:pPr>
      <w:r>
        <w:rPr>
          <w:b/>
          <w:bCs/>
        </w:rPr>
        <w:t xml:space="preserve">Auditing native capsule confidence.</w:t>
      </w:r>
      <w:r>
        <w:t xml:space="preserve"> </w:t>
      </w:r>
      <w:r>
        <w:t xml:space="preserve">Calibration of the chain-rule probability across all nine head</w:t>
      </w:r>
      <m:oMath>
        <m:r>
          <m:rPr>
            <m:sty m:val="p"/>
          </m:rPr>
          <m:t>×</m:t>
        </m:r>
      </m:oMath>
      <w:r>
        <w:t xml:space="preserve">backbone</w:t>
      </w:r>
      <m:oMath>
        <m:r>
          <m:rPr>
            <m:sty m:val="p"/>
          </m:rPr>
          <m:t>×</m:t>
        </m:r>
      </m:oMath>
      <w:r>
        <w:t xml:space="preserve">dataset cells with ECE, MCE, Brier, NLL, AURC, and risk-at-coverage, plus a temperature-scaling post-hoc baseline.</w:t>
      </w:r>
    </w:p>
    <w:p>
      <w:pPr>
        <w:numPr>
          <w:ilvl w:val="0"/>
          <w:numId w:val="1001"/>
        </w:numPr>
      </w:pPr>
      <w:r>
        <w:rPr>
          <w:b/>
          <w:bCs/>
        </w:rPr>
        <w:t xml:space="preserve">Conformal coverage under class imbalance.</w:t>
      </w:r>
      <w:r>
        <w:t xml:space="preserve"> </w:t>
      </w:r>
      <w:r>
        <w:t xml:space="preserve">A four-score conformal comparison (LAC, APS, RAPS, and a Mondrian per-class quantile), reporting marginal and worst-class coverage with set-size cost.</w:t>
      </w:r>
    </w:p>
    <w:p>
      <w:pPr>
        <w:numPr>
          <w:ilvl w:val="0"/>
          <w:numId w:val="1001"/>
        </w:numPr>
      </w:pPr>
      <w:r>
        <w:rPr>
          <w:b/>
          <w:bCs/>
        </w:rPr>
        <w:t xml:space="preserve">A cross-dataset diagnostic for APTOS</w:t>
      </w:r>
      <m:oMath>
        <m:r>
          <m:rPr>
            <m:sty m:val="p"/>
          </m:rPr>
          <m:t>→</m:t>
        </m:r>
      </m:oMath>
      <w:r>
        <w:rPr>
          <w:b/>
          <w:bCs/>
        </w:rPr>
        <w:t xml:space="preserve">Messidor-2.</w:t>
      </w:r>
      <w:r>
        <w:t xml:space="preserve"> </w:t>
      </w:r>
      <w:r>
        <w:t xml:space="preserve">Frozen-head transfer evaluated under a label-free prior-shift correction, framed as a threshold-miscalibration diagnostic rather than a domain-adaptation contribution.</w:t>
      </w:r>
    </w:p>
    <w:p>
      <w:pPr>
        <w:numPr>
          <w:ilvl w:val="0"/>
          <w:numId w:val="1001"/>
        </w:numPr>
      </w:pPr>
      <w:r>
        <w:rPr>
          <w:b/>
          <w:bCs/>
        </w:rPr>
        <w:t xml:space="preserve">Reproducibility.</w:t>
      </w:r>
      <w:r>
        <w:t xml:space="preserve"> </w:t>
      </w:r>
      <w:r>
        <w:t xml:space="preserve">Code, configs, cached features, per-fold predictions, and figure/table regeneration scripts at</w:t>
      </w:r>
      <w:r>
        <w:t xml:space="preserve"> </w:t>
      </w:r>
      <w:hyperlink r:id="rId14">
        <w:r>
          <w:rPr>
            <w:rStyle w:val="Hyperlink"/>
          </w:rPr>
          <w:t xml:space="preserve">https://github.com/vineetkumar-sudo/retfound-capsnet</w:t>
        </w:r>
      </w:hyperlink>
      <w:r>
        <w:t xml:space="preserve">.</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method">
        <w:r>
          <w:rPr>
            <w:rStyle w:val="Hyperlink"/>
          </w:rPr>
          <w:t xml:space="preserve">3</w:t>
        </w:r>
      </w:hyperlink>
      <w:r>
        <w:t xml:space="preserve"> </w:t>
      </w:r>
      <w:r>
        <w:t xml:space="preserve">describes the heads, backbones, and UQ layers, and Section </w:t>
      </w:r>
      <w:hyperlink w:anchor="sec:setup">
        <w:r>
          <w:rPr>
            <w:rStyle w:val="Hyperlink"/>
          </w:rPr>
          <w:t xml:space="preserve">4</w:t>
        </w:r>
      </w:hyperlink>
      <w:r>
        <w:t xml:space="preserve"> </w:t>
      </w:r>
      <w:r>
        <w:t xml:space="preserve">covers the datasets and protocol. Section </w:t>
      </w:r>
      <w:hyperlink w:anchor="sec:results">
        <w:r>
          <w:rPr>
            <w:rStyle w:val="Hyperlink"/>
          </w:rPr>
          <w:t xml:space="preserve">5</w:t>
        </w:r>
      </w:hyperlink>
      <w:r>
        <w:t xml:space="preserve"> </w:t>
      </w:r>
      <w:r>
        <w:t xml:space="preserve">reports the experiments, followed by a discussion in Section </w:t>
      </w:r>
      <w:hyperlink w:anchor="sec:discussion">
        <w:r>
          <w:rPr>
            <w:rStyle w:val="Hyperlink"/>
          </w:rPr>
          <w:t xml:space="preserve">6</w:t>
        </w:r>
      </w:hyperlink>
      <w:r>
        <w:t xml:space="preserve">, limitations in Section </w:t>
      </w:r>
      <w:hyperlink w:anchor="sec:limitations">
        <w:r>
          <w:rPr>
            <w:rStyle w:val="Hyperlink"/>
          </w:rPr>
          <w:t xml:space="preserve">7</w:t>
        </w:r>
      </w:hyperlink>
      <w:r>
        <w:t xml:space="preserve">, and conclusions in Section </w:t>
      </w:r>
      <w:hyperlink w:anchor="sec:conclusion">
        <w:r>
          <w:rPr>
            <w:rStyle w:val="Hyperlink"/>
          </w:rPr>
          <w:t xml:space="preserve">8</w:t>
        </w:r>
      </w:hyperlink>
      <w:r>
        <w:t xml:space="preserve">. Negative ablations are collected in Appendix </w:t>
      </w:r>
      <w:hyperlink w:anchor="sec:negatives">
        <w:r>
          <w:rPr>
            <w:rStyle w:val="Hyperlink"/>
          </w:rPr>
          <w:t xml:space="preserve">9</w:t>
        </w:r>
      </w:hyperlink>
      <w:r>
        <w:t xml:space="preserve">.</w:t>
      </w:r>
    </w:p>
    <w:bookmarkEnd w:id="15"/>
    <w:bookmarkStart w:id="21" w:name="sec:related"/>
    <w:p>
      <w:pPr>
        <w:pStyle w:val="Heading1"/>
      </w:pPr>
      <w:r>
        <w:t xml:space="preserve">Related Work</w:t>
      </w:r>
    </w:p>
    <w:bookmarkStart w:id="16" w:name="ordinal-dr-grading"/>
    <w:p>
      <w:pPr>
        <w:pStyle w:val="Heading2"/>
      </w:pPr>
      <w:r>
        <w:t xml:space="preserve">Ordinal DR grading</w:t>
      </w:r>
    </w:p>
    <w:p>
      <w:pPr>
        <w:pStyle w:val="FirstParagraph"/>
      </w:pPr>
      <w:r>
        <w:t xml:space="preserve">Niu et al. </w:t>
      </w:r>
      <w:r>
        <w:t xml:space="preserve"> </w:t>
      </w:r>
      <w:r>
        <w:t xml:space="preserve">introduced the</w:t>
      </w:r>
      <w:r>
        <w:t xml:space="preserve"> </w:t>
      </w:r>
      <m:oMath>
        <m:r>
          <m:t>K</m:t>
        </m:r>
        <m:r>
          <m:rPr>
            <m:sty m:val="p"/>
          </m:rPr>
          <m:t>−</m:t>
        </m:r>
        <m:r>
          <m:t>1</m:t>
        </m:r>
      </m:oMath>
      <w:r>
        <w:t xml:space="preserve"> </w:t>
      </w:r>
      <w:r>
        <w:t xml:space="preserve">binary decomposition. The model trains</w:t>
      </w:r>
      <w:r>
        <w:t xml:space="preserve"> </w:t>
      </w:r>
      <m:oMath>
        <m:r>
          <m:t>K</m:t>
        </m:r>
        <m:r>
          <m:rPr>
            <m:sty m:val="p"/>
          </m:rPr>
          <m:t>−</m:t>
        </m:r>
        <m:r>
          <m:t>1</m:t>
        </m:r>
      </m:oMath>
      <w:r>
        <w:t xml:space="preserve"> </w:t>
      </w:r>
      <w:r>
        <w:t xml:space="preserve">binary classifiers, each answering whether the rank exceeds threshold</w:t>
      </w:r>
      <w:r>
        <w:t xml:space="preserve"> </w:t>
      </w:r>
      <m:oMath>
        <m:r>
          <m:t>k</m:t>
        </m:r>
      </m:oMath>
      <w:r>
        <w:t xml:space="preserve">, and decodes the rank as</w:t>
      </w:r>
      <w:r>
        <w:t xml:space="preserve"> </w:t>
      </w:r>
      <m:oMath>
        <m:r>
          <m:t>1</m:t>
        </m:r>
        <m:r>
          <m:rPr>
            <m:sty m:val="p"/>
          </m:rPr>
          <m:t>+</m:t>
        </m:r>
        <m:nary>
          <m:naryPr>
            <m:chr m:val="∑"/>
            <m:limLoc m:val="undOvr"/>
            <m:subHide m:val="off"/>
            <m:supHide m:val="on"/>
          </m:naryPr>
          <m:sub>
            <m:r>
              <m:t>k</m:t>
            </m:r>
          </m:sub>
          <m:sup>
            <m:r>
              <m:t>​</m:t>
            </m:r>
          </m:sup>
          <m:e>
            <m:r>
              <m:rPr>
                <m:sty m:val="b"/>
              </m:rPr>
              <m:t>1</m:t>
            </m:r>
          </m:e>
        </m:nary>
        <m:r>
          <m:rPr>
            <m:sty m:val="p"/>
          </m:rPr>
          <m:t>[</m:t>
        </m:r>
        <m:sSub>
          <m:e>
            <m:r>
              <m:t>f</m:t>
            </m:r>
          </m:e>
          <m:sub>
            <m:r>
              <m:t>k</m:t>
            </m:r>
          </m:sub>
        </m:sSub>
        <m:r>
          <m:rPr>
            <m:sty m:val="p"/>
          </m:rPr>
          <m:t>(</m:t>
        </m:r>
        <m:r>
          <m:t>x</m:t>
        </m:r>
        <m:r>
          <m:rPr>
            <m:sty m:val="p"/>
          </m:rPr>
          <m:t>)</m:t>
        </m:r>
        <m:r>
          <m:rPr>
            <m:sty m:val="p"/>
          </m:rPr>
          <m:t>&gt;</m:t>
        </m:r>
        <m:r>
          <m:t>0.5</m:t>
        </m:r>
        <m:r>
          <m:rPr>
            <m:sty m:val="p"/>
          </m:rPr>
          <m:t>]</m:t>
        </m:r>
      </m:oMath>
      <w:r>
        <w:t xml:space="preserve">. Recent DR-specific extensions vary the backbone and the loss. Kumar et al. </w:t>
      </w:r>
      <w:r>
        <w:t xml:space="preserve"> </w:t>
      </w:r>
      <w:r>
        <w:t xml:space="preserve">pair a ResNet-50 with MSE regression. Yu et al. </w:t>
      </w:r>
      <w:r>
        <w:t xml:space="preserve"> </w:t>
      </w:r>
      <w:r>
        <w:t xml:space="preserve">introduce AOR-DR, an autoregressive</w:t>
      </w:r>
      <w:r>
        <w:t xml:space="preserve"> </w:t>
      </w:r>
      <m:oMath>
        <m:r>
          <m:t>K</m:t>
        </m:r>
        <m:r>
          <m:rPr>
            <m:sty m:val="p"/>
          </m:rPr>
          <m:t>−</m:t>
        </m:r>
        <m:r>
          <m:t>1</m:t>
        </m:r>
      </m:oMath>
      <w:r>
        <w:t xml:space="preserve"> </w:t>
      </w:r>
      <w:r>
        <w:t xml:space="preserve">decomposition combined with a conditional diffusion network on a frozen RETFound backbone. El Bellaj et al. </w:t>
      </w:r>
      <w:r>
        <w:t xml:space="preserve"> </w:t>
      </w:r>
      <w:r>
        <w:t xml:space="preserve">pair a ConvNeXt-Base with an evidential Dirichlet head. MAFNet</w:t>
      </w:r>
      <w:r>
        <w:t xml:space="preserve"> </w:t>
      </w:r>
      <w:r>
        <w:t xml:space="preserve"> </w:t>
      </w:r>
      <w:r>
        <w:t xml:space="preserve">is a multi-scale adaptive fine-grained network. Dual-SwinOrd</w:t>
      </w:r>
      <w:r>
        <w:t xml:space="preserve"> </w:t>
      </w:r>
      <w:r>
        <w:t xml:space="preserve"> </w:t>
      </w:r>
      <w:r>
        <w:t xml:space="preserve">pairs a Swin Transformer backbone with a PubMedCLIP-guided semantic prior and dual classification and ordinal-regression heads. Our setup is deliberately simpler so the backbone, head, and uncertainty-layer effects can be cleanly separated.</w:t>
      </w:r>
    </w:p>
    <w:bookmarkEnd w:id="16"/>
    <w:bookmarkStart w:id="17" w:name="foundation-models-for-retinal-imaging"/>
    <w:p>
      <w:pPr>
        <w:pStyle w:val="Heading2"/>
      </w:pPr>
      <w:r>
        <w:t xml:space="preserve">Foundation models for retinal imaging</w:t>
      </w:r>
    </w:p>
    <w:p>
      <w:pPr>
        <w:pStyle w:val="FirstParagraph"/>
      </w:pPr>
      <w:r>
        <w:t xml:space="preserve">RETFound</w:t>
      </w:r>
      <w:r>
        <w:t xml:space="preserve"> </w:t>
      </w:r>
      <w:r>
        <w:t xml:space="preserve"> </w:t>
      </w:r>
      <w:r>
        <w:t xml:space="preserve">is a ViT-L masked autoencoder pretrained on</w:t>
      </w:r>
      <w:r>
        <w:t xml:space="preserve"> </w:t>
      </w:r>
      <m:oMath>
        <m:r>
          <m:t>904</m:t>
        </m:r>
      </m:oMath>
      <w:r>
        <w:t xml:space="preserve">k CFPs and</w:t>
      </w:r>
      <w:r>
        <w:t xml:space="preserve"> </w:t>
      </w:r>
      <m:oMath>
        <m:r>
          <m:t>736</m:t>
        </m:r>
      </m:oMath>
      <w:r>
        <w:t xml:space="preserve">k OCT scans. DINOv2</w:t>
      </w:r>
      <w:r>
        <w:t xml:space="preserve"> </w:t>
      </w:r>
      <w:r>
        <w:t xml:space="preserve"> </w:t>
      </w:r>
      <w:r>
        <w:t xml:space="preserve">is a general-purpose self-supervised ViT trained on LVD-142M without retinal specialisation. A recent head-to-head evaluation on retinal downstream tasks</w:t>
      </w:r>
      <w:r>
        <w:t xml:space="preserve"> </w:t>
      </w:r>
      <w:r>
        <w:t xml:space="preserve"> </w:t>
      </w:r>
      <w:r>
        <w:t xml:space="preserve">reports that DINOv2 outperforms RETFound on ocular-disease detection (including DR) while RETFound retains an edge on systemic-disease incidence prediction. Poyrazer et al. </w:t>
      </w:r>
      <w:r>
        <w:t xml:space="preserve"> </w:t>
      </w:r>
      <w:r>
        <w:t xml:space="preserve">benchmark frozen-encoder cross-dataset transfer for DR with calibration as a co-primary endpoint, and Isztl et al. </w:t>
      </w:r>
      <w:r>
        <w:t xml:space="preserve"> </w:t>
      </w:r>
      <w:r>
        <w:t xml:space="preserve">evaluate the parameter-cost of specialised retinal backbones across multiple retinal imaging tasks. The LoRA adapter</w:t>
      </w:r>
      <w:r>
        <w:t xml:space="preserve"> </w:t>
      </w:r>
      <w:r>
        <w:t xml:space="preserve"> </w:t>
      </w:r>
      <w:r>
        <w:t xml:space="preserve">is used as our lightweight fine-tuning counterpoint.</w:t>
      </w:r>
    </w:p>
    <w:bookmarkEnd w:id="17"/>
    <w:bookmarkStart w:id="18" w:name="capsule-networks-for-dr"/>
    <w:p>
      <w:pPr>
        <w:pStyle w:val="Heading2"/>
      </w:pPr>
      <w:r>
        <w:t xml:space="preserve">Capsule networks for DR</w:t>
      </w:r>
    </w:p>
    <w:p>
      <w:pPr>
        <w:pStyle w:val="FirstParagraph"/>
      </w:pPr>
      <w:r>
        <w:t xml:space="preserve">Sabour, Frosst, and Hinton</w:t>
      </w:r>
      <w:r>
        <w:t xml:space="preserve"> </w:t>
      </w:r>
      <w:r>
        <w:t xml:space="preserve"> </w:t>
      </w:r>
      <w:r>
        <w:t xml:space="preserve">introduced capsules with routing-by-agreement and a margin loss. On retinal fundus photography, Gogulamudi et al. </w:t>
      </w:r>
      <w:r>
        <w:t xml:space="preserve"> </w:t>
      </w:r>
      <w:r>
        <w:t xml:space="preserve">propose a non-uniform squash on a custom 7-class dataset, and Lei et al. </w:t>
      </w:r>
      <w:r>
        <w:t xml:space="preserve"> </w:t>
      </w:r>
      <w:r>
        <w:t xml:space="preserve">fuse a GNN layer into the PrimaryCaps</w:t>
      </w:r>
      <m:oMath>
        <m:r>
          <m:rPr>
            <m:sty m:val="p"/>
          </m:rPr>
          <m:t>→</m:t>
        </m:r>
      </m:oMath>
      <w:r>
        <w:t xml:space="preserve">DigitCaps transformation. Neither reports QWK, cross-dataset evaluation, or calibration.</w:t>
      </w:r>
    </w:p>
    <w:bookmarkEnd w:id="18"/>
    <w:bookmarkStart w:id="19" w:name="Xab8f1fbdba8eb572fd081b3b7847780f91fa9b7"/>
    <w:p>
      <w:pPr>
        <w:pStyle w:val="Heading2"/>
      </w:pPr>
      <w:r>
        <w:t xml:space="preserve">Calibration and conformal UQ in medical imaging</w:t>
      </w:r>
    </w:p>
    <w:p>
      <w:pPr>
        <w:pStyle w:val="FirstParagraph"/>
      </w:pPr>
      <w:r>
        <w:t xml:space="preserve">Two frameworks are standard for attaching uncertainty to neural-network classifiers. Expected Calibration Error (ECE)</w:t>
      </w:r>
      <w:r>
        <w:t xml:space="preserve"> </w:t>
      </w:r>
      <w:r>
        <w:t xml:space="preserve"> </w:t>
      </w:r>
      <w:r>
        <w:t xml:space="preserve">measures the average gap between a model’s reported confidence and its empirical accuracy across equal-mass confidence bins, and indicates whether the reported probabilities can be trusted as probabilities. Split conformal prediction</w:t>
      </w:r>
      <w:r>
        <w:t xml:space="preserve"> </w:t>
      </w:r>
      <w:r>
        <w:t xml:space="preserve"> </w:t>
      </w:r>
      <w:r>
        <w:t xml:space="preserve">operates differently, returning a small set of candidate labels per input with a distribution-free marginal-coverage guarantee that depends only on exchangeability between the calibration and test data, not on whether the underlying probabilities are well-calibrated. For multi-class problems, LAC</w:t>
      </w:r>
      <w:r>
        <w:t xml:space="preserve"> </w:t>
      </w:r>
      <w:r>
        <w:t xml:space="preserve"> </w:t>
      </w:r>
      <w:r>
        <w:t xml:space="preserve">and APS</w:t>
      </w:r>
      <w:r>
        <w:t xml:space="preserve"> </w:t>
      </w:r>
      <w:r>
        <w:t xml:space="preserve"> </w:t>
      </w:r>
      <w:r>
        <w:t xml:space="preserve">are the canonical nonconformity scores. Shi et al. </w:t>
      </w:r>
      <w:r>
        <w:t xml:space="preserve"> </w:t>
      </w:r>
      <w:r>
        <w:t xml:space="preserve">address the class-conditional coverage gap that LAC and APS exhibit, by augmenting label ranks.</w:t>
      </w:r>
    </w:p>
    <w:bookmarkEnd w:id="19"/>
    <w:bookmarkStart w:id="20" w:name="other-cnn-based-dr-pipelines"/>
    <w:p>
      <w:pPr>
        <w:pStyle w:val="Heading2"/>
      </w:pPr>
      <w:r>
        <w:t xml:space="preserve">Other CNN-based DR pipelines</w:t>
      </w:r>
    </w:p>
    <w:p>
      <w:pPr>
        <w:pStyle w:val="FirstParagraph"/>
      </w:pPr>
      <w:r>
        <w:t xml:space="preserve">Bodapati and Balaji</w:t>
      </w:r>
      <w:r>
        <w:t xml:space="preserve"> </w:t>
      </w:r>
      <w:r>
        <w:t xml:space="preserve"> </w:t>
      </w:r>
      <w:r>
        <w:t xml:space="preserve">use a dual-attention VGG16 + Xception stacking ensemble. Dixit and Jha</w:t>
      </w:r>
      <w:r>
        <w:t xml:space="preserve"> </w:t>
      </w:r>
      <w:r>
        <w:t xml:space="preserve"> </w:t>
      </w:r>
      <w:r>
        <w:t xml:space="preserve">use EfficientNetB3 with a squeeze-and-excitation block. Oulhadj et al. </w:t>
      </w:r>
      <w:r>
        <w:t xml:space="preserve"> </w:t>
      </w:r>
      <w:r>
        <w:t xml:space="preserve">apply deformable-registration preprocessing combined with a 4-CNN ensemble.</w:t>
      </w:r>
    </w:p>
    <w:bookmarkEnd w:id="20"/>
    <w:bookmarkEnd w:id="21"/>
    <w:bookmarkStart w:id="27" w:name="sec:method"/>
    <w:p>
      <w:pPr>
        <w:pStyle w:val="Heading1"/>
      </w:pPr>
      <w:r>
        <w:t xml:space="preserve">Method</w:t>
      </w:r>
    </w:p>
    <w:bookmarkStart w:id="22" w:name="backbones"/>
    <w:p>
      <w:pPr>
        <w:pStyle w:val="Heading2"/>
      </w:pPr>
      <w:r>
        <w:t xml:space="preserve">Backbones</w:t>
      </w:r>
    </w:p>
    <w:p>
      <w:pPr>
        <w:pStyle w:val="FirstParagraph"/>
      </w:pPr>
      <w:r>
        <w:t xml:space="preserve">We evaluate two frozen ViT-L-scale backbones at 224</w:t>
      </w:r>
      <m:oMath>
        <m:r>
          <m:rPr>
            <m:sty m:val="p"/>
          </m:rPr>
          <m:t>×</m:t>
        </m:r>
      </m:oMath>
      <w:r>
        <w:t xml:space="preserve">224 input resolution. RETFound ViT-L/16</w:t>
      </w:r>
      <w:r>
        <w:t xml:space="preserve"> </w:t>
      </w:r>
      <w:r>
        <w:t xml:space="preserve"> </w:t>
      </w:r>
      <w:r>
        <w:t xml:space="preserve">is pretrained on retinal CFPs. DINOv2 ViT-L/14</w:t>
      </w:r>
      <w:r>
        <w:t xml:space="preserve"> </w:t>
      </w:r>
      <w:r>
        <w:t xml:space="preserve"> </w:t>
      </w:r>
      <w:r>
        <w:t xml:space="preserve">is pretrained on 142M natural images with no retinal specialisation. Both produce a 1024-dim CLS token; the preprocessing pipeline (Resize-256 bicubic</w:t>
      </w:r>
      <w:r>
        <w:t xml:space="preserve"> </w:t>
      </w:r>
      <m:oMath>
        <m:r>
          <m:rPr>
            <m:sty m:val="p"/>
          </m:rPr>
          <m:t>→</m:t>
        </m:r>
      </m:oMath>
      <w:r>
        <w:t xml:space="preserve"> </w:t>
      </w:r>
      <w:r>
        <w:t xml:space="preserve">CenterCrop-224</w:t>
      </w:r>
      <w:r>
        <w:t xml:space="preserve"> </w:t>
      </w:r>
      <m:oMath>
        <m:r>
          <m:rPr>
            <m:sty m:val="p"/>
          </m:rPr>
          <m:t>→</m:t>
        </m:r>
      </m:oMath>
      <w:r>
        <w:t xml:space="preserve"> </w:t>
      </w:r>
      <w:r>
        <w:t xml:space="preserve">ImageNet normalise) is identical for both backbones, so the only changing variable is the backbone weights. A LoRA rank-8 variant of RETFound</w:t>
      </w:r>
      <w:r>
        <w:t xml:space="preserve"> </w:t>
      </w:r>
      <w:r>
        <w:t xml:space="preserve"> </w:t>
      </w:r>
      <w:r>
        <w:t xml:space="preserve">is added as a fine-tuning counterpoint (see Section </w:t>
      </w:r>
      <w:hyperlink w:anchor="sec:lora">
        <w:r>
          <w:rPr>
            <w:rStyle w:val="Hyperlink"/>
          </w:rPr>
          <w:t xml:space="preserve">3.3</w:t>
        </w:r>
      </w:hyperlink>
      <w:r>
        <w:t xml:space="preserve">).</w:t>
      </w:r>
    </w:p>
    <w:bookmarkEnd w:id="22"/>
    <w:bookmarkStart w:id="23" w:name="ordinal-heads-on-frozen-features"/>
    <w:p>
      <w:pPr>
        <w:pStyle w:val="Heading2"/>
      </w:pPr>
      <w:r>
        <w:t xml:space="preserve">Ordinal heads on frozen features</w:t>
      </w:r>
    </w:p>
    <w:p>
      <w:pPr>
        <w:pStyle w:val="FirstParagraph"/>
      </w:pPr>
      <w:r>
        <w:t xml:space="preserve">We compare two head architectures, both using Niu’s</w:t>
      </w:r>
      <w:r>
        <w:t xml:space="preserve"> </w:t>
      </w:r>
      <m:oMath>
        <m:r>
          <m:t>K</m:t>
        </m:r>
        <m:r>
          <m:rPr>
            <m:sty m:val="p"/>
          </m:rPr>
          <m:t>−</m:t>
        </m:r>
        <m:r>
          <m:t>1</m:t>
        </m:r>
      </m:oMath>
      <w:r>
        <w:t xml:space="preserve"> </w:t>
      </w:r>
      <w:r>
        <w:t xml:space="preserve">binary decomposition and an identical Sabour-style margin loss with</w:t>
      </w:r>
      <w:r>
        <w:t xml:space="preserve"> </w:t>
      </w:r>
      <m:oMath>
        <m:sSup>
          <m:e>
            <m:r>
              <m:t>m</m:t>
            </m:r>
          </m:e>
          <m:sup>
            <m:r>
              <m:rPr>
                <m:sty m:val="p"/>
              </m:rPr>
              <m:t>+</m:t>
            </m:r>
          </m:sup>
        </m:sSup>
        <m:r>
          <m:rPr>
            <m:sty m:val="p"/>
          </m:rPr>
          <m:t>=</m:t>
        </m:r>
        <m:r>
          <m:t>0.9</m:t>
        </m:r>
      </m:oMath>
      <w:r>
        <w:t xml:space="preserve">,</w:t>
      </w:r>
      <w:r>
        <w:t xml:space="preserve"> </w:t>
      </w:r>
      <m:oMath>
        <m:sSup>
          <m:e>
            <m:r>
              <m:t>m</m:t>
            </m:r>
          </m:e>
          <m:sup>
            <m:r>
              <m:rPr>
                <m:sty m:val="p"/>
              </m:rPr>
              <m:t>−</m:t>
            </m:r>
          </m:sup>
        </m:sSup>
        <m:r>
          <m:rPr>
            <m:sty m:val="p"/>
          </m:rPr>
          <m:t>=</m:t>
        </m:r>
        <m:r>
          <m:t>0.1</m:t>
        </m:r>
      </m:oMath>
      <w:r>
        <w:t xml:space="preserve">,</w:t>
      </w:r>
      <w:r>
        <w:t xml:space="preserve"> </w:t>
      </w:r>
      <m:oMath>
        <m:r>
          <m:t>λ</m:t>
        </m:r>
        <m:r>
          <m:rPr>
            <m:sty m:val="p"/>
          </m:rPr>
          <m:t>=</m:t>
        </m:r>
        <m:r>
          <m:t>0.5</m:t>
        </m:r>
      </m:oMath>
      <w:r>
        <w:t xml:space="preserve"> </w:t>
      </w:r>
      <w:r>
        <w:t xml:space="preserve">. Head A (</w:t>
      </w:r>
      <w:r>
        <w:rPr>
          <w:i/>
          <w:iCs/>
        </w:rPr>
        <w:t xml:space="preserve">Ordinal CapsNet</w:t>
      </w:r>
      <w:r>
        <w:t xml:space="preserve">) is a PrimaryCaps layer (32 capsules of dim 8) followed by four independent DigitCaps heads (2 capsules of dim 16, 3 routing iterations per head), one per ordinal threshold. Head B (</w:t>
      </w:r>
      <w:r>
        <w:rPr>
          <w:i/>
          <w:iCs/>
        </w:rPr>
        <w:t xml:space="preserve">MLP +</w:t>
      </w:r>
      <w:r>
        <w:rPr>
          <w:i/>
          <w:iCs/>
        </w:rPr>
        <w:t xml:space="preserve"> </w:t>
      </w:r>
      <m:oMath>
        <m:r>
          <m:t>K</m:t>
        </m:r>
        <m:r>
          <m:rPr>
            <m:sty m:val="p"/>
          </m:rPr>
          <m:t>−</m:t>
        </m:r>
        <m:r>
          <m:t>1</m:t>
        </m:r>
      </m:oMath>
      <w:r>
        <w:rPr>
          <w:i/>
          <w:iCs/>
        </w:rPr>
        <w:t xml:space="preserve"> </w:t>
      </w:r>
      <w:r>
        <w:rPr>
          <w:i/>
          <w:iCs/>
        </w:rPr>
        <w:t xml:space="preserve">sigmoid</w:t>
      </w:r>
      <w:r>
        <w:t xml:space="preserve">) is a plain MLP (</w:t>
      </w:r>
      <m:oMath>
        <m:r>
          <m:t>1024</m:t>
        </m:r>
        <m:r>
          <m:rPr>
            <m:sty m:val="p"/>
          </m:rPr>
          <m:t>→</m:t>
        </m:r>
        <m:r>
          <m:t>256</m:t>
        </m:r>
        <m:r>
          <m:rPr>
            <m:sty m:val="p"/>
          </m:rPr>
          <m:t>→</m:t>
        </m:r>
        <m:r>
          <m:t>256</m:t>
        </m:r>
        <m:r>
          <m:rPr>
            <m:sty m:val="p"/>
          </m:rPr>
          <m:t>→</m:t>
        </m:r>
        <m:sSup>
          <m:e>
            <m:r>
              <m:rPr>
                <m:scr m:val="double-struck"/>
                <m:sty m:val="p"/>
              </m:rPr>
              <m:t>R</m:t>
            </m:r>
          </m:e>
          <m:sup>
            <m:r>
              <m:t>K</m:t>
            </m:r>
            <m:r>
              <m:rPr>
                <m:sty m:val="p"/>
              </m:rPr>
              <m:t>−</m:t>
            </m:r>
            <m:r>
              <m:t>1</m:t>
            </m:r>
          </m:sup>
        </m:sSup>
      </m:oMath>
      <w:r>
        <w:t xml:space="preserve">) with four independent sigmoid output heads. Head B is a direct no-capsule comparator with no routing and no capsule nonlinearity, using the same loss and the same decomposition. Trainable parameter counts are</w:t>
      </w:r>
      <w:r>
        <w:t xml:space="preserve"> </w:t>
      </w:r>
      <m:oMath>
        <m:r>
          <m:rPr>
            <m:sty m:val="p"/>
          </m:rPr>
          <m:t>∼</m:t>
        </m:r>
        <m:r>
          <m:t>​</m:t>
        </m:r>
        <m:r>
          <m:t>295</m:t>
        </m:r>
      </m:oMath>
      <w:r>
        <w:t xml:space="preserve">K (CapsNet) and</w:t>
      </w:r>
      <w:r>
        <w:t xml:space="preserve"> </w:t>
      </w:r>
      <m:oMath>
        <m:r>
          <m:rPr>
            <m:sty m:val="p"/>
          </m:rPr>
          <m:t>∼</m:t>
        </m:r>
        <m:r>
          <m:t>​</m:t>
        </m:r>
        <m:r>
          <m:t>329</m:t>
        </m:r>
      </m:oMath>
      <w:r>
        <w:t xml:space="preserve">K (MLP-K1) respectively, capacity-matched within</w:t>
      </w:r>
      <w:r>
        <w:t xml:space="preserve"> </w:t>
      </w:r>
      <m:oMath>
        <m:r>
          <m:t>10</m:t>
        </m:r>
        <m:r>
          <m:rPr>
            <m:sty m:val="p"/>
          </m:rPr>
          <m:t>%</m:t>
        </m:r>
      </m:oMath>
      <w:r>
        <w:t xml:space="preserve"> </w:t>
      </w:r>
      <w:r>
        <w:t xml:space="preserve">so the ablation does not confound capacity with architecture.</w:t>
      </w:r>
    </w:p>
    <w:bookmarkEnd w:id="23"/>
    <w:bookmarkStart w:id="24" w:name="sec:lora"/>
    <w:p>
      <w:pPr>
        <w:pStyle w:val="Heading2"/>
      </w:pPr>
      <w:r>
        <w:t xml:space="preserve">LoRA variant</w:t>
      </w:r>
    </w:p>
    <w:p>
      <w:pPr>
        <w:pStyle w:val="FirstParagraph"/>
      </w:pPr>
      <w:r>
        <w:t xml:space="preserve">In the LoRA configuration we unfreeze nothing in RETFound but inject rank-8 adapters into the fused</w:t>
      </w:r>
      <w:r>
        <w:t xml:space="preserve"> </w:t>
      </w:r>
      <w:r>
        <w:rPr>
          <w:rStyle w:val="VerbatimChar"/>
        </w:rPr>
        <w:t xml:space="preserve">attn.qkv</w:t>
      </w:r>
      <w:r>
        <w:t xml:space="preserve"> </w:t>
      </w:r>
      <w:r>
        <w:t xml:space="preserve">projection of every ViT-L block (24 blocks). Scaling</w:t>
      </w:r>
      <w:r>
        <w:t xml:space="preserve"> </w:t>
      </w:r>
      <m:oMath>
        <m:r>
          <m:t>α</m:t>
        </m:r>
        <m:r>
          <m:rPr>
            <m:sty m:val="p"/>
          </m:rPr>
          <m:t>=</m:t>
        </m:r>
        <m:r>
          <m:t>16</m:t>
        </m:r>
      </m:oMath>
      <w:r>
        <w:t xml:space="preserve">, dropout</w:t>
      </w:r>
      <w:r>
        <w:t xml:space="preserve"> </w:t>
      </w:r>
      <m:oMath>
        <m:r>
          <m:t>0.05</m:t>
        </m:r>
      </m:oMath>
      <w:r>
        <w:t xml:space="preserve">. The optimiser uses two groups, with LoRA learning rate</w:t>
      </w:r>
      <w:r>
        <w:t xml:space="preserve"> </w:t>
      </w:r>
      <m:oMath>
        <m:sSup>
          <m:e>
            <m:r>
              <m:t>10</m:t>
            </m:r>
          </m:e>
          <m:sup>
            <m:r>
              <m:rPr>
                <m:sty m:val="p"/>
              </m:rPr>
              <m:t>−</m:t>
            </m:r>
            <m:r>
              <m:t>4</m:t>
            </m:r>
          </m:sup>
        </m:sSup>
      </m:oMath>
      <w:r>
        <w:t xml:space="preserve"> </w:t>
      </w:r>
      <w:r>
        <w:t xml:space="preserve">and head learning rate</w:t>
      </w:r>
      <w:r>
        <w:t xml:space="preserve"> </w:t>
      </w:r>
      <m:oMath>
        <m:sSup>
          <m:e>
            <m:r>
              <m:t>10</m:t>
            </m:r>
          </m:e>
          <m:sup>
            <m:r>
              <m:rPr>
                <m:sty m:val="p"/>
              </m:rPr>
              <m:t>−</m:t>
            </m:r>
            <m:r>
              <m:t>3</m:t>
            </m:r>
          </m:sup>
        </m:sSup>
      </m:oMath>
      <w:r>
        <w:t xml:space="preserve">. Total trainable count is</w:t>
      </w:r>
      <w:r>
        <w:t xml:space="preserve"> </w:t>
      </w:r>
      <m:oMath>
        <m:r>
          <m:rPr>
            <m:sty m:val="p"/>
          </m:rPr>
          <m:t>∼</m:t>
        </m:r>
        <m:r>
          <m:t>​</m:t>
        </m:r>
        <m:r>
          <m:t>1.08</m:t>
        </m:r>
      </m:oMath>
      <w:r>
        <w:t xml:space="preserve">M (</w:t>
      </w:r>
      <m:oMath>
        <m:r>
          <m:t>0.35</m:t>
        </m:r>
        <m:r>
          <m:rPr>
            <m:sty m:val="p"/>
          </m:rPr>
          <m:t>%</m:t>
        </m:r>
      </m:oMath>
      <w:r>
        <w:t xml:space="preserve"> </w:t>
      </w:r>
      <w:r>
        <w:t xml:space="preserve">of the backbone’s 307M).</w:t>
      </w:r>
    </w:p>
    <w:bookmarkEnd w:id="24"/>
    <w:bookmarkStart w:id="25" w:name="decoding-and-chain-rule-probability"/>
    <w:p>
      <w:pPr>
        <w:pStyle w:val="Heading2"/>
      </w:pPr>
      <w:r>
        <w:t xml:space="preserve">Decoding and chain-rule probability</w:t>
      </w:r>
    </w:p>
    <w:p>
      <w:pPr>
        <w:pStyle w:val="FirstParagraph"/>
      </w:pPr>
      <w:r>
        <w:t xml:space="preserve">At inference, each head produces a probability</w:t>
      </w:r>
      <w:r>
        <w:t xml:space="preserve"> </w:t>
      </w:r>
      <m:oMath>
        <m:sSub>
          <m:e>
            <m:acc>
              <m:accPr>
                <m:chr m:val="̂"/>
              </m:accPr>
              <m:e>
                <m:r>
                  <m:t>p</m:t>
                </m:r>
              </m:e>
            </m:acc>
          </m:e>
          <m:sub>
            <m:r>
              <m:t>k</m:t>
            </m:r>
          </m:sub>
        </m:sSub>
        <m:r>
          <m:rPr>
            <m:sty m:val="p"/>
          </m:rPr>
          <m:t>=</m:t>
        </m:r>
        <m:r>
          <m:t>P</m:t>
        </m:r>
        <m:r>
          <m:rPr>
            <m:sty m:val="p"/>
          </m:rPr>
          <m:t>(</m:t>
        </m:r>
        <m:r>
          <m:t>y</m:t>
        </m:r>
        <m:r>
          <m:rPr>
            <m:sty m:val="p"/>
          </m:rPr>
          <m:t>&gt;</m:t>
        </m:r>
        <m:r>
          <m:t>k</m:t>
        </m:r>
        <m:r>
          <m:t> </m:t>
        </m:r>
        <m:r>
          <m:rPr>
            <m:sty m:val="p"/>
          </m:rPr>
          <m:t>|</m:t>
        </m:r>
        <m:r>
          <m:t> </m:t>
        </m:r>
        <m:r>
          <m:t>x</m:t>
        </m:r>
        <m:r>
          <m:rPr>
            <m:sty m:val="p"/>
          </m:rPr>
          <m:t>)</m:t>
        </m:r>
      </m:oMath>
      <w:r>
        <w:t xml:space="preserve"> </w:t>
      </w:r>
      <w:r>
        <w:t xml:space="preserve">from the length of its positive capsule (CapsNet) or its sigmoid output (MLP-K1). The predicted grade is</w:t>
      </w:r>
    </w:p>
    <w:p>
      <w:pPr>
        <w:pStyle w:val="BodyText"/>
      </w:pPr>
      <m:oMathPara>
        <m:oMathParaPr>
          <m:jc m:val="center"/>
        </m:oMathParaPr>
        <m:oMath>
          <m:acc>
            <m:accPr>
              <m:chr m:val="̂"/>
            </m:accPr>
            <m:e>
              <m:r>
                <m:t>y</m:t>
              </m:r>
            </m:e>
          </m:acc>
          <m:r>
            <m:t> </m:t>
          </m:r>
          <m:r>
            <m:rPr>
              <m:sty m:val="p"/>
            </m:rPr>
            <m:t>=</m:t>
          </m:r>
          <m:r>
            <m:t> </m:t>
          </m:r>
          <m:nary>
            <m:naryPr>
              <m:chr m:val="∑"/>
              <m:limLoc m:val="undOvr"/>
              <m:subHide m:val="off"/>
              <m:supHide m:val="off"/>
            </m:naryPr>
            <m:sub>
              <m:r>
                <m:t>k</m:t>
              </m:r>
              <m:r>
                <m:rPr>
                  <m:sty m:val="p"/>
                </m:rPr>
                <m:t>=</m:t>
              </m:r>
              <m:r>
                <m:t>0</m:t>
              </m:r>
            </m:sub>
            <m:sup>
              <m:r>
                <m:t>K</m:t>
              </m:r>
              <m:r>
                <m:rPr>
                  <m:sty m:val="p"/>
                </m:rPr>
                <m:t>−</m:t>
              </m:r>
              <m:r>
                <m:t>2</m:t>
              </m:r>
            </m:sup>
            <m:e>
              <m:r>
                <m:rPr>
                  <m:sty m:val="b"/>
                </m:rPr>
                <m:t>1</m:t>
              </m:r>
            </m:e>
          </m:nary>
          <m:d>
            <m:dPr>
              <m:begChr m:val="["/>
              <m:sepChr m:val=""/>
              <m:endChr m:val="]"/>
              <m:grow/>
            </m:dPr>
            <m:e>
              <m:sSub>
                <m:e>
                  <m:acc>
                    <m:accPr>
                      <m:chr m:val="̂"/>
                    </m:accPr>
                    <m:e>
                      <m:r>
                        <m:t>p</m:t>
                      </m:r>
                    </m:e>
                  </m:acc>
                </m:e>
                <m:sub>
                  <m:r>
                    <m:t>k</m:t>
                  </m:r>
                </m:sub>
              </m:sSub>
              <m:r>
                <m:rPr>
                  <m:sty m:val="p"/>
                </m:rPr>
                <m:t>&gt;</m:t>
              </m:r>
              <m:r>
                <m:t>0.5</m:t>
              </m:r>
            </m:e>
          </m:d>
          <m:r>
            <m:rPr>
              <m:sty m:val="p"/>
            </m:rPr>
            <m:t>.</m:t>
          </m:r>
        </m:oMath>
      </m:oMathPara>
    </w:p>
    <w:p>
      <w:pPr>
        <w:pStyle w:val="FirstParagraph"/>
      </w:pPr>
      <w:r>
        <w:t xml:space="preserve">We also compute the chain-rule 5-class probabilities</w:t>
      </w:r>
      <w:r>
        <w:t xml:space="preserve"> </w:t>
      </w:r>
      <m:oMath>
        <m:r>
          <m:t>P</m:t>
        </m:r>
        <m:r>
          <m:rPr>
            <m:sty m:val="p"/>
          </m:rPr>
          <m:t>(</m:t>
        </m:r>
        <m:r>
          <m:t>y</m:t>
        </m:r>
        <m:r>
          <m:rPr>
            <m:sty m:val="p"/>
          </m:rPr>
          <m:t>=</m:t>
        </m:r>
        <m:r>
          <m:t>k</m:t>
        </m:r>
        <m:r>
          <m:rPr>
            <m:sty m:val="p"/>
          </m:rPr>
          <m:t>)</m:t>
        </m:r>
        <m:r>
          <m:rPr>
            <m:sty m:val="p"/>
          </m:rPr>
          <m:t>=</m:t>
        </m:r>
        <m:sSub>
          <m:e>
            <m:acc>
              <m:accPr>
                <m:chr m:val="̂"/>
              </m:accPr>
              <m:e>
                <m:r>
                  <m:t>p</m:t>
                </m:r>
              </m:e>
            </m:acc>
          </m:e>
          <m:sub>
            <m:r>
              <m:t>k</m:t>
            </m:r>
            <m:r>
              <m:rPr>
                <m:sty m:val="p"/>
              </m:rPr>
              <m:t>−</m:t>
            </m:r>
            <m:r>
              <m:t>1</m:t>
            </m:r>
          </m:sub>
        </m:sSub>
        <m:r>
          <m:rPr>
            <m:sty m:val="p"/>
          </m:rPr>
          <m:t>(</m:t>
        </m:r>
        <m:r>
          <m:t>1</m:t>
        </m:r>
        <m:r>
          <m:rPr>
            <m:sty m:val="p"/>
          </m:rPr>
          <m:t>−</m:t>
        </m:r>
        <m:sSub>
          <m:e>
            <m:acc>
              <m:accPr>
                <m:chr m:val="̂"/>
              </m:accPr>
              <m:e>
                <m:r>
                  <m:t>p</m:t>
                </m:r>
              </m:e>
            </m:acc>
          </m:e>
          <m:sub>
            <m:r>
              <m:t>k</m:t>
            </m:r>
          </m:sub>
        </m:sSub>
        <m:r>
          <m:rPr>
            <m:sty m:val="p"/>
          </m:rPr>
          <m:t>)</m:t>
        </m:r>
      </m:oMath>
      <w:r>
        <w:t xml:space="preserve"> </w:t>
      </w:r>
      <w:r>
        <w:t xml:space="preserve">with the usual boundary conventions, clipped to zero and renormalised to sum to one (required when the raw heads are non-monotonic). All UQ metrics below (ECE, AURC, conformal) operate on this common probability basis.</w:t>
      </w:r>
    </w:p>
    <w:bookmarkEnd w:id="25"/>
    <w:bookmarkStart w:id="26" w:name="sec:uq-method"/>
    <w:p>
      <w:pPr>
        <w:pStyle w:val="Heading2"/>
      </w:pPr>
      <w:r>
        <w:t xml:space="preserve">Uncertainty quantification</w:t>
      </w:r>
    </w:p>
    <w:p>
      <w:pPr>
        <w:pStyle w:val="FirstParagraph"/>
      </w:pPr>
      <w:r>
        <w:t xml:space="preserve">We evaluate the following UQ views on the same chain-rule probabilities.</w:t>
      </w:r>
    </w:p>
    <w:p>
      <w:pPr>
        <w:pStyle w:val="BodyText"/>
      </w:pPr>
      <w:r>
        <w:rPr>
          <w:i/>
          <w:iCs/>
        </w:rPr>
        <w:t xml:space="preserve">Calibration.</w:t>
      </w:r>
      <w:r>
        <w:t xml:space="preserve"> </w:t>
      </w:r>
      <w:r>
        <w:t xml:space="preserve">Expected Calibration Error with 10 equal-mass bins on the confidence signal</w:t>
      </w:r>
      <w:r>
        <w:t xml:space="preserve"> </w:t>
      </w:r>
      <m:oMath>
        <m:sSub>
          <m:e>
            <m:r>
              <m:t>c</m:t>
            </m:r>
          </m:e>
          <m:sub>
            <m:r>
              <m:t>i</m:t>
            </m:r>
          </m:sub>
        </m:sSub>
        <m:r>
          <m:rPr>
            <m:sty m:val="p"/>
          </m:rPr>
          <m:t>=</m:t>
        </m:r>
        <m:r>
          <m:t>P</m:t>
        </m:r>
        <m:r>
          <m:rPr>
            <m:sty m:val="p"/>
          </m:rPr>
          <m:t>(</m:t>
        </m:r>
        <m:r>
          <m:t>y</m:t>
        </m:r>
        <m:r>
          <m:rPr>
            <m:sty m:val="p"/>
          </m:rPr>
          <m:t>=</m:t>
        </m:r>
        <m:sSub>
          <m:e>
            <m:acc>
              <m:accPr>
                <m:chr m:val="̂"/>
              </m:accPr>
              <m:e>
                <m:r>
                  <m:t>y</m:t>
                </m:r>
              </m:e>
            </m:acc>
          </m:e>
          <m:sub>
            <m:r>
              <m:t>i</m:t>
            </m:r>
          </m:sub>
        </m:sSub>
        <m:r>
          <m:rPr>
            <m:sty m:val="p"/>
          </m:rPr>
          <m:t>)</m:t>
        </m:r>
      </m:oMath>
      <w:r>
        <w:t xml:space="preserve"> </w:t>
      </w:r>
      <w:r>
        <w:t xml:space="preserve">(i.e., calibration of the model’s confidence in its own K-1 decision). We also report MCE (worst-bin gap).</w:t>
      </w:r>
    </w:p>
    <w:p>
      <w:pPr>
        <w:pStyle w:val="BodyText"/>
      </w:pPr>
      <w:r>
        <w:rPr>
          <w:i/>
          <w:iCs/>
        </w:rPr>
        <w:t xml:space="preserve">Selective prediction.</w:t>
      </w:r>
      <w:r>
        <w:t xml:space="preserve"> </w:t>
      </w:r>
      <w:r>
        <w:t xml:space="preserve">Area Under the Risk–Coverage curve (AURC) and its excess over the oracle. We compare two confidence signals: (i)</w:t>
      </w:r>
      <w:r>
        <w:t xml:space="preserve"> </w:t>
      </w:r>
      <m:oMath>
        <m:sSub>
          <m:e>
            <m:r>
              <m:rPr>
                <m:sty m:val="p"/>
              </m:rPr>
              <m:t>max</m:t>
            </m:r>
          </m:e>
          <m:sub>
            <m:r>
              <m:t>k</m:t>
            </m:r>
          </m:sub>
        </m:sSub>
        <m:r>
          <m:t>P</m:t>
        </m:r>
        <m:r>
          <m:rPr>
            <m:sty m:val="p"/>
          </m:rPr>
          <m:t>(</m:t>
        </m:r>
        <m:r>
          <m:t>y</m:t>
        </m:r>
        <m:r>
          <m:rPr>
            <m:sty m:val="p"/>
          </m:rPr>
          <m:t>=</m:t>
        </m:r>
        <m:r>
          <m:t>k</m:t>
        </m:r>
        <m:r>
          <m:rPr>
            <m:sty m:val="p"/>
          </m:rPr>
          <m:t>)</m:t>
        </m:r>
      </m:oMath>
      <w:r>
        <w:t xml:space="preserve"> </w:t>
      </w:r>
      <w:r>
        <w:t xml:space="preserve">and (ii) the prediction margin</w:t>
      </w:r>
      <w:r>
        <w:t xml:space="preserve"> </w:t>
      </w:r>
      <m:oMath>
        <m:r>
          <m:t>1</m:t>
        </m:r>
        <m:r>
          <m:rPr>
            <m:sty m:val="p"/>
          </m:rPr>
          <m:t>−</m:t>
        </m:r>
        <m:r>
          <m:rPr>
            <m:sty m:val="p"/>
          </m:rPr>
          <m:t>(</m:t>
        </m:r>
        <m:sSub>
          <m:e>
            <m:r>
              <m:t>p</m:t>
            </m:r>
          </m:e>
          <m:sub>
            <m:sSub>
              <m:e>
                <m:r>
                  <m:rPr>
                    <m:nor/>
                    <m:sty m:val="p"/>
                  </m:rPr>
                  <m:t>top</m:t>
                </m:r>
              </m:e>
              <m:sub>
                <m:r>
                  <m:t>1</m:t>
                </m:r>
              </m:sub>
            </m:sSub>
          </m:sub>
        </m:sSub>
        <m:r>
          <m:rPr>
            <m:sty m:val="p"/>
          </m:rPr>
          <m:t>−</m:t>
        </m:r>
        <m:sSub>
          <m:e>
            <m:r>
              <m:t>p</m:t>
            </m:r>
          </m:e>
          <m:sub>
            <m:sSub>
              <m:e>
                <m:r>
                  <m:rPr>
                    <m:nor/>
                    <m:sty m:val="p"/>
                  </m:rPr>
                  <m:t>top</m:t>
                </m:r>
              </m:e>
              <m:sub>
                <m:r>
                  <m:t>2</m:t>
                </m:r>
              </m:sub>
            </m:sSub>
          </m:sub>
        </m:sSub>
        <m:r>
          <m:rPr>
            <m:sty m:val="p"/>
          </m:rPr>
          <m:t>)</m:t>
        </m:r>
      </m:oMath>
      <w:r>
        <w:t xml:space="preserve">, which has been highlighted in recent capsule-UQ work.</w:t>
      </w:r>
    </w:p>
    <w:p>
      <w:pPr>
        <w:pStyle w:val="BodyText"/>
      </w:pPr>
      <w:r>
        <w:rPr>
          <w:i/>
          <w:iCs/>
        </w:rPr>
        <w:t xml:space="preserve">Conformal prediction.</w:t>
      </w:r>
      <w:r>
        <w:t xml:space="preserve"> </w:t>
      </w:r>
      <w:r>
        <w:t xml:space="preserve">Split conformal with two nonconformity scores, LAC</w:t>
      </w:r>
      <w:r>
        <w:t xml:space="preserve"> </w:t>
      </w:r>
      <w:r>
        <w:t xml:space="preserve"> </w:t>
      </w:r>
      <w:r>
        <w:t xml:space="preserve">(nonconformity</w:t>
      </w:r>
      <w:r>
        <w:t xml:space="preserve"> </w:t>
      </w:r>
      <m:oMath>
        <m:r>
          <m:rPr>
            <m:sty m:val="p"/>
          </m:rPr>
          <m:t>=</m:t>
        </m:r>
        <m:r>
          <m:t>1</m:t>
        </m:r>
        <m:r>
          <m:rPr>
            <m:sty m:val="p"/>
          </m:rPr>
          <m:t>−</m:t>
        </m:r>
        <m:r>
          <m:t>P</m:t>
        </m:r>
        <m:r>
          <m:rPr>
            <m:sty m:val="p"/>
          </m:rPr>
          <m:t>(</m:t>
        </m:r>
        <m:sSub>
          <m:e>
            <m:r>
              <m:t>y</m:t>
            </m:r>
          </m:e>
          <m:sub>
            <m:r>
              <m:rPr>
                <m:nor/>
                <m:sty m:val="p"/>
              </m:rPr>
              <m:t>true</m:t>
            </m:r>
          </m:sub>
        </m:sSub>
        <m:r>
          <m:rPr>
            <m:sty m:val="p"/>
          </m:rPr>
          <m:t>)</m:t>
        </m:r>
      </m:oMath>
      <w:r>
        <w:t xml:space="preserve">) and APS</w:t>
      </w:r>
      <w:r>
        <w:t xml:space="preserve"> </w:t>
      </w:r>
      <w:r>
        <w:t xml:space="preserve"> </w:t>
      </w:r>
      <w:r>
        <w:t xml:space="preserve">(cumulative descending probability). Calibration and test halves are drawn by a 50:50 random split, averaged over five split seeds. Conformal requires only exchangeability, not calibration, so it gives a guarantee that survives the ECE problems documented in Section </w:t>
      </w:r>
      <w:hyperlink w:anchor="sec:calibration">
        <w:r>
          <w:rPr>
            <w:rStyle w:val="Hyperlink"/>
          </w:rPr>
          <w:t xml:space="preserve">5.3</w:t>
        </w:r>
      </w:hyperlink>
      <w:r>
        <w:t xml:space="preserve">.</w:t>
      </w:r>
    </w:p>
    <w:bookmarkEnd w:id="26"/>
    <w:bookmarkEnd w:id="27"/>
    <w:bookmarkStart w:id="31" w:name="sec:setup"/>
    <w:p>
      <w:pPr>
        <w:pStyle w:val="Heading1"/>
      </w:pPr>
      <w:r>
        <w:t xml:space="preserve">Experimental Setup</w:t>
      </w:r>
    </w:p>
    <w:bookmarkStart w:id="28" w:name="datasets"/>
    <w:p>
      <w:pPr>
        <w:pStyle w:val="Heading2"/>
      </w:pPr>
      <w:r>
        <w:t xml:space="preserve">Datasets</w:t>
      </w:r>
    </w:p>
    <w:p>
      <w:pPr>
        <w:pStyle w:val="FirstParagraph"/>
      </w:pPr>
      <w:r>
        <w:rPr>
          <w:b/>
          <w:bCs/>
        </w:rPr>
        <w:t xml:space="preserve">APTOS-2019</w:t>
      </w:r>
      <w:r>
        <w:t xml:space="preserve"> </w:t>
      </w:r>
      <w:r>
        <w:t xml:space="preserve"> </w:t>
      </w:r>
      <w:r>
        <w:t xml:space="preserve">contains 3</w:t>
      </w:r>
      <w:r>
        <w:t xml:space="preserve">,</w:t>
      </w:r>
      <w:r>
        <w:t xml:space="preserve">662 colour fundus photographs (CFPs) with 5-class ICDR severity labels.</w:t>
      </w:r>
      <w:r>
        <w:t xml:space="preserve"> </w:t>
      </w:r>
      <w:r>
        <w:rPr>
          <w:b/>
          <w:bCs/>
        </w:rPr>
        <w:t xml:space="preserve">Messidor-2</w:t>
      </w:r>
      <w:r>
        <w:t xml:space="preserve"> </w:t>
      </w:r>
      <w:r>
        <w:t xml:space="preserve"> </w:t>
      </w:r>
      <w:r>
        <w:t xml:space="preserve">contains 1</w:t>
      </w:r>
      <w:r>
        <w:t xml:space="preserve">,</w:t>
      </w:r>
      <w:r>
        <w:t xml:space="preserve">744 gradable images with adjudicated 5-class labels.</w:t>
      </w:r>
      <w:r>
        <w:t xml:space="preserve"> </w:t>
      </w:r>
      <w:r>
        <w:rPr>
          <w:b/>
          <w:bCs/>
        </w:rPr>
        <w:t xml:space="preserve">IDRiD</w:t>
      </w:r>
      <w:r>
        <w:t xml:space="preserve"> </w:t>
      </w:r>
      <w:r>
        <w:t xml:space="preserve"> </w:t>
      </w:r>
      <w:r>
        <w:t xml:space="preserve">contains 413 training and 103 official-test images with 5-class labels.</w:t>
      </w:r>
    </w:p>
    <w:bookmarkEnd w:id="28"/>
    <w:bookmarkStart w:id="29" w:name="sec:metrics"/>
    <w:p>
      <w:pPr>
        <w:pStyle w:val="Heading2"/>
      </w:pPr>
      <w:r>
        <w:t xml:space="preserve">Metrics</w:t>
      </w:r>
    </w:p>
    <w:p>
      <w:pPr>
        <w:pStyle w:val="FirstParagraph"/>
      </w:pPr>
      <w:r>
        <w:t xml:space="preserve">We report metrics in three families.</w:t>
      </w:r>
    </w:p>
    <w:p>
      <w:pPr>
        <w:pStyle w:val="BodyText"/>
      </w:pPr>
      <w:r>
        <w:rPr>
          <w:i/>
          <w:iCs/>
        </w:rPr>
        <w:t xml:space="preserve">Grading agreement.</w:t>
      </w:r>
      <w:r>
        <w:t xml:space="preserve"> </w:t>
      </w:r>
      <w:r>
        <w:t xml:space="preserve">Quadratic Weighted Kappa (QWK) is the primary metric. It measures agreement with the clinician label on the ordinal ICDR scale and penalises distant errors more than adjacent ones. QWK</w:t>
      </w:r>
      <w:r>
        <w:t xml:space="preserve"> </w:t>
      </w:r>
      <m:oMath>
        <m:r>
          <m:t>1.0</m:t>
        </m:r>
      </m:oMath>
      <w:r>
        <w:t xml:space="preserve"> </w:t>
      </w:r>
      <w:r>
        <w:t xml:space="preserve">is perfect agreement and</w:t>
      </w:r>
      <w:r>
        <w:t xml:space="preserve"> </w:t>
      </w:r>
      <m:oMath>
        <m:r>
          <m:t>0</m:t>
        </m:r>
      </m:oMath>
      <w:r>
        <w:t xml:space="preserve"> </w:t>
      </w:r>
      <w:r>
        <w:t xml:space="preserve">is chance. Following the standard Landis and Koch interpretation</w:t>
      </w:r>
      <w:r>
        <w:t xml:space="preserve"> </w:t>
      </w:r>
      <w:r>
        <w:t xml:space="preserve">, we read</w:t>
      </w:r>
      <w:r>
        <w:t xml:space="preserve"> </w:t>
      </w:r>
      <m:oMath>
        <m:r>
          <m:rPr>
            <m:sty m:val="p"/>
          </m:rPr>
          <m:t>≥</m:t>
        </m:r>
        <m:r>
          <m:t>0.61</m:t>
        </m:r>
      </m:oMath>
      <w:r>
        <w:t xml:space="preserve"> </w:t>
      </w:r>
      <w:r>
        <w:t xml:space="preserve">as substantial,</w:t>
      </w:r>
      <w:r>
        <w:t xml:space="preserve"> </w:t>
      </w:r>
      <m:oMath>
        <m:r>
          <m:t>0.41</m:t>
        </m:r>
      </m:oMath>
      <w:r>
        <w:t xml:space="preserve"> </w:t>
      </w:r>
      <w:r>
        <w:t xml:space="preserve">to</w:t>
      </w:r>
      <w:r>
        <w:t xml:space="preserve"> </w:t>
      </w:r>
      <m:oMath>
        <m:r>
          <m:t>0.60</m:t>
        </m:r>
      </m:oMath>
      <w:r>
        <w:t xml:space="preserve"> </w:t>
      </w:r>
      <w:r>
        <w:t xml:space="preserve">as moderate,</w:t>
      </w:r>
      <w:r>
        <w:t xml:space="preserve"> </w:t>
      </w:r>
      <m:oMath>
        <m:r>
          <m:t>0.21</m:t>
        </m:r>
      </m:oMath>
      <w:r>
        <w:t xml:space="preserve"> </w:t>
      </w:r>
      <w:r>
        <w:t xml:space="preserve">to</w:t>
      </w:r>
      <w:r>
        <w:t xml:space="preserve"> </w:t>
      </w:r>
      <m:oMath>
        <m:r>
          <m:t>0.40</m:t>
        </m:r>
      </m:oMath>
      <w:r>
        <w:t xml:space="preserve"> </w:t>
      </w:r>
      <w:r>
        <w:t xml:space="preserve">as fair, and below</w:t>
      </w:r>
      <w:r>
        <w:t xml:space="preserve"> </w:t>
      </w:r>
      <m:oMath>
        <m:r>
          <m:t>0.20</m:t>
        </m:r>
      </m:oMath>
      <w:r>
        <w:t xml:space="preserve"> </w:t>
      </w:r>
      <w:r>
        <w:t xml:space="preserve">as slight or worse. We also report top-1 accuracy, macro-F1, and mean absolute error in grade units.</w:t>
      </w:r>
    </w:p>
    <w:p>
      <w:pPr>
        <w:pStyle w:val="BodyText"/>
      </w:pPr>
      <w:r>
        <w:rPr>
          <w:i/>
          <w:iCs/>
        </w:rPr>
        <w:t xml:space="preserve">Probability calibration.</w:t>
      </w:r>
      <w:r>
        <w:t xml:space="preserve"> </w:t>
      </w:r>
      <w:r>
        <w:t xml:space="preserve">Expected Calibration Error (ECE) bins predictions by their confidence and reports the average gap between confidence and accuracy. Maximum Calibration Error (MCE) reports the worst single bin. Brier score and negative log-likelihood (NLL) are proper scoring rules that combine calibration and discrimination. Lower is better for all four.</w:t>
      </w:r>
    </w:p>
    <w:p>
      <w:pPr>
        <w:pStyle w:val="BodyText"/>
      </w:pPr>
      <w:r>
        <w:rPr>
          <w:i/>
          <w:iCs/>
        </w:rPr>
        <w:t xml:space="preserve">Selective prediction and prediction sets.</w:t>
      </w:r>
      <w:r>
        <w:t xml:space="preserve"> </w:t>
      </w:r>
      <w:r>
        <w:t xml:space="preserve">Area Under the Risk-Coverage curve (AURC) measures how cleanly a confidence signal can rank correct against incorrect predictions for selective prediction. For conformal prediction we report marginal coverage (the fraction of test samples whose true grade lies in the predicted set), worst-class coverage (the same fraction restricted to the rarest grade), and mean prediction-set size at confidence level</w:t>
      </w:r>
      <w:r>
        <w:t xml:space="preserve"> </w:t>
      </w:r>
      <m:oMath>
        <m:r>
          <m:t>1</m:t>
        </m:r>
        <m:r>
          <m:rPr>
            <m:sty m:val="p"/>
          </m:rPr>
          <m:t>−</m:t>
        </m:r>
        <m:r>
          <m:t>α</m:t>
        </m:r>
      </m:oMath>
      <w:r>
        <w:t xml:space="preserve"> </w:t>
      </w:r>
      <w:r>
        <w:t xml:space="preserve">for</w:t>
      </w:r>
      <w:r>
        <w:t xml:space="preserve"> </w:t>
      </w:r>
      <m:oMath>
        <m:r>
          <m:t>α</m:t>
        </m:r>
        <m:r>
          <m:rPr>
            <m:sty m:val="p"/>
          </m:rPr>
          <m:t>∈</m:t>
        </m:r>
        <m:r>
          <m:rPr>
            <m:sty m:val="p"/>
          </m:rPr>
          <m:t>{</m:t>
        </m:r>
        <m:r>
          <m:t>0.10</m:t>
        </m:r>
        <m:r>
          <m:rPr>
            <m:sty m:val="p"/>
          </m:rPr>
          <m:t>,</m:t>
        </m:r>
        <m:r>
          <m:t>0.05</m:t>
        </m:r>
        <m:r>
          <m:rPr>
            <m:sty m:val="p"/>
          </m:rPr>
          <m:t>}</m:t>
        </m:r>
      </m:oMath>
      <w:r>
        <w:t xml:space="preserve">.</w:t>
      </w:r>
    </w:p>
    <w:bookmarkEnd w:id="29"/>
    <w:bookmarkStart w:id="30" w:name="protocol"/>
    <w:p>
      <w:pPr>
        <w:pStyle w:val="Heading2"/>
      </w:pPr>
      <w:r>
        <w:t xml:space="preserve">Protocol</w:t>
      </w:r>
    </w:p>
    <w:p>
      <w:pPr>
        <w:pStyle w:val="FirstParagraph"/>
      </w:pPr>
      <w:r>
        <w:t xml:space="preserve">Every row of the APTOS ablation is 3 seeds</w:t>
      </w:r>
      <w:r>
        <w:t xml:space="preserve"> </w:t>
      </w:r>
      <m:oMath>
        <m:r>
          <m:rPr>
            <m:sty m:val="p"/>
          </m:rPr>
          <m:t>×</m:t>
        </m:r>
      </m:oMath>
      <w:r>
        <w:t xml:space="preserve"> </w:t>
      </w:r>
      <w:r>
        <w:t xml:space="preserve">5 folds (seeds</w:t>
      </w:r>
      <w:r>
        <w:t xml:space="preserve"> </w:t>
      </w:r>
      <m:oMath>
        <m:r>
          <m:rPr>
            <m:sty m:val="p"/>
          </m:rPr>
          <m:t>{</m:t>
        </m:r>
        <m:r>
          <m:t>42</m:t>
        </m:r>
        <m:r>
          <m:rPr>
            <m:sty m:val="p"/>
          </m:rPr>
          <m:t>,</m:t>
        </m:r>
        <m:r>
          <m:t>123</m:t>
        </m:r>
        <m:r>
          <m:rPr>
            <m:sty m:val="p"/>
          </m:rPr>
          <m:t>,</m:t>
        </m:r>
        <m:r>
          <m:t>456</m:t>
        </m:r>
        <m:r>
          <m:rPr>
            <m:sty m:val="p"/>
          </m:rPr>
          <m:t>}</m:t>
        </m:r>
      </m:oMath>
      <w:r>
        <w:t xml:space="preserve">). The LoRA fine-tune reported in Section </w:t>
      </w:r>
      <w:hyperlink w:anchor="sec:aptos">
        <w:r>
          <w:rPr>
            <w:rStyle w:val="Hyperlink"/>
          </w:rPr>
          <w:t xml:space="preserve">5.1</w:t>
        </w:r>
      </w:hyperlink>
      <w:r>
        <w:t xml:space="preserve"> </w:t>
      </w:r>
      <w:r>
        <w:t xml:space="preserve">uses the same protocol. On APTOS we set aside a class-stratified</w:t>
      </w:r>
      <w:r>
        <w:t xml:space="preserve"> </w:t>
      </w:r>
      <m:oMath>
        <m:r>
          <m:t>10</m:t>
        </m:r>
        <m:r>
          <m:rPr>
            <m:sty m:val="p"/>
          </m:rPr>
          <m:t>%</m:t>
        </m:r>
      </m:oMath>
      <w:r>
        <w:t xml:space="preserve"> </w:t>
      </w:r>
      <w:r>
        <w:t xml:space="preserve">holdout and run stratified 5-fold CV on the remaining</w:t>
      </w:r>
      <w:r>
        <w:t xml:space="preserve"> </w:t>
      </w:r>
      <m:oMath>
        <m:r>
          <m:t>90</m:t>
        </m:r>
        <m:r>
          <m:rPr>
            <m:sty m:val="p"/>
          </m:rPr>
          <m:t>%</m:t>
        </m:r>
      </m:oMath>
      <w:r>
        <w:t xml:space="preserve">. On Messidor-2 we run stratified 5-fold within-dataset and additionally report APTOS</w:t>
      </w:r>
      <m:oMath>
        <m:r>
          <m:rPr>
            <m:sty m:val="p"/>
          </m:rPr>
          <m:t>→</m:t>
        </m:r>
      </m:oMath>
      <w:r>
        <w:t xml:space="preserve">Messidor-2 cross-dataset transfer with no Messidor-2 training. IDRiD is used for within-dataset evaluation and APTOS</w:t>
      </w:r>
      <m:oMath>
        <m:r>
          <m:rPr>
            <m:sty m:val="p"/>
          </m:rPr>
          <m:t>→</m:t>
        </m:r>
      </m:oMath>
      <w:r>
        <w:t xml:space="preserve">IDRiD cross-dataset transfer on the RETFound backbone only. Data splits are fixed across seeds by</w:t>
      </w:r>
      <w:r>
        <w:t xml:space="preserve"> </w:t>
      </w:r>
      <w:r>
        <w:rPr>
          <w:rStyle w:val="VerbatimChar"/>
        </w:rPr>
        <w:t xml:space="preserve">cfg.data.seed</w:t>
      </w:r>
      <w:r>
        <w:t xml:space="preserve">, so only the model-init RNG varies. Early-stopping patience is 30 epochs on validation QWK (8 for LoRA, which converges in roughly half the budget). The optimiser is AdamW with weight decay</w:t>
      </w:r>
      <w:r>
        <w:t xml:space="preserve"> </w:t>
      </w:r>
      <m:oMath>
        <m:sSup>
          <m:e>
            <m:r>
              <m:t>10</m:t>
            </m:r>
          </m:e>
          <m:sup>
            <m:r>
              <m:rPr>
                <m:sty m:val="p"/>
              </m:rPr>
              <m:t>−</m:t>
            </m:r>
            <m:r>
              <m:t>4</m:t>
            </m:r>
          </m:sup>
        </m:sSup>
      </m:oMath>
      <w:r>
        <w:t xml:space="preserve">.</w:t>
      </w:r>
    </w:p>
    <w:bookmarkEnd w:id="30"/>
    <w:bookmarkEnd w:id="31"/>
    <w:bookmarkStart w:id="61" w:name="sec:results"/>
    <w:p>
      <w:pPr>
        <w:pStyle w:val="Heading1"/>
      </w:pPr>
      <w:r>
        <w:t xml:space="preserve">Results</w:t>
      </w:r>
    </w:p>
    <w:bookmarkStart w:id="32" w:name="sec:aptos"/>
    <w:p>
      <w:pPr>
        <w:pStyle w:val="Heading2"/>
      </w:pPr>
      <w:r>
        <w:t xml:space="preserve">APTOS ablation</w:t>
      </w:r>
    </w:p>
    <w:p>
      <w:pPr>
        <w:pStyle w:val="FirstParagraph"/>
      </w:pPr>
      <w:r>
        <w:t xml:space="preserve">Table </w:t>
      </w:r>
      <w:hyperlink w:anchor="tab:aptos">
        <w:r>
          <w:rPr>
            <w:rStyle w:val="Hyperlink"/>
          </w:rPr>
          <w:t xml:space="preserve">[tab:aptos]</w:t>
        </w:r>
      </w:hyperlink>
      <w:r>
        <w:t xml:space="preserve"> </w:t>
      </w:r>
      <w:r>
        <w:t xml:space="preserve">reports the head-level ablation on frozen RETFound features. Every row is 3 seeds</w:t>
      </w:r>
      <w:r>
        <w:t xml:space="preserve"> </w:t>
      </w:r>
      <m:oMath>
        <m:r>
          <m:rPr>
            <m:sty m:val="p"/>
          </m:rPr>
          <m:t>×</m:t>
        </m:r>
      </m:oMath>
      <w:r>
        <w:t xml:space="preserve"> </w:t>
      </w:r>
      <w:r>
        <w:t xml:space="preserve">5-fold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w:t>
            </w:r>
          </w:p>
        </w:tc>
        <w:tc>
          <w:tcPr/>
          <w:p>
            <w:pPr>
              <w:pStyle w:val="Compact"/>
              <w:jc w:val="left"/>
            </w:pPr>
            <w:r>
              <w:t xml:space="preserve">Model</w:t>
            </w:r>
          </w:p>
        </w:tc>
        <w:tc>
          <w:tcPr/>
          <w:p>
            <w:pPr>
              <w:pStyle w:val="Compact"/>
              <w:jc w:val="center"/>
            </w:pPr>
            <w:r>
              <w:t xml:space="preserve">QWK</w:t>
            </w:r>
          </w:p>
        </w:tc>
        <w:tc>
          <w:tcPr/>
          <w:p>
            <w:pPr>
              <w:pStyle w:val="Compact"/>
              <w:jc w:val="center"/>
            </w:pPr>
            <w:r>
              <w:t xml:space="preserve">Accuracy</w:t>
            </w:r>
          </w:p>
        </w:tc>
        <w:tc>
          <w:tcPr/>
          <w:p>
            <w:pPr>
              <w:pStyle w:val="Compact"/>
              <w:jc w:val="center"/>
            </w:pPr>
            <w:r>
              <w:t xml:space="preserve">Macro-F1</w:t>
            </w:r>
          </w:p>
        </w:tc>
        <w:tc>
          <w:tcPr/>
          <w:p>
            <w:pPr>
              <w:pStyle w:val="Compact"/>
              <w:jc w:val="center"/>
            </w:pPr>
            <w:r>
              <w:t xml:space="preserve">MAE</w:t>
            </w:r>
          </w:p>
        </w:tc>
      </w:tr>
      <w:tr>
        <w:tc>
          <w:tcPr/>
          <w:p>
            <w:pPr>
              <w:pStyle w:val="Compact"/>
              <w:jc w:val="center"/>
            </w:pPr>
            <w:r>
              <w:t xml:space="preserve">1</w:t>
            </w:r>
          </w:p>
        </w:tc>
        <w:tc>
          <w:tcPr/>
          <w:p>
            <w:pPr>
              <w:pStyle w:val="Compact"/>
              <w:jc w:val="left"/>
            </w:pPr>
            <w:r>
              <w:t xml:space="preserve">Linear + CE</w:t>
            </w:r>
          </w:p>
        </w:tc>
        <w:tc>
          <w:tcPr/>
          <w:p>
            <w:pPr>
              <w:pStyle w:val="Compact"/>
              <w:jc w:val="center"/>
            </w:pPr>
            <m:oMath>
              <m:r>
                <m:t>0.8389</m:t>
              </m:r>
              <m:r>
                <m:rPr>
                  <m:sty m:val="p"/>
                </m:rPr>
                <m:t>±</m:t>
              </m:r>
              <m:r>
                <m:t>0.0122</m:t>
              </m:r>
            </m:oMath>
          </w:p>
        </w:tc>
        <w:tc>
          <w:tcPr/>
          <w:p>
            <w:pPr>
              <w:pStyle w:val="Compact"/>
              <w:jc w:val="center"/>
            </w:pPr>
            <m:oMath>
              <m:r>
                <m:t>0.7971</m:t>
              </m:r>
              <m:r>
                <m:rPr>
                  <m:sty m:val="p"/>
                </m:rPr>
                <m:t>±</m:t>
              </m:r>
              <m:r>
                <m:t>0.0038</m:t>
              </m:r>
            </m:oMath>
          </w:p>
        </w:tc>
        <w:tc>
          <w:tcPr/>
          <w:p>
            <w:pPr>
              <w:pStyle w:val="Compact"/>
              <w:jc w:val="center"/>
            </w:pPr>
            <m:oMath>
              <m:r>
                <m:t>0.6011</m:t>
              </m:r>
              <m:r>
                <m:rPr>
                  <m:sty m:val="p"/>
                </m:rPr>
                <m:t>±</m:t>
              </m:r>
              <m:r>
                <m:t>0.0144</m:t>
              </m:r>
            </m:oMath>
          </w:p>
        </w:tc>
        <w:tc>
          <w:tcPr/>
          <w:p>
            <w:pPr>
              <w:pStyle w:val="Compact"/>
              <w:jc w:val="center"/>
            </w:pPr>
            <m:oMath>
              <m:r>
                <m:t>0.291</m:t>
              </m:r>
              <m:r>
                <m:rPr>
                  <m:sty m:val="p"/>
                </m:rPr>
                <m:t>±</m:t>
              </m:r>
              <m:r>
                <m:t>0.011</m:t>
              </m:r>
            </m:oMath>
          </w:p>
        </w:tc>
      </w:tr>
      <w:tr>
        <w:tc>
          <w:tcPr/>
          <w:p>
            <w:pPr>
              <w:pStyle w:val="Compact"/>
              <w:jc w:val="center"/>
            </w:pPr>
            <w:r>
              <w:t xml:space="preserve">2</w:t>
            </w:r>
          </w:p>
        </w:tc>
        <w:tc>
          <w:tcPr/>
          <w:p>
            <w:pPr>
              <w:pStyle w:val="Compact"/>
              <w:jc w:val="left"/>
            </w:pPr>
            <w:r>
              <w:t xml:space="preserve">MLP + CE</w:t>
            </w:r>
          </w:p>
        </w:tc>
        <w:tc>
          <w:tcPr/>
          <w:p>
            <w:pPr>
              <w:pStyle w:val="Compact"/>
              <w:jc w:val="center"/>
            </w:pPr>
            <m:oMath>
              <m:r>
                <m:t>0.8783</m:t>
              </m:r>
              <m:r>
                <m:rPr>
                  <m:sty m:val="p"/>
                </m:rPr>
                <m:t>±</m:t>
              </m:r>
              <m:r>
                <m:t>0.0022</m:t>
              </m:r>
            </m:oMath>
          </w:p>
        </w:tc>
        <w:tc>
          <w:tcPr/>
          <w:p>
            <w:pPr>
              <w:pStyle w:val="Compact"/>
              <w:jc w:val="center"/>
            </w:pPr>
            <m:oMath>
              <m:r>
                <m:t>0.8057</m:t>
              </m:r>
              <m:r>
                <m:rPr>
                  <m:sty m:val="p"/>
                </m:rPr>
                <m:t>±</m:t>
              </m:r>
              <m:r>
                <m:t>0.0012</m:t>
              </m:r>
            </m:oMath>
          </w:p>
        </w:tc>
        <w:tc>
          <w:tcPr/>
          <w:p>
            <w:pPr>
              <w:pStyle w:val="Compact"/>
              <w:jc w:val="center"/>
            </w:pPr>
            <m:oMath>
              <m:r>
                <m:t>0.6271</m:t>
              </m:r>
              <m:r>
                <m:rPr>
                  <m:sty m:val="p"/>
                </m:rPr>
                <m:t>±</m:t>
              </m:r>
              <m:r>
                <m:t>0.0021</m:t>
              </m:r>
            </m:oMath>
          </w:p>
        </w:tc>
        <w:tc>
          <w:tcPr/>
          <w:p>
            <w:pPr>
              <w:pStyle w:val="Compact"/>
              <w:jc w:val="center"/>
            </w:pPr>
            <m:oMath>
              <m:r>
                <m:t>0.259</m:t>
              </m:r>
              <m:r>
                <m:rPr>
                  <m:sty m:val="p"/>
                </m:rPr>
                <m:t>±</m:t>
              </m:r>
              <m:r>
                <m:t>0.001</m:t>
              </m:r>
            </m:oMath>
          </w:p>
        </w:tc>
      </w:tr>
      <w:tr>
        <w:tc>
          <w:tcPr/>
          <w:p>
            <w:pPr>
              <w:pStyle w:val="Compact"/>
              <w:jc w:val="center"/>
            </w:pPr>
            <w:r>
              <w:t xml:space="preserve">3</w:t>
            </w:r>
          </w:p>
        </w:tc>
        <w:tc>
          <w:tcPr/>
          <w:p>
            <w:pPr>
              <w:pStyle w:val="Compact"/>
              <w:jc w:val="left"/>
            </w:pPr>
            <w:r>
              <w:t xml:space="preserve">MLP + MSE</w:t>
            </w:r>
          </w:p>
        </w:tc>
        <w:tc>
          <w:tcPr/>
          <w:p>
            <w:pPr>
              <w:pStyle w:val="Compact"/>
              <w:jc w:val="center"/>
            </w:pPr>
            <m:oMath>
              <m:r>
                <m:t>0.8831</m:t>
              </m:r>
              <m:r>
                <m:rPr>
                  <m:sty m:val="p"/>
                </m:rPr>
                <m:t>±</m:t>
              </m:r>
              <m:r>
                <m:t>0.0011</m:t>
              </m:r>
            </m:oMath>
          </w:p>
        </w:tc>
        <w:tc>
          <w:tcPr/>
          <w:p>
            <w:pPr>
              <w:pStyle w:val="Compact"/>
              <w:jc w:val="center"/>
            </w:pPr>
            <m:oMath>
              <m:r>
                <m:t>0.7445</m:t>
              </m:r>
              <m:r>
                <m:rPr>
                  <m:sty m:val="p"/>
                </m:rPr>
                <m:t>±</m:t>
              </m:r>
              <m:r>
                <m:t>0.0016</m:t>
              </m:r>
            </m:oMath>
          </w:p>
        </w:tc>
        <w:tc>
          <w:tcPr/>
          <w:p>
            <w:pPr>
              <w:pStyle w:val="Compact"/>
              <w:jc w:val="center"/>
            </w:pPr>
            <m:oMath>
              <m:r>
                <m:t>0.5491</m:t>
              </m:r>
              <m:r>
                <m:rPr>
                  <m:sty m:val="p"/>
                </m:rPr>
                <m:t>±</m:t>
              </m:r>
              <m:r>
                <m:t>0.0069</m:t>
              </m:r>
            </m:oMath>
          </w:p>
        </w:tc>
        <w:tc>
          <w:tcPr/>
          <w:p>
            <w:pPr>
              <w:pStyle w:val="Compact"/>
              <w:jc w:val="center"/>
            </w:pPr>
            <m:oMath>
              <m:r>
                <m:t>0.294</m:t>
              </m:r>
              <m:r>
                <m:rPr>
                  <m:sty m:val="p"/>
                </m:rPr>
                <m:t>±</m:t>
              </m:r>
              <m:r>
                <m:t>0.002</m:t>
              </m:r>
            </m:oMath>
          </w:p>
        </w:tc>
      </w:tr>
      <w:tr>
        <w:tc>
          <w:tcPr/>
          <w:p>
            <w:pPr>
              <w:pStyle w:val="Compact"/>
              <w:jc w:val="center"/>
            </w:pPr>
            <w:r>
              <w:t xml:space="preserve">4</w:t>
            </w:r>
          </w:p>
        </w:tc>
        <w:tc>
          <w:tcPr/>
          <w:p>
            <w:pPr>
              <w:pStyle w:val="Compact"/>
              <w:jc w:val="left"/>
            </w:pPr>
            <w:r>
              <w:t xml:space="preserve">MLP + Weighted CE</w:t>
            </w:r>
          </w:p>
        </w:tc>
        <w:tc>
          <w:tcPr/>
          <w:p>
            <w:pPr>
              <w:pStyle w:val="Compact"/>
              <w:jc w:val="center"/>
            </w:pPr>
            <m:oMath>
              <m:r>
                <m:t>0.8607</m:t>
              </m:r>
              <m:r>
                <m:rPr>
                  <m:sty m:val="p"/>
                </m:rPr>
                <m:t>±</m:t>
              </m:r>
              <m:r>
                <m:t>0.0014</m:t>
              </m:r>
            </m:oMath>
          </w:p>
        </w:tc>
        <w:tc>
          <w:tcPr/>
          <w:p>
            <w:pPr>
              <w:pStyle w:val="Compact"/>
              <w:jc w:val="center"/>
            </w:pPr>
            <m:oMath>
              <m:r>
                <m:t>0.7679</m:t>
              </m:r>
              <m:r>
                <m:rPr>
                  <m:sty m:val="p"/>
                </m:rPr>
                <m:t>±</m:t>
              </m:r>
              <m:r>
                <m:t>0.0022</m:t>
              </m:r>
            </m:oMath>
          </w:p>
        </w:tc>
        <w:tc>
          <w:tcPr/>
          <w:p>
            <w:pPr>
              <w:pStyle w:val="Compact"/>
              <w:jc w:val="center"/>
            </w:pPr>
            <m:oMath>
              <m:r>
                <m:t>0.6156</m:t>
              </m:r>
              <m:r>
                <m:rPr>
                  <m:sty m:val="p"/>
                </m:rPr>
                <m:t>±</m:t>
              </m:r>
              <m:r>
                <m:t>0.0046</m:t>
              </m:r>
            </m:oMath>
          </w:p>
        </w:tc>
        <w:tc>
          <w:tcPr/>
          <w:p>
            <w:pPr>
              <w:pStyle w:val="Compact"/>
              <w:jc w:val="center"/>
            </w:pPr>
            <m:oMath>
              <m:r>
                <m:t>0.307</m:t>
              </m:r>
              <m:r>
                <m:rPr>
                  <m:sty m:val="p"/>
                </m:rPr>
                <m:t>±</m:t>
              </m:r>
              <m:r>
                <m:t>0.002</m:t>
              </m:r>
            </m:oMath>
          </w:p>
        </w:tc>
      </w:tr>
      <w:tr>
        <w:tc>
          <w:tcPr/>
          <w:p>
            <w:pPr>
              <w:pStyle w:val="Compact"/>
              <w:jc w:val="center"/>
            </w:pPr>
            <w:r>
              <w:t xml:space="preserve">5</w:t>
            </w:r>
          </w:p>
        </w:tc>
        <w:tc>
          <w:tcPr/>
          <w:p>
            <w:pPr>
              <w:pStyle w:val="Compact"/>
              <w:jc w:val="left"/>
            </w:pPr>
            <w:r>
              <w:t xml:space="preserve">Vanilla CapsNet</w:t>
            </w:r>
          </w:p>
        </w:tc>
        <w:tc>
          <w:tcPr/>
          <w:p>
            <w:pPr>
              <w:pStyle w:val="Compact"/>
              <w:jc w:val="center"/>
            </w:pPr>
            <m:oMath>
              <m:r>
                <m:t>0.8696</m:t>
              </m:r>
              <m:r>
                <m:rPr>
                  <m:sty m:val="p"/>
                </m:rPr>
                <m:t>±</m:t>
              </m:r>
              <m:r>
                <m:t>0.0026</m:t>
              </m:r>
            </m:oMath>
          </w:p>
        </w:tc>
        <w:tc>
          <w:tcPr/>
          <w:p>
            <w:pPr>
              <w:pStyle w:val="Compact"/>
              <w:jc w:val="center"/>
            </w:pPr>
            <m:oMath>
              <m:r>
                <m:rPr>
                  <m:sty m:val="b"/>
                </m:rPr>
                <m:t>0.8061</m:t>
              </m:r>
              <m:r>
                <m:rPr>
                  <m:sty m:val="b"/>
                </m:rPr>
                <m:t>±</m:t>
              </m:r>
              <m:r>
                <m:rPr>
                  <m:sty m:val="b"/>
                </m:rPr>
                <m:t>0.0046</m:t>
              </m:r>
            </m:oMath>
          </w:p>
        </w:tc>
        <w:tc>
          <w:tcPr/>
          <w:p>
            <w:pPr>
              <w:pStyle w:val="Compact"/>
              <w:jc w:val="center"/>
            </w:pPr>
            <m:oMath>
              <m:r>
                <m:rPr>
                  <m:sty m:val="b"/>
                </m:rPr>
                <m:t>0.6301</m:t>
              </m:r>
              <m:r>
                <m:rPr>
                  <m:sty m:val="b"/>
                </m:rPr>
                <m:t>±</m:t>
              </m:r>
              <m:r>
                <m:rPr>
                  <m:sty m:val="b"/>
                </m:rPr>
                <m:t>0.0044</m:t>
              </m:r>
            </m:oMath>
          </w:p>
        </w:tc>
        <w:tc>
          <w:tcPr/>
          <w:p>
            <w:pPr>
              <w:pStyle w:val="Compact"/>
              <w:jc w:val="center"/>
            </w:pPr>
            <m:oMath>
              <m:r>
                <m:t>0.263</m:t>
              </m:r>
              <m:r>
                <m:rPr>
                  <m:sty m:val="p"/>
                </m:rPr>
                <m:t>±</m:t>
              </m:r>
              <m:r>
                <m:t>0.003</m:t>
              </m:r>
            </m:oMath>
          </w:p>
        </w:tc>
      </w:tr>
      <w:tr>
        <w:tc>
          <w:tcPr/>
          <w:p>
            <w:pPr>
              <w:pStyle w:val="Compact"/>
              <w:jc w:val="center"/>
            </w:pPr>
            <w:r>
              <w:t xml:space="preserve">6</w:t>
            </w:r>
          </w:p>
        </w:tc>
        <w:tc>
          <w:tcPr/>
          <w:p>
            <w:pPr>
              <w:pStyle w:val="Compact"/>
              <w:jc w:val="left"/>
            </w:pPr>
            <w:r>
              <w:t xml:space="preserve">Ordinal CapsNet</w:t>
            </w:r>
          </w:p>
        </w:tc>
        <w:tc>
          <w:tcPr/>
          <w:p>
            <w:pPr>
              <w:pStyle w:val="Compact"/>
              <w:jc w:val="center"/>
            </w:pPr>
            <m:oMath>
              <m:r>
                <m:rPr>
                  <m:sty m:val="b"/>
                </m:rPr>
                <m:t>0.8932</m:t>
              </m:r>
              <m:r>
                <m:rPr>
                  <m:sty m:val="b"/>
                </m:rPr>
                <m:t>±</m:t>
              </m:r>
              <m:r>
                <m:rPr>
                  <m:sty m:val="b"/>
                </m:rPr>
                <m:t>0.0004</m:t>
              </m:r>
            </m:oMath>
          </w:p>
        </w:tc>
        <w:tc>
          <w:tcPr/>
          <w:p>
            <w:pPr>
              <w:pStyle w:val="Compact"/>
              <w:jc w:val="center"/>
            </w:pPr>
            <m:oMath>
              <m:r>
                <m:t>0.7931</m:t>
              </m:r>
              <m:r>
                <m:rPr>
                  <m:sty m:val="p"/>
                </m:rPr>
                <m:t>±</m:t>
              </m:r>
              <m:r>
                <m:t>0.0021</m:t>
              </m:r>
            </m:oMath>
          </w:p>
        </w:tc>
        <w:tc>
          <w:tcPr/>
          <w:p>
            <w:pPr>
              <w:pStyle w:val="Compact"/>
              <w:jc w:val="center"/>
            </w:pPr>
            <m:oMath>
              <m:r>
                <m:t>0.6255</m:t>
              </m:r>
              <m:r>
                <m:rPr>
                  <m:sty m:val="p"/>
                </m:rPr>
                <m:t>±</m:t>
              </m:r>
              <m:r>
                <m:t>0.0022</m:t>
              </m:r>
            </m:oMath>
          </w:p>
        </w:tc>
        <w:tc>
          <w:tcPr/>
          <w:p>
            <w:pPr>
              <w:pStyle w:val="Compact"/>
              <w:jc w:val="center"/>
            </w:pPr>
            <m:oMath>
              <m:r>
                <m:rPr>
                  <m:sty m:val="b"/>
                </m:rPr>
                <m:t>0.254</m:t>
              </m:r>
              <m:r>
                <m:rPr>
                  <m:sty m:val="b"/>
                </m:rPr>
                <m:t>±</m:t>
              </m:r>
              <m:r>
                <m:rPr>
                  <m:sty m:val="b"/>
                </m:rPr>
                <m:t>0.002</m:t>
              </m:r>
            </m:oMath>
          </w:p>
        </w:tc>
      </w:tr>
      <w:tr>
        <w:tc>
          <w:tcPr/>
          <w:p>
            <w:pPr>
              <w:pStyle w:val="Compact"/>
              <w:jc w:val="center"/>
            </w:pPr>
            <w:r>
              <w:t xml:space="preserve">7</w:t>
            </w:r>
          </w:p>
        </w:tc>
        <w:tc>
          <w:tcPr/>
          <w:p>
            <w:pPr>
              <w:pStyle w:val="Compact"/>
              <w:jc w:val="left"/>
            </w:pPr>
            <w:r>
              <w:t xml:space="preserve">MLP +</w:t>
            </w:r>
            <w:r>
              <w:t xml:space="preserve"> </w:t>
            </w:r>
            <m:oMath>
              <m:r>
                <m:t>K</m:t>
              </m:r>
              <m:r>
                <m:rPr>
                  <m:sty m:val="p"/>
                </m:rPr>
                <m:t>−</m:t>
              </m:r>
              <m:r>
                <m:t>1</m:t>
              </m:r>
            </m:oMath>
            <w:r>
              <w:t xml:space="preserve"> </w:t>
            </w:r>
            <w:r>
              <w:t xml:space="preserve">sigmoid</w:t>
            </w:r>
          </w:p>
        </w:tc>
        <w:tc>
          <w:tcPr/>
          <w:p>
            <w:pPr>
              <w:pStyle w:val="Compact"/>
              <w:jc w:val="center"/>
            </w:pPr>
            <m:oMath>
              <m:r>
                <m:t>0.8866</m:t>
              </m:r>
              <m:r>
                <m:rPr>
                  <m:sty m:val="p"/>
                </m:rPr>
                <m:t>±</m:t>
              </m:r>
              <m:r>
                <m:t>0.0004</m:t>
              </m:r>
            </m:oMath>
          </w:p>
        </w:tc>
        <w:tc>
          <w:tcPr/>
          <w:p>
            <w:pPr>
              <w:pStyle w:val="Compact"/>
              <w:jc w:val="center"/>
            </w:pPr>
            <m:oMath>
              <m:r>
                <m:t>0.7963</m:t>
              </m:r>
              <m:r>
                <m:rPr>
                  <m:sty m:val="p"/>
                </m:rPr>
                <m:t>±</m:t>
              </m:r>
              <m:r>
                <m:t>0.0041</m:t>
              </m:r>
            </m:oMath>
          </w:p>
        </w:tc>
        <w:tc>
          <w:tcPr/>
          <w:p>
            <w:pPr>
              <w:pStyle w:val="Compact"/>
              <w:jc w:val="center"/>
            </w:pPr>
            <m:oMath>
              <m:r>
                <m:t>0.6250</m:t>
              </m:r>
              <m:r>
                <m:rPr>
                  <m:sty m:val="p"/>
                </m:rPr>
                <m:t>±</m:t>
              </m:r>
              <m:r>
                <m:t>0.0048</m:t>
              </m:r>
            </m:oMath>
          </w:p>
        </w:tc>
        <w:tc>
          <w:tcPr/>
          <w:p>
            <w:pPr>
              <w:pStyle w:val="Compact"/>
              <w:jc w:val="center"/>
            </w:pPr>
            <m:oMath>
              <m:r>
                <m:t>0.257</m:t>
              </m:r>
              <m:r>
                <m:rPr>
                  <m:sty m:val="p"/>
                </m:rPr>
                <m:t>±</m:t>
              </m:r>
              <m:r>
                <m:t>0.003</m:t>
              </m:r>
            </m:oMath>
          </w:p>
        </w:tc>
      </w:tr>
      <w:tr>
        <w:tc>
          <w:tcPr/>
          <w:p>
            <w:pPr>
              <w:pStyle w:val="Compact"/>
              <w:jc w:val="center"/>
            </w:pPr>
            <w:r>
              <w:t xml:space="preserve">8</w:t>
            </w:r>
          </w:p>
        </w:tc>
        <w:tc>
          <w:tcPr/>
          <w:p>
            <w:pPr>
              <w:pStyle w:val="Compact"/>
              <w:jc w:val="left"/>
            </w:pPr>
            <w:r>
              <w:t xml:space="preserve">Ordinal + Asymmetric loss</w:t>
            </w:r>
            <m:oMath>
              <m:sSup>
                <m:e>
                  <m:r>
                    <m:t>​</m:t>
                  </m:r>
                </m:e>
                <m:sup>
                  <m:r>
                    <m:rPr>
                      <m:sty m:val="p"/>
                    </m:rPr>
                    <m:t>†</m:t>
                  </m:r>
                </m:sup>
              </m:sSup>
            </m:oMath>
          </w:p>
        </w:tc>
        <w:tc>
          <w:tcPr/>
          <w:p>
            <w:pPr>
              <w:pStyle w:val="Compact"/>
              <w:jc w:val="center"/>
            </w:pPr>
            <m:oMath>
              <m:r>
                <m:t>0.8923</m:t>
              </m:r>
              <m:r>
                <m:rPr>
                  <m:sty m:val="p"/>
                </m:rPr>
                <m:t>±</m:t>
              </m:r>
              <m:r>
                <m:t>0.0014</m:t>
              </m:r>
            </m:oMath>
          </w:p>
        </w:tc>
        <w:tc>
          <w:tcPr/>
          <w:p>
            <w:pPr>
              <w:pStyle w:val="Compact"/>
              <w:jc w:val="center"/>
            </w:pPr>
            <m:oMath>
              <m:r>
                <m:t>0.7911</m:t>
              </m:r>
              <m:r>
                <m:rPr>
                  <m:sty m:val="p"/>
                </m:rPr>
                <m:t>±</m:t>
              </m:r>
              <m:r>
                <m:t>0.0025</m:t>
              </m:r>
            </m:oMath>
          </w:p>
        </w:tc>
        <w:tc>
          <w:tcPr/>
          <w:p>
            <w:pPr>
              <w:pStyle w:val="Compact"/>
              <w:jc w:val="center"/>
            </w:pPr>
            <m:oMath>
              <m:r>
                <m:t>0.6201</m:t>
              </m:r>
              <m:r>
                <m:rPr>
                  <m:sty m:val="p"/>
                </m:rPr>
                <m:t>±</m:t>
              </m:r>
              <m:r>
                <m:t>0.0019</m:t>
              </m:r>
            </m:oMath>
          </w:p>
        </w:tc>
        <w:tc>
          <w:tcPr/>
          <w:p>
            <w:pPr>
              <w:pStyle w:val="Compact"/>
              <w:jc w:val="center"/>
            </w:pPr>
            <m:oMath>
              <m:r>
                <m:t>0.256</m:t>
              </m:r>
              <m:r>
                <m:rPr>
                  <m:sty m:val="p"/>
                </m:rPr>
                <m:t>±</m:t>
              </m:r>
              <m:r>
                <m:t>0.004</m:t>
              </m:r>
            </m:oMath>
          </w:p>
        </w:tc>
      </w:tr>
      <w:tr>
        <w:tc>
          <w:tcPr/>
          <w:p>
            <w:pPr>
              <w:pStyle w:val="Compact"/>
              <w:jc w:val="center"/>
            </w:pPr>
            <w:r>
              <w:t xml:space="preserve">9</w:t>
            </w:r>
          </w:p>
        </w:tc>
        <w:tc>
          <w:tcPr/>
          <w:p>
            <w:pPr>
              <w:pStyle w:val="Compact"/>
              <w:jc w:val="left"/>
            </w:pPr>
            <w:r>
              <w:t xml:space="preserve">Ordinal + KC Loss</w:t>
            </w:r>
            <m:oMath>
              <m:sSup>
                <m:e>
                  <m:r>
                    <m:t>​</m:t>
                  </m:r>
                </m:e>
                <m:sup>
                  <m:r>
                    <m:rPr>
                      <m:sty m:val="p"/>
                    </m:rPr>
                    <m:t>†</m:t>
                  </m:r>
                </m:sup>
              </m:sSup>
            </m:oMath>
          </w:p>
        </w:tc>
        <w:tc>
          <w:tcPr/>
          <w:p>
            <w:pPr>
              <w:pStyle w:val="Compact"/>
              <w:jc w:val="center"/>
            </w:pPr>
            <m:oMath>
              <m:r>
                <m:t>0.8914</m:t>
              </m:r>
              <m:r>
                <m:rPr>
                  <m:sty m:val="p"/>
                </m:rPr>
                <m:t>±</m:t>
              </m:r>
              <m:r>
                <m:t>0.0006</m:t>
              </m:r>
            </m:oMath>
          </w:p>
        </w:tc>
        <w:tc>
          <w:tcPr/>
          <w:p>
            <w:pPr>
              <w:pStyle w:val="Compact"/>
              <w:jc w:val="center"/>
            </w:pPr>
            <m:oMath>
              <m:r>
                <m:t>0.7819</m:t>
              </m:r>
              <m:r>
                <m:rPr>
                  <m:sty m:val="p"/>
                </m:rPr>
                <m:t>±</m:t>
              </m:r>
              <m:r>
                <m:t>0.0025</m:t>
              </m:r>
            </m:oMath>
          </w:p>
        </w:tc>
        <w:tc>
          <w:tcPr/>
          <w:p>
            <w:pPr>
              <w:pStyle w:val="Compact"/>
              <w:jc w:val="center"/>
            </w:pPr>
            <m:oMath>
              <m:r>
                <m:t>0.6130</m:t>
              </m:r>
              <m:r>
                <m:rPr>
                  <m:sty m:val="p"/>
                </m:rPr>
                <m:t>±</m:t>
              </m:r>
              <m:r>
                <m:t>0.0028</m:t>
              </m:r>
            </m:oMath>
          </w:p>
        </w:tc>
        <w:tc>
          <w:tcPr/>
          <w:p>
            <w:pPr>
              <w:pStyle w:val="Compact"/>
              <w:jc w:val="center"/>
            </w:pPr>
            <m:oMath>
              <m:r>
                <m:t>0.264</m:t>
              </m:r>
              <m:r>
                <m:rPr>
                  <m:sty m:val="p"/>
                </m:rPr>
                <m:t>±</m:t>
              </m:r>
              <m:r>
                <m:t>0.003</m:t>
              </m:r>
            </m:oMath>
          </w:p>
        </w:tc>
      </w:tr>
      <w:tr>
        <w:tc>
          <w:tcPr/>
          <w:p>
            <w:pPr>
              <w:pStyle w:val="Compact"/>
              <w:jc w:val="center"/>
            </w:pPr>
            <w:r>
              <w:t xml:space="preserve">10</w:t>
            </w:r>
          </w:p>
        </w:tc>
        <w:tc>
          <w:tcPr/>
          <w:p>
            <w:pPr>
              <w:pStyle w:val="Compact"/>
              <w:jc w:val="left"/>
            </w:pPr>
            <w:r>
              <w:t xml:space="preserve">Ordinal + Non-uniform squash</w:t>
            </w:r>
            <m:oMath>
              <m:sSup>
                <m:e>
                  <m:r>
                    <m:t>​</m:t>
                  </m:r>
                </m:e>
                <m:sup>
                  <m:r>
                    <m:rPr>
                      <m:sty m:val="p"/>
                    </m:rPr>
                    <m:t>†</m:t>
                  </m:r>
                </m:sup>
              </m:sSup>
            </m:oMath>
          </w:p>
        </w:tc>
        <w:tc>
          <w:tcPr/>
          <w:p>
            <w:pPr>
              <w:pStyle w:val="Compact"/>
              <w:jc w:val="center"/>
            </w:pPr>
            <m:oMath>
              <m:r>
                <m:t>0.8894</m:t>
              </m:r>
              <m:r>
                <m:rPr>
                  <m:sty m:val="p"/>
                </m:rPr>
                <m:t>±</m:t>
              </m:r>
              <m:r>
                <m:t>0.0006</m:t>
              </m:r>
            </m:oMath>
          </w:p>
        </w:tc>
        <w:tc>
          <w:tcPr/>
          <w:p>
            <w:pPr>
              <w:pStyle w:val="Compact"/>
              <w:jc w:val="center"/>
            </w:pPr>
            <m:oMath>
              <m:r>
                <m:t>0.7857</m:t>
              </m:r>
              <m:r>
                <m:rPr>
                  <m:sty m:val="p"/>
                </m:rPr>
                <m:t>±</m:t>
              </m:r>
              <m:r>
                <m:t>0.0059</m:t>
              </m:r>
            </m:oMath>
          </w:p>
        </w:tc>
        <w:tc>
          <w:tcPr/>
          <w:p>
            <w:pPr>
              <w:pStyle w:val="Compact"/>
              <w:jc w:val="center"/>
            </w:pPr>
            <m:oMath>
              <m:r>
                <m:t>0.6097</m:t>
              </m:r>
              <m:r>
                <m:rPr>
                  <m:sty m:val="p"/>
                </m:rPr>
                <m:t>±</m:t>
              </m:r>
              <m:r>
                <m:t>0.0095</m:t>
              </m:r>
            </m:oMath>
          </w:p>
        </w:tc>
        <w:tc>
          <w:tcPr/>
          <w:p>
            <w:pPr>
              <w:pStyle w:val="Compact"/>
              <w:jc w:val="center"/>
            </w:pPr>
            <m:oMath>
              <m:r>
                <m:t>0.264</m:t>
              </m:r>
              <m:r>
                <m:rPr>
                  <m:sty m:val="p"/>
                </m:rPr>
                <m:t>±</m:t>
              </m:r>
              <m:r>
                <m:t>0.004</m:t>
              </m:r>
            </m:oMath>
          </w:p>
        </w:tc>
      </w:tr>
      <w:tr>
        <w:tc>
          <w:tcPr>
            <w:gridSpan w:val="6"/>
          </w:tcPr>
          <w:p>
            <w:pPr>
              <w:pStyle w:val="Compact"/>
              <w:jc w:val="left"/>
            </w:pPr>
            <m:oMath>
              <m:sSup>
                <m:e>
                  <m:r>
                    <m:t>​</m:t>
                  </m:r>
                </m:e>
                <m:sup>
                  <m:r>
                    <m:rPr>
                      <m:sty m:val="p"/>
                    </m:rPr>
                    <m:t>†</m:t>
                  </m:r>
                </m:sup>
              </m:sSup>
            </m:oMath>
            <w:r>
              <w:t xml:space="preserve"> </w:t>
            </w:r>
            <w:r>
              <w:t xml:space="preserve">Negative-result ablations. See Appendix </w:t>
            </w:r>
            <w:hyperlink w:anchor="sec:negatives">
              <w:r>
                <w:rPr>
                  <w:rStyle w:val="Hyperlink"/>
                </w:rPr>
                <w:t xml:space="preserve">9</w:t>
              </w:r>
            </w:hyperlink>
            <w:r>
              <w:t xml:space="preserve">.</w:t>
            </w:r>
          </w:p>
        </w:tc>
      </w:tr>
    </w:tbl>
    <w:p>
      <w:pPr>
        <w:pStyle w:val="BodyText"/>
      </w:pPr>
      <w:r>
        <w:t xml:space="preserve">The</w:t>
      </w:r>
      <w:r>
        <w:t xml:space="preserve"> </w:t>
      </w:r>
      <m:oMath>
        <m:r>
          <m:t>K</m:t>
        </m:r>
        <m:r>
          <m:rPr>
            <m:sty m:val="p"/>
          </m:rPr>
          <m:t>−</m:t>
        </m:r>
        <m:r>
          <m:t>1</m:t>
        </m:r>
      </m:oMath>
      <w:r>
        <w:t xml:space="preserve"> </w:t>
      </w:r>
      <w:r>
        <w:t xml:space="preserve">ordinal decomposition is the larger head-level lever; capsule routing is a smaller second-order improvement on top of it. Moving from plain MLP+CE to MLP+</w:t>
      </w:r>
      <m:oMath>
        <m:r>
          <m:t>K</m:t>
        </m:r>
        <m:r>
          <m:rPr>
            <m:sty m:val="p"/>
          </m:rPr>
          <m:t>−</m:t>
        </m:r>
        <m:r>
          <m:t>1</m:t>
        </m:r>
      </m:oMath>
      <w:r>
        <w:t xml:space="preserve"> </w:t>
      </w:r>
      <w:r>
        <w:t xml:space="preserve">lifts QWK by</w:t>
      </w:r>
      <w:r>
        <w:t xml:space="preserve"> </w:t>
      </w:r>
      <m:oMath>
        <m:r>
          <m:rPr>
            <m:sty m:val="p"/>
          </m:rPr>
          <m:t>+</m:t>
        </m:r>
        <m:r>
          <m:t>0.0083</m:t>
        </m:r>
      </m:oMath>
      <w:r>
        <w:t xml:space="preserve">. Adding capsule routing on top of MLP+</w:t>
      </w:r>
      <m:oMath>
        <m:r>
          <m:t>K</m:t>
        </m:r>
        <m:r>
          <m:rPr>
            <m:sty m:val="p"/>
          </m:rPr>
          <m:t>−</m:t>
        </m:r>
        <m:r>
          <m:t>1</m:t>
        </m:r>
      </m:oMath>
      <w:r>
        <w:t xml:space="preserve">, which gives our Ordinal CapsNet head, lifts QWK by a further</w:t>
      </w:r>
      <w:r>
        <w:t xml:space="preserve"> </w:t>
      </w:r>
      <m:oMath>
        <m:r>
          <m:rPr>
            <m:sty m:val="p"/>
          </m:rPr>
          <m:t>+</m:t>
        </m:r>
        <m:r>
          <m:t>0.0066</m:t>
        </m:r>
      </m:oMath>
      <w:r>
        <w:t xml:space="preserve">. Both contributions are outside seed noise (across-seed std</w:t>
      </w:r>
      <w:r>
        <w:t xml:space="preserve"> </w:t>
      </w:r>
      <m:oMath>
        <m:r>
          <m:rPr>
            <m:sty m:val="p"/>
          </m:rPr>
          <m:t>≤</m:t>
        </m:r>
        <m:r>
          <m:t>0.0004</m:t>
        </m:r>
      </m:oMath>
      <w:r>
        <w:t xml:space="preserve"> </w:t>
      </w:r>
      <w:r>
        <w:t xml:space="preserve">on each row).</w:t>
      </w:r>
    </w:p>
    <w:p>
      <w:pPr>
        <w:pStyle w:val="BodyText"/>
      </w:pPr>
      <w:r>
        <w:rPr>
          <w:i/>
          <w:iCs/>
        </w:rPr>
        <w:t xml:space="preserve">What fine-tuning buys.</w:t>
      </w:r>
      <w:r>
        <w:t xml:space="preserve"> </w:t>
      </w:r>
      <w:r>
        <w:t xml:space="preserve">For comparison, fine-tuning the RETFound backbone with LoRA r=8 (1.08 M trainable parameters injected into the attention projections,</w:t>
      </w:r>
      <w:r>
        <w:t xml:space="preserve"> </w:t>
      </w:r>
      <m:oMath>
        <m:r>
          <m:rPr>
            <m:sty m:val="p"/>
          </m:rPr>
          <m:t>∼</m:t>
        </m:r>
      </m:oMath>
      <w:r>
        <w:t xml:space="preserve">16 h per seed on MPS) and keeping the same Ordinal CapsNet head reaches QWK</w:t>
      </w:r>
      <w:r>
        <w:t xml:space="preserve"> </w:t>
      </w:r>
      <m:oMath>
        <m:r>
          <m:t>0.9127</m:t>
        </m:r>
        <m:r>
          <m:rPr>
            <m:sty m:val="p"/>
          </m:rPr>
          <m:t>±</m:t>
        </m:r>
        <m:r>
          <m:t>0.0008</m:t>
        </m:r>
      </m:oMath>
      <w:r>
        <w:t xml:space="preserve"> </w:t>
      </w:r>
      <w:r>
        <w:t xml:space="preserve">on the same 3-seed 5-fold protocol, an additional</w:t>
      </w:r>
      <w:r>
        <w:t xml:space="preserve"> </w:t>
      </w:r>
      <m:oMath>
        <m:r>
          <m:rPr>
            <m:sty m:val="p"/>
          </m:rPr>
          <m:t>+</m:t>
        </m:r>
        <m:r>
          <m:t>0.020</m:t>
        </m:r>
      </m:oMath>
      <w:r>
        <w:t xml:space="preserve"> </w:t>
      </w:r>
      <w:r>
        <w:t xml:space="preserve">QWK over the same head on frozen RETFound features. The remainder of this paper analyses frozen-feature configurations on consumer hardware; we report LoRA only as a compute-tier anchor.</w:t>
      </w:r>
    </w:p>
    <w:bookmarkEnd w:id="32"/>
    <w:bookmarkStart w:id="33" w:name="sec:head-backbone"/>
    <w:p>
      <w:pPr>
        <w:pStyle w:val="Heading2"/>
      </w:pPr>
      <w:r>
        <w:t xml:space="preserve">Head </w:t>
      </w:r>
      <m:oMath>
        <m:r>
          <m:rPr>
            <m:sty m:val="p"/>
          </m:rPr>
          <m:t>×</m:t>
        </m:r>
      </m:oMath>
      <w:r>
        <w:t xml:space="preserve"> Backbone 2</w:t>
      </w:r>
      <m:oMath>
        <m:r>
          <m:rPr>
            <m:sty m:val="p"/>
          </m:rPr>
          <m:t>×</m:t>
        </m:r>
      </m:oMath>
      <w:r>
        <w:t xml:space="preserve">2 ablation</w:t>
      </w:r>
    </w:p>
    <w:p>
      <w:pPr>
        <w:pStyle w:val="FirstParagraph"/>
      </w:pPr>
      <w:r>
        <w:t xml:space="preserve">Table </w:t>
      </w:r>
      <w:hyperlink w:anchor="tab:head_backbone">
        <w:r>
          <w:rPr>
            <w:rStyle w:val="Hyperlink"/>
          </w:rPr>
          <w:t xml:space="preserve">[tab:head_backbone]</w:t>
        </w:r>
      </w:hyperlink>
      <w:r>
        <w:t xml:space="preserve"> </w:t>
      </w:r>
      <w:r>
        <w:t xml:space="preserve">is the fully crossed ablation on APTOS and Messidor-2. The single-variable change column (backbone) yields a substantially larger effect than the orthogonal single-variable change (head) on both datasets.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rPr>
                <w:b/>
                <w:bCs/>
              </w:rPr>
              <w:t xml:space="preserve">APTOS-2019 QWK</w:t>
            </w:r>
          </w:p>
        </w:tc>
        <w:tc>
          <w:tcPr>
            <w:gridSpan w:val="3"/>
          </w:tcPr>
          <w:p>
            <w:pPr>
              <w:pStyle w:val="Compact"/>
              <w:jc w:val="center"/>
            </w:pPr>
            <w:r>
              <w:rPr>
                <w:b/>
                <w:bCs/>
              </w:rPr>
              <w:t xml:space="preserve">Messidor-2 within QWK</w:t>
            </w:r>
          </w:p>
        </w:tc>
      </w:tr>
      <w:tr>
        <w:tc>
          <w:tcPr/>
          <w:p>
            <w:pPr>
              <w:pStyle w:val="Compact"/>
              <w:jc w:val="left"/>
            </w:pPr>
            <w:r>
              <w:t xml:space="preserve">2-4</w:t>
            </w:r>
            <w:r>
              <w:t xml:space="preserve">(l)</w:t>
            </w:r>
            <w:r>
              <w:t xml:space="preserve">5-7</w:t>
            </w:r>
            <w:r>
              <w:t xml:space="preserve"> </w:t>
            </w:r>
            <w:r>
              <w:t xml:space="preserve">Head</w:t>
            </w:r>
          </w:p>
        </w:tc>
        <w:tc>
          <w:tcPr/>
          <w:p>
            <w:pPr>
              <w:pStyle w:val="Compact"/>
              <w:jc w:val="center"/>
            </w:pPr>
            <w:r>
              <w:t xml:space="preserve">RETFound</w:t>
            </w:r>
          </w:p>
        </w:tc>
        <w:tc>
          <w:tcPr/>
          <w:p>
            <w:pPr>
              <w:pStyle w:val="Compact"/>
              <w:jc w:val="center"/>
            </w:pPr>
            <w:r>
              <w:t xml:space="preserve">DINOv2</w:t>
            </w:r>
          </w:p>
        </w:tc>
        <w:tc>
          <w:tcPr/>
          <w:p>
            <w:pPr>
              <w:pStyle w:val="Compact"/>
              <w:jc w:val="center"/>
            </w:pPr>
            <m:oMath>
              <m:r>
                <m:rPr>
                  <m:sty m:val="p"/>
                </m:rPr>
                <m:t>Δ</m:t>
              </m:r>
            </m:oMath>
            <w:r>
              <w:t xml:space="preserve"> </w:t>
            </w:r>
            <w:r>
              <w:t xml:space="preserve">backbone</w:t>
            </w:r>
          </w:p>
        </w:tc>
        <w:tc>
          <w:tcPr/>
          <w:p>
            <w:pPr>
              <w:pStyle w:val="Compact"/>
              <w:jc w:val="center"/>
            </w:pPr>
            <w:r>
              <w:t xml:space="preserve">RETFound</w:t>
            </w:r>
          </w:p>
        </w:tc>
        <w:tc>
          <w:tcPr/>
          <w:p>
            <w:pPr>
              <w:pStyle w:val="Compact"/>
              <w:jc w:val="center"/>
            </w:pPr>
            <w:r>
              <w:t xml:space="preserve">DINOv2</w:t>
            </w:r>
          </w:p>
        </w:tc>
        <w:tc>
          <w:tcPr/>
          <w:p>
            <w:pPr>
              <w:pStyle w:val="Compact"/>
              <w:jc w:val="center"/>
            </w:pPr>
            <m:oMath>
              <m:r>
                <m:rPr>
                  <m:sty m:val="p"/>
                </m:rPr>
                <m:t>Δ</m:t>
              </m:r>
            </m:oMath>
            <w:r>
              <w:t xml:space="preserve"> </w:t>
            </w:r>
            <w:r>
              <w:t xml:space="preserve">backbone</w:t>
            </w:r>
          </w:p>
        </w:tc>
      </w:tr>
      <w:tr>
        <w:tc>
          <w:tcPr/>
          <w:p>
            <w:pPr>
              <w:pStyle w:val="Compact"/>
              <w:jc w:val="left"/>
            </w:pPr>
            <w:r>
              <w:t xml:space="preserve">Ordinal CapsNet</w:t>
            </w:r>
          </w:p>
        </w:tc>
        <w:tc>
          <w:tcPr/>
          <w:p>
            <w:pPr>
              <w:pStyle w:val="Compact"/>
              <w:jc w:val="center"/>
            </w:pPr>
            <m:oMath>
              <m:r>
                <m:t>0.8932</m:t>
              </m:r>
              <m:r>
                <m:rPr>
                  <m:sty m:val="p"/>
                </m:rPr>
                <m:t>±</m:t>
              </m:r>
              <m:r>
                <m:t>0.0004</m:t>
              </m:r>
            </m:oMath>
          </w:p>
        </w:tc>
        <w:tc>
          <w:tcPr/>
          <w:p>
            <w:pPr>
              <w:pStyle w:val="Compact"/>
              <w:jc w:val="center"/>
            </w:pPr>
            <m:oMath>
              <m:r>
                <m:t>0.9089</m:t>
              </m:r>
              <m:r>
                <m:rPr>
                  <m:sty m:val="p"/>
                </m:rPr>
                <m:t>±</m:t>
              </m:r>
              <m:r>
                <m:t>0.0021</m:t>
              </m:r>
            </m:oMath>
          </w:p>
        </w:tc>
        <w:tc>
          <w:tcPr/>
          <w:p>
            <w:pPr>
              <w:pStyle w:val="Compact"/>
              <w:jc w:val="center"/>
            </w:pPr>
            <m:oMath>
              <m:r>
                <m:rPr>
                  <m:sty m:val="p"/>
                </m:rPr>
                <m:t>+</m:t>
              </m:r>
              <m:r>
                <m:t>0.0157</m:t>
              </m:r>
            </m:oMath>
          </w:p>
        </w:tc>
        <w:tc>
          <w:tcPr/>
          <w:p>
            <w:pPr>
              <w:pStyle w:val="Compact"/>
              <w:jc w:val="center"/>
            </w:pPr>
            <m:oMath>
              <m:r>
                <m:t>0.6065</m:t>
              </m:r>
              <m:r>
                <m:rPr>
                  <m:sty m:val="p"/>
                </m:rPr>
                <m:t>±</m:t>
              </m:r>
              <m:r>
                <m:t>0.0363</m:t>
              </m:r>
            </m:oMath>
          </w:p>
        </w:tc>
        <w:tc>
          <w:tcPr/>
          <w:p>
            <w:pPr>
              <w:pStyle w:val="Compact"/>
              <w:jc w:val="center"/>
            </w:pPr>
            <m:oMath>
              <m:r>
                <m:t>0.7525</m:t>
              </m:r>
              <m:r>
                <m:rPr>
                  <m:sty m:val="p"/>
                </m:rPr>
                <m:t>±</m:t>
              </m:r>
              <m:r>
                <m:t>0.0222</m:t>
              </m:r>
            </m:oMath>
          </w:p>
        </w:tc>
        <w:tc>
          <w:tcPr/>
          <w:p>
            <w:pPr>
              <w:pStyle w:val="Compact"/>
              <w:jc w:val="center"/>
            </w:pPr>
            <m:oMath>
              <m:r>
                <m:rPr>
                  <m:sty m:val="p"/>
                </m:rPr>
                <m:t>+</m:t>
              </m:r>
              <m:r>
                <m:t>0.1460</m:t>
              </m:r>
            </m:oMath>
          </w:p>
        </w:tc>
      </w:tr>
      <w:tr>
        <w:tc>
          <w:tcPr/>
          <w:p>
            <w:pPr>
              <w:pStyle w:val="Compact"/>
              <w:jc w:val="left"/>
            </w:pPr>
            <w:r>
              <w:t xml:space="preserve">MLP + K-1 sig</w:t>
            </w:r>
          </w:p>
        </w:tc>
        <w:tc>
          <w:tcPr/>
          <w:p>
            <w:pPr>
              <w:pStyle w:val="Compact"/>
              <w:jc w:val="center"/>
            </w:pPr>
            <m:oMath>
              <m:r>
                <m:t>0.8866</m:t>
              </m:r>
              <m:r>
                <m:rPr>
                  <m:sty m:val="p"/>
                </m:rPr>
                <m:t>±</m:t>
              </m:r>
              <m:r>
                <m:t>0.0004</m:t>
              </m:r>
            </m:oMath>
          </w:p>
        </w:tc>
        <w:tc>
          <w:tcPr/>
          <w:p>
            <w:pPr>
              <w:pStyle w:val="Compact"/>
              <w:jc w:val="center"/>
            </w:pPr>
            <m:oMath>
              <m:r>
                <m:t>0.9034</m:t>
              </m:r>
              <m:r>
                <m:rPr>
                  <m:sty m:val="p"/>
                </m:rPr>
                <m:t>±</m:t>
              </m:r>
              <m:r>
                <m:t>0.0002</m:t>
              </m:r>
            </m:oMath>
          </w:p>
        </w:tc>
        <w:tc>
          <w:tcPr/>
          <w:p>
            <w:pPr>
              <w:pStyle w:val="Compact"/>
              <w:jc w:val="center"/>
            </w:pPr>
            <m:oMath>
              <m:r>
                <m:rPr>
                  <m:sty m:val="p"/>
                </m:rPr>
                <m:t>+</m:t>
              </m:r>
              <m:r>
                <m:t>0.0168</m:t>
              </m:r>
            </m:oMath>
          </w:p>
        </w:tc>
        <w:tc>
          <w:tcPr/>
          <w:p>
            <w:pPr>
              <w:pStyle w:val="Compact"/>
              <w:jc w:val="center"/>
            </w:pPr>
            <m:oMath>
              <m:r>
                <m:t>0.5852</m:t>
              </m:r>
              <m:r>
                <m:rPr>
                  <m:sty m:val="p"/>
                </m:rPr>
                <m:t>±</m:t>
              </m:r>
              <m:r>
                <m:t>0.0405</m:t>
              </m:r>
            </m:oMath>
          </w:p>
        </w:tc>
        <w:tc>
          <w:tcPr/>
          <w:p>
            <w:pPr>
              <w:pStyle w:val="Compact"/>
              <w:jc w:val="center"/>
            </w:pPr>
            <m:oMath>
              <m:r>
                <m:t>0.7643</m:t>
              </m:r>
              <m:r>
                <m:rPr>
                  <m:sty m:val="p"/>
                </m:rPr>
                <m:t>±</m:t>
              </m:r>
              <m:r>
                <m:t>0.0148</m:t>
              </m:r>
            </m:oMath>
          </w:p>
        </w:tc>
        <w:tc>
          <w:tcPr/>
          <w:p>
            <w:pPr>
              <w:pStyle w:val="Compact"/>
              <w:jc w:val="center"/>
            </w:pPr>
            <m:oMath>
              <m:r>
                <m:rPr>
                  <m:sty m:val="p"/>
                </m:rPr>
                <m:t>+</m:t>
              </m:r>
              <m:r>
                <m:t>0.1791</m:t>
              </m:r>
            </m:oMath>
          </w:p>
        </w:tc>
      </w:tr>
      <w:tr>
        <w:tc>
          <w:tcPr/>
          <w:p>
            <w:pPr>
              <w:pStyle w:val="Compact"/>
              <w:jc w:val="left"/>
            </w:pPr>
            <m:oMath>
              <m:r>
                <m:rPr>
                  <m:sty m:val="p"/>
                </m:rPr>
                <m:t>Δ</m:t>
              </m:r>
            </m:oMath>
            <w:r>
              <w:t xml:space="preserve"> </w:t>
            </w:r>
            <w:r>
              <w:t xml:space="preserve">head</w:t>
            </w:r>
          </w:p>
        </w:tc>
        <w:tc>
          <w:tcPr/>
          <w:p>
            <w:pPr>
              <w:pStyle w:val="Compact"/>
              <w:jc w:val="center"/>
            </w:pPr>
            <m:oMath>
              <m:r>
                <m:rPr>
                  <m:sty m:val="p"/>
                </m:rPr>
                <m:t>+</m:t>
              </m:r>
              <m:r>
                <m:t>0.0066</m:t>
              </m:r>
            </m:oMath>
          </w:p>
        </w:tc>
        <w:tc>
          <w:tcPr/>
          <w:p>
            <w:pPr>
              <w:pStyle w:val="Compact"/>
              <w:jc w:val="center"/>
            </w:pPr>
            <m:oMath>
              <m:r>
                <m:rPr>
                  <m:sty m:val="p"/>
                </m:rPr>
                <m:t>+</m:t>
              </m:r>
              <m:r>
                <m:t>0.0055</m:t>
              </m:r>
            </m:oMath>
          </w:p>
        </w:tc>
        <w:tc>
          <w:tcPr/>
          <w:p>
            <w:pPr>
              <w:pStyle w:val="Compact"/>
              <w:jc w:val="center"/>
            </w:pPr>
            <w:r>
              <w:t xml:space="preserve">—</w:t>
            </w:r>
          </w:p>
        </w:tc>
        <w:tc>
          <w:tcPr/>
          <w:p>
            <w:pPr>
              <w:pStyle w:val="Compact"/>
              <w:jc w:val="center"/>
            </w:pPr>
            <m:oMath>
              <m:r>
                <m:rPr>
                  <m:sty m:val="p"/>
                </m:rPr>
                <m:t>+</m:t>
              </m:r>
              <m:r>
                <m:t>0.0213</m:t>
              </m:r>
            </m:oMath>
          </w:p>
        </w:tc>
        <w:tc>
          <w:tcPr/>
          <w:p>
            <w:pPr>
              <w:pStyle w:val="Compact"/>
              <w:jc w:val="center"/>
            </w:pPr>
            <m:oMath>
              <m:r>
                <m:rPr>
                  <m:sty m:val="p"/>
                </m:rPr>
                <m:t>−</m:t>
              </m:r>
              <m:r>
                <m:t>0.0118</m:t>
              </m:r>
            </m:oMath>
          </w:p>
        </w:tc>
        <w:tc>
          <w:tcPr/>
          <w:p>
            <w:pPr>
              <w:pStyle w:val="Compact"/>
              <w:jc w:val="center"/>
            </w:pPr>
            <w:r>
              <w:t xml:space="preserve">—</w:t>
            </w:r>
          </w:p>
        </w:tc>
      </w:tr>
    </w:tbl>
    <w:p>
      <w:pPr>
        <w:pStyle w:val="BodyText"/>
      </w:pPr>
      <w:r>
        <w:t xml:space="preserve">DINOv2 beats RETFound at frozen-feature DR grading cleanly on both datasets and both heads. On Messidor-2 the backbone effect (</w:t>
      </w:r>
      <m:oMath>
        <m:r>
          <m:rPr>
            <m:sty m:val="p"/>
          </m:rPr>
          <m:t>+</m:t>
        </m:r>
        <m:r>
          <m:t>0.146</m:t>
        </m:r>
      </m:oMath>
      <w:r>
        <w:t xml:space="preserve"> </w:t>
      </w:r>
      <w:r>
        <w:t xml:space="preserve">to</w:t>
      </w:r>
      <w:r>
        <w:t xml:space="preserve"> </w:t>
      </w:r>
      <m:oMath>
        <m:r>
          <m:rPr>
            <m:sty m:val="p"/>
          </m:rPr>
          <m:t>+</m:t>
        </m:r>
        <m:r>
          <m:t>0.179</m:t>
        </m:r>
      </m:oMath>
      <w:r>
        <w:t xml:space="preserve"> </w:t>
      </w:r>
      <w:r>
        <w:t xml:space="preserve">QWK) is roughly</w:t>
      </w:r>
      <w:r>
        <w:t xml:space="preserve"> </w:t>
      </w:r>
      <m:oMath>
        <m:r>
          <m:t>10</m:t>
        </m:r>
        <m:r>
          <m:rPr>
            <m:sty m:val="p"/>
          </m:rPr>
          <m:t>×</m:t>
        </m:r>
      </m:oMath>
      <w:r>
        <w:t xml:space="preserve"> </w:t>
      </w:r>
      <w:r>
        <w:t xml:space="preserve">the head effect (</w:t>
      </w:r>
      <m:oMath>
        <m:r>
          <m:rPr>
            <m:sty m:val="p"/>
          </m:rPr>
          <m:t>±</m:t>
        </m:r>
        <m:r>
          <m:t>0.021</m:t>
        </m:r>
      </m:oMath>
      <w:r>
        <w:t xml:space="preserve"> </w:t>
      </w:r>
      <w:r>
        <w:t xml:space="preserve">QWK), and under the stronger DINOv2 backbone the head ranking flips. MLP-K1 beats the capsule head by</w:t>
      </w:r>
      <w:r>
        <w:t xml:space="preserve"> </w:t>
      </w:r>
      <m:oMath>
        <m:r>
          <m:rPr>
            <m:sty m:val="p"/>
          </m:rPr>
          <m:t>+</m:t>
        </m:r>
        <m:r>
          <m:t>0.012</m:t>
        </m:r>
      </m:oMath>
      <w:r>
        <w:t xml:space="preserve"> </w:t>
      </w:r>
      <w:r>
        <w:t xml:space="preserve">QWK. The head is a smaller lever than the backbone in this regime, and once the backbone is strong enough the capsule machinery can even hurt.</w:t>
      </w:r>
    </w:p>
    <w:bookmarkEnd w:id="33"/>
    <w:bookmarkStart w:id="42" w:name="sec:calibration"/>
    <w:p>
      <w:pPr>
        <w:pStyle w:val="Heading2"/>
      </w:pPr>
      <w:r>
        <w:t xml:space="preserve">Calibration analysis</w:t>
      </w:r>
    </w:p>
    <w:p>
      <w:pPr>
        <w:pStyle w:val="FirstParagraph"/>
      </w:pPr>
      <w:r>
        <w:t xml:space="preserve">Table </w:t>
      </w:r>
      <w:hyperlink w:anchor="tab:calibration">
        <w:r>
          <w:rPr>
            <w:rStyle w:val="Hyperlink"/>
          </w:rPr>
          <w:t xml:space="preserve">[tab:calibration]</w:t>
        </w:r>
      </w:hyperlink>
      <w:r>
        <w:t xml:space="preserve"> </w:t>
      </w:r>
      <w:r>
        <w:t xml:space="preserve">summarises the calibration and selective-prediction metrics across all nine configurations. Figure </w:t>
      </w:r>
      <w:hyperlink w:anchor="fig:reliability_aptos">
        <w:r>
          <w:rPr>
            <w:rStyle w:val="Hyperlink"/>
          </w:rPr>
          <w:t xml:space="preserve">2</w:t>
        </w:r>
      </w:hyperlink>
      <w:r>
        <w:t xml:space="preserve"> </w:t>
      </w:r>
      <w:r>
        <w:t xml:space="preserve">shows reliability diagrams for the APTOS head</w:t>
      </w:r>
      <m:oMath>
        <m:r>
          <m:rPr>
            <m:sty m:val="p"/>
          </m:rPr>
          <m:t>×</m:t>
        </m:r>
      </m:oMath>
      <w:r>
        <w:t xml:space="preserve">backbone</w:t>
      </w:r>
      <w:r>
        <w:t xml:space="preserve"> </w:t>
      </w:r>
      <m:oMath>
        <m:r>
          <m:t>2</m:t>
        </m:r>
        <m:r>
          <m:rPr>
            <m:sty m:val="p"/>
          </m:rPr>
          <m:t>×</m:t>
        </m:r>
        <m:r>
          <m:t>2</m:t>
        </m:r>
      </m:oMath>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Dataset</w:t>
            </w:r>
          </w:p>
        </w:tc>
        <w:tc>
          <w:tcPr/>
          <w:p>
            <w:pPr>
              <w:pStyle w:val="Compact"/>
              <w:jc w:val="left"/>
            </w:pPr>
            <w:r>
              <w:t xml:space="preserve">Model</w:t>
            </w:r>
          </w:p>
        </w:tc>
        <w:tc>
          <w:tcPr/>
          <w:p>
            <w:pPr>
              <w:pStyle w:val="Compact"/>
              <w:jc w:val="center"/>
            </w:pPr>
            <w:r>
              <w:t xml:space="preserve">Acc</w:t>
            </w:r>
          </w:p>
        </w:tc>
        <w:tc>
          <w:tcPr/>
          <w:p>
            <w:pPr>
              <w:pStyle w:val="Compact"/>
              <w:jc w:val="center"/>
            </w:pPr>
            <w:r>
              <w:t xml:space="preserve">ECE</w:t>
            </w:r>
          </w:p>
        </w:tc>
        <w:tc>
          <w:tcPr/>
          <w:p>
            <w:pPr>
              <w:pStyle w:val="Compact"/>
              <w:jc w:val="center"/>
            </w:pPr>
            <w:r>
              <w:t xml:space="preserve">MCE</w:t>
            </w:r>
          </w:p>
        </w:tc>
        <w:tc>
          <w:tcPr/>
          <w:p>
            <w:pPr>
              <w:pStyle w:val="Compact"/>
              <w:jc w:val="center"/>
            </w:pPr>
            <w:r>
              <w:t xml:space="preserve">AURC (max-p)</w:t>
            </w:r>
          </w:p>
        </w:tc>
        <w:tc>
          <w:tcPr/>
          <w:p>
            <w:pPr>
              <w:pStyle w:val="Compact"/>
              <w:jc w:val="center"/>
            </w:pPr>
            <w:r>
              <w:t xml:space="preserve">AURC (margin)</w:t>
            </w:r>
          </w:p>
        </w:tc>
        <w:tc>
          <w:tcPr/>
          <w:p>
            <w:pPr>
              <w:pStyle w:val="Compact"/>
              <w:jc w:val="center"/>
            </w:pPr>
            <w:r>
              <w:t xml:space="preserve">Renorm</w:t>
            </w:r>
          </w:p>
        </w:tc>
        <w:tc>
          <w:tcPr/>
          <w:p>
            <w:pPr>
              <w:pStyle w:val="Compact"/>
            </w:pPr>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Ordinal CapsNet</w:t>
            </w:r>
          </w:p>
        </w:tc>
        <w:tc>
          <w:tcPr/>
          <w:p>
            <w:pPr>
              <w:pStyle w:val="Compact"/>
              <w:jc w:val="center"/>
            </w:pPr>
            <w:r>
              <w:t xml:space="preserve">0.793</w:t>
            </w:r>
          </w:p>
        </w:tc>
        <w:tc>
          <w:tcPr/>
          <w:p>
            <w:pPr>
              <w:pStyle w:val="Compact"/>
              <w:jc w:val="center"/>
            </w:pPr>
            <w:r>
              <w:t xml:space="preserve">0.151</w:t>
            </w:r>
          </w:p>
        </w:tc>
        <w:tc>
          <w:tcPr/>
          <w:p>
            <w:pPr>
              <w:pStyle w:val="Compact"/>
              <w:jc w:val="center"/>
            </w:pPr>
            <w:r>
              <w:t xml:space="preserve">0.224</w:t>
            </w:r>
          </w:p>
        </w:tc>
        <w:tc>
          <w:tcPr/>
          <w:p>
            <w:pPr>
              <w:pStyle w:val="Compact"/>
              <w:jc w:val="center"/>
            </w:pPr>
            <w:r>
              <w:t xml:space="preserve">0.0599</w:t>
            </w:r>
          </w:p>
        </w:tc>
        <w:tc>
          <w:tcPr/>
          <w:p>
            <w:pPr>
              <w:pStyle w:val="Compact"/>
              <w:jc w:val="center"/>
            </w:pPr>
            <w:r>
              <w:t xml:space="preserve">0.0609</w:t>
            </w:r>
          </w:p>
        </w:tc>
        <w:tc>
          <w:tcPr/>
          <w:p>
            <w:pPr>
              <w:pStyle w:val="Compact"/>
              <w:jc w:val="center"/>
            </w:pPr>
            <w:r>
              <w:t xml:space="preserve">100%</w:t>
            </w:r>
          </w:p>
        </w:tc>
        <w:tc>
          <w:tcPr/>
          <w:p>
            <w:pPr>
              <w:pStyle w:val="Compact"/>
            </w:pPr>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MLP-K1</w:t>
            </w:r>
          </w:p>
        </w:tc>
        <w:tc>
          <w:tcPr/>
          <w:p>
            <w:pPr>
              <w:pStyle w:val="Compact"/>
              <w:jc w:val="center"/>
            </w:pPr>
            <w:r>
              <w:t xml:space="preserve">0.796</w:t>
            </w:r>
          </w:p>
        </w:tc>
        <w:tc>
          <w:tcPr/>
          <w:p>
            <w:pPr>
              <w:pStyle w:val="Compact"/>
              <w:jc w:val="center"/>
            </w:pPr>
            <w:r>
              <w:rPr>
                <w:b/>
                <w:bCs/>
              </w:rPr>
              <w:t xml:space="preserve">0.091</w:t>
            </w:r>
          </w:p>
        </w:tc>
        <w:tc>
          <w:tcPr/>
          <w:p>
            <w:pPr>
              <w:pStyle w:val="Compact"/>
              <w:jc w:val="center"/>
            </w:pPr>
            <w:r>
              <w:rPr>
                <w:b/>
                <w:bCs/>
              </w:rPr>
              <w:t xml:space="preserve">0.174</w:t>
            </w:r>
          </w:p>
        </w:tc>
        <w:tc>
          <w:tcPr/>
          <w:p>
            <w:pPr>
              <w:pStyle w:val="Compact"/>
              <w:jc w:val="center"/>
            </w:pPr>
            <w:r>
              <w:t xml:space="preserve">0.0624</w:t>
            </w:r>
          </w:p>
        </w:tc>
        <w:tc>
          <w:tcPr/>
          <w:p>
            <w:pPr>
              <w:pStyle w:val="Compact"/>
              <w:jc w:val="center"/>
            </w:pPr>
            <w:r>
              <w:t xml:space="preserve">0.0604</w:t>
            </w:r>
          </w:p>
        </w:tc>
        <w:tc>
          <w:tcPr/>
          <w:p>
            <w:pPr>
              <w:pStyle w:val="Compact"/>
              <w:jc w:val="center"/>
            </w:pPr>
            <w:r>
              <w:t xml:space="preserve">86%</w:t>
            </w:r>
          </w:p>
        </w:tc>
        <w:tc>
          <w:tcPr/>
          <w:p>
            <w:pPr>
              <w:pStyle w:val="Compact"/>
            </w:pPr>
          </w:p>
        </w:tc>
      </w:tr>
      <w:tr>
        <w:tc>
          <w:tcPr/>
          <w:p>
            <w:pPr>
              <w:pStyle w:val="Compact"/>
              <w:jc w:val="left"/>
            </w:pPr>
            <w:r>
              <w:t xml:space="preserve">APTOS</w:t>
            </w:r>
          </w:p>
        </w:tc>
        <w:tc>
          <w:tcPr/>
          <w:p>
            <w:pPr>
              <w:pStyle w:val="Compact"/>
              <w:jc w:val="left"/>
            </w:pPr>
            <w:r>
              <w:t xml:space="preserve">DINOv2</w:t>
            </w:r>
            <w:r>
              <w:t xml:space="preserve"> </w:t>
            </w:r>
            <m:oMath>
              <m:r>
                <m:rPr>
                  <m:sty m:val="p"/>
                </m:rPr>
                <m:t>×</m:t>
              </m:r>
            </m:oMath>
            <w:r>
              <w:t xml:space="preserve"> </w:t>
            </w:r>
            <w:r>
              <w:t xml:space="preserve">Ordinal CapsNet</w:t>
            </w:r>
          </w:p>
        </w:tc>
        <w:tc>
          <w:tcPr/>
          <w:p>
            <w:pPr>
              <w:pStyle w:val="Compact"/>
              <w:jc w:val="center"/>
            </w:pPr>
            <w:r>
              <w:rPr>
                <w:b/>
                <w:bCs/>
              </w:rPr>
              <w:t xml:space="preserve">0.809</w:t>
            </w:r>
          </w:p>
        </w:tc>
        <w:tc>
          <w:tcPr/>
          <w:p>
            <w:pPr>
              <w:pStyle w:val="Compact"/>
              <w:jc w:val="center"/>
            </w:pPr>
            <w:r>
              <w:t xml:space="preserve">0.115</w:t>
            </w:r>
          </w:p>
        </w:tc>
        <w:tc>
          <w:tcPr/>
          <w:p>
            <w:pPr>
              <w:pStyle w:val="Compact"/>
              <w:jc w:val="center"/>
            </w:pPr>
            <w:r>
              <w:t xml:space="preserve">0.167</w:t>
            </w:r>
          </w:p>
        </w:tc>
        <w:tc>
          <w:tcPr/>
          <w:p>
            <w:pPr>
              <w:pStyle w:val="Compact"/>
              <w:jc w:val="center"/>
            </w:pPr>
            <w:r>
              <w:rPr>
                <w:b/>
                <w:bCs/>
              </w:rPr>
              <w:t xml:space="preserve">0.049</w:t>
            </w:r>
          </w:p>
        </w:tc>
        <w:tc>
          <w:tcPr/>
          <w:p>
            <w:pPr>
              <w:pStyle w:val="Compact"/>
              <w:jc w:val="center"/>
            </w:pPr>
            <w:r>
              <w:rPr>
                <w:b/>
                <w:bCs/>
              </w:rPr>
              <w:t xml:space="preserve">0.048</w:t>
            </w:r>
          </w:p>
        </w:tc>
        <w:tc>
          <w:tcPr/>
          <w:p>
            <w:pPr>
              <w:pStyle w:val="Compact"/>
              <w:jc w:val="center"/>
            </w:pPr>
            <w:r>
              <w:t xml:space="preserve">100%</w:t>
            </w:r>
          </w:p>
        </w:tc>
        <w:tc>
          <w:tcPr/>
          <w:p>
            <w:pPr>
              <w:pStyle w:val="Compact"/>
            </w:pPr>
          </w:p>
        </w:tc>
      </w:tr>
      <w:tr>
        <w:tc>
          <w:tcPr/>
          <w:p>
            <w:pPr>
              <w:pStyle w:val="Compact"/>
              <w:jc w:val="left"/>
            </w:pPr>
            <w:r>
              <w:t xml:space="preserve">APTOS</w:t>
            </w:r>
          </w:p>
        </w:tc>
        <w:tc>
          <w:tcPr/>
          <w:p>
            <w:pPr>
              <w:pStyle w:val="Compact"/>
              <w:jc w:val="left"/>
            </w:pPr>
            <w:r>
              <w:t xml:space="preserve">DINOv2</w:t>
            </w:r>
            <w:r>
              <w:t xml:space="preserve"> </w:t>
            </w:r>
            <m:oMath>
              <m:r>
                <m:rPr>
                  <m:sty m:val="p"/>
                </m:rPr>
                <m:t>×</m:t>
              </m:r>
            </m:oMath>
            <w:r>
              <w:t xml:space="preserve"> </w:t>
            </w:r>
            <w:r>
              <w:t xml:space="preserve">MLP-K1</w:t>
            </w:r>
          </w:p>
        </w:tc>
        <w:tc>
          <w:tcPr/>
          <w:p>
            <w:pPr>
              <w:pStyle w:val="Compact"/>
              <w:jc w:val="center"/>
            </w:pPr>
            <w:r>
              <w:t xml:space="preserve">0.805</w:t>
            </w:r>
          </w:p>
        </w:tc>
        <w:tc>
          <w:tcPr/>
          <w:p>
            <w:pPr>
              <w:pStyle w:val="Compact"/>
              <w:jc w:val="center"/>
            </w:pPr>
            <w:r>
              <w:t xml:space="preserve">0.102</w:t>
            </w:r>
          </w:p>
        </w:tc>
        <w:tc>
          <w:tcPr/>
          <w:p>
            <w:pPr>
              <w:pStyle w:val="Compact"/>
              <w:jc w:val="center"/>
            </w:pPr>
            <w:r>
              <w:t xml:space="preserve">0.173</w:t>
            </w:r>
          </w:p>
        </w:tc>
        <w:tc>
          <w:tcPr/>
          <w:p>
            <w:pPr>
              <w:pStyle w:val="Compact"/>
              <w:jc w:val="center"/>
            </w:pPr>
            <w:r>
              <w:t xml:space="preserve">0.051</w:t>
            </w:r>
          </w:p>
        </w:tc>
        <w:tc>
          <w:tcPr/>
          <w:p>
            <w:pPr>
              <w:pStyle w:val="Compact"/>
              <w:jc w:val="center"/>
            </w:pPr>
            <w:r>
              <w:t xml:space="preserve">0.049</w:t>
            </w:r>
          </w:p>
        </w:tc>
        <w:tc>
          <w:tcPr/>
          <w:p>
            <w:pPr>
              <w:pStyle w:val="Compact"/>
              <w:jc w:val="center"/>
            </w:pPr>
            <w:r>
              <w:t xml:space="preserve">100%</w:t>
            </w:r>
          </w:p>
        </w:tc>
        <w:tc>
          <w:tcPr/>
          <w:p>
            <w:pPr>
              <w:pStyle w:val="Compact"/>
            </w:pPr>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Ordinal + LoRA</w:t>
            </w:r>
          </w:p>
        </w:tc>
        <w:tc>
          <w:tcPr/>
          <w:p>
            <w:pPr>
              <w:pStyle w:val="Compact"/>
              <w:jc w:val="center"/>
            </w:pPr>
            <w:r>
              <w:t xml:space="preserve">0.824</w:t>
            </w:r>
          </w:p>
        </w:tc>
        <w:tc>
          <w:tcPr/>
          <w:p>
            <w:pPr>
              <w:pStyle w:val="Compact"/>
              <w:jc w:val="center"/>
            </w:pPr>
            <w:r>
              <w:t xml:space="preserve">0.141</w:t>
            </w:r>
          </w:p>
        </w:tc>
        <w:tc>
          <w:tcPr/>
          <w:p>
            <w:pPr>
              <w:pStyle w:val="Compact"/>
              <w:jc w:val="center"/>
            </w:pPr>
            <w:r>
              <w:t xml:space="preserve">0.194</w:t>
            </w:r>
          </w:p>
        </w:tc>
        <w:tc>
          <w:tcPr/>
          <w:p>
            <w:pPr>
              <w:pStyle w:val="Compact"/>
              <w:jc w:val="center"/>
            </w:pPr>
            <w:r>
              <w:t xml:space="preserve">0.050</w:t>
            </w:r>
          </w:p>
        </w:tc>
        <w:tc>
          <w:tcPr/>
          <w:p>
            <w:pPr>
              <w:pStyle w:val="Compact"/>
              <w:jc w:val="center"/>
            </w:pPr>
            <w:r>
              <w:t xml:space="preserve">0.050</w:t>
            </w:r>
          </w:p>
        </w:tc>
        <w:tc>
          <w:tcPr/>
          <w:p>
            <w:pPr>
              <w:pStyle w:val="Compact"/>
              <w:jc w:val="center"/>
            </w:pPr>
            <w:r>
              <w:t xml:space="preserve">100%</w:t>
            </w:r>
          </w:p>
        </w:tc>
        <w:tc>
          <w:tcPr/>
          <w:p>
            <w:pPr>
              <w:pStyle w:val="Compact"/>
            </w:pPr>
          </w:p>
        </w:tc>
      </w:tr>
      <w:tr>
        <w:tc>
          <w:tcPr/>
          <w:p>
            <w:pPr>
              <w:pStyle w:val="Compact"/>
              <w:jc w:val="left"/>
            </w:pPr>
            <w:r>
              <w:t xml:space="preserve">Messidor-2</w:t>
            </w:r>
          </w:p>
        </w:tc>
        <w:tc>
          <w:tcPr/>
          <w:p>
            <w:pPr>
              <w:pStyle w:val="Compact"/>
              <w:jc w:val="left"/>
            </w:pPr>
            <w:r>
              <w:t xml:space="preserve">RETFound</w:t>
            </w:r>
            <w:r>
              <w:t xml:space="preserve"> </w:t>
            </w:r>
            <m:oMath>
              <m:r>
                <m:rPr>
                  <m:sty m:val="p"/>
                </m:rPr>
                <m:t>×</m:t>
              </m:r>
            </m:oMath>
            <w:r>
              <w:t xml:space="preserve"> </w:t>
            </w:r>
            <w:r>
              <w:t xml:space="preserve">Ordinal CapsNet</w:t>
            </w:r>
          </w:p>
        </w:tc>
        <w:tc>
          <w:tcPr/>
          <w:p>
            <w:pPr>
              <w:pStyle w:val="Compact"/>
              <w:jc w:val="center"/>
            </w:pPr>
            <w:r>
              <w:t xml:space="preserve">0.556</w:t>
            </w:r>
          </w:p>
        </w:tc>
        <w:tc>
          <w:tcPr/>
          <w:p>
            <w:pPr>
              <w:pStyle w:val="Compact"/>
              <w:jc w:val="center"/>
            </w:pPr>
            <w:r>
              <w:t xml:space="preserve">0.083</w:t>
            </w:r>
          </w:p>
        </w:tc>
        <w:tc>
          <w:tcPr/>
          <w:p>
            <w:pPr>
              <w:pStyle w:val="Compact"/>
              <w:jc w:val="center"/>
            </w:pPr>
            <w:r>
              <w:t xml:space="preserve">0.208</w:t>
            </w:r>
          </w:p>
        </w:tc>
        <w:tc>
          <w:tcPr/>
          <w:p>
            <w:pPr>
              <w:pStyle w:val="Compact"/>
              <w:jc w:val="center"/>
            </w:pPr>
            <w:r>
              <w:t xml:space="preserve">0.258</w:t>
            </w:r>
          </w:p>
        </w:tc>
        <w:tc>
          <w:tcPr/>
          <w:p>
            <w:pPr>
              <w:pStyle w:val="Compact"/>
              <w:jc w:val="center"/>
            </w:pPr>
            <w:r>
              <w:t xml:space="preserve">0.257</w:t>
            </w:r>
          </w:p>
        </w:tc>
        <w:tc>
          <w:tcPr/>
          <w:p>
            <w:pPr>
              <w:pStyle w:val="Compact"/>
              <w:jc w:val="center"/>
            </w:pPr>
            <w:r>
              <w:t xml:space="preserve">100%</w:t>
            </w:r>
          </w:p>
        </w:tc>
        <w:tc>
          <w:tcPr/>
          <w:p>
            <w:pPr>
              <w:pStyle w:val="Compact"/>
            </w:pPr>
          </w:p>
        </w:tc>
      </w:tr>
      <w:tr>
        <w:tc>
          <w:tcPr/>
          <w:p>
            <w:pPr>
              <w:pStyle w:val="Compact"/>
              <w:jc w:val="left"/>
            </w:pPr>
            <w:r>
              <w:t xml:space="preserve">Messidor-2</w:t>
            </w:r>
          </w:p>
        </w:tc>
        <w:tc>
          <w:tcPr/>
          <w:p>
            <w:pPr>
              <w:pStyle w:val="Compact"/>
              <w:jc w:val="left"/>
            </w:pPr>
            <w:r>
              <w:t xml:space="preserve">RETFound</w:t>
            </w:r>
            <w:r>
              <w:t xml:space="preserve"> </w:t>
            </w:r>
            <m:oMath>
              <m:r>
                <m:rPr>
                  <m:sty m:val="p"/>
                </m:rPr>
                <m:t>×</m:t>
              </m:r>
            </m:oMath>
            <w:r>
              <w:t xml:space="preserve"> </w:t>
            </w:r>
            <w:r>
              <w:t xml:space="preserve">MLP-K1</w:t>
            </w:r>
          </w:p>
        </w:tc>
        <w:tc>
          <w:tcPr/>
          <w:p>
            <w:pPr>
              <w:pStyle w:val="Compact"/>
              <w:jc w:val="center"/>
            </w:pPr>
            <w:r>
              <w:t xml:space="preserve">0.579</w:t>
            </w:r>
          </w:p>
        </w:tc>
        <w:tc>
          <w:tcPr/>
          <w:p>
            <w:pPr>
              <w:pStyle w:val="Compact"/>
              <w:jc w:val="center"/>
            </w:pPr>
            <w:r>
              <w:t xml:space="preserve">0.086</w:t>
            </w:r>
          </w:p>
        </w:tc>
        <w:tc>
          <w:tcPr/>
          <w:p>
            <w:pPr>
              <w:pStyle w:val="Compact"/>
              <w:jc w:val="center"/>
            </w:pPr>
            <w:r>
              <w:t xml:space="preserve">0.153</w:t>
            </w:r>
          </w:p>
        </w:tc>
        <w:tc>
          <w:tcPr/>
          <w:p>
            <w:pPr>
              <w:pStyle w:val="Compact"/>
              <w:jc w:val="center"/>
            </w:pPr>
            <w:r>
              <w:t xml:space="preserve">0.237</w:t>
            </w:r>
          </w:p>
        </w:tc>
        <w:tc>
          <w:tcPr/>
          <w:p>
            <w:pPr>
              <w:pStyle w:val="Compact"/>
              <w:jc w:val="center"/>
            </w:pPr>
            <w:r>
              <w:t xml:space="preserve">0.235</w:t>
            </w:r>
          </w:p>
        </w:tc>
        <w:tc>
          <w:tcPr/>
          <w:p>
            <w:pPr>
              <w:pStyle w:val="Compact"/>
              <w:jc w:val="center"/>
            </w:pPr>
            <w:r>
              <w:t xml:space="preserve">100%</w:t>
            </w:r>
          </w:p>
        </w:tc>
        <w:tc>
          <w:tcPr/>
          <w:p>
            <w:pPr>
              <w:pStyle w:val="Compact"/>
            </w:pPr>
          </w:p>
        </w:tc>
      </w:tr>
      <w:tr>
        <w:tc>
          <w:tcPr/>
          <w:p>
            <w:pPr>
              <w:pStyle w:val="Compact"/>
              <w:jc w:val="left"/>
            </w:pPr>
            <w:r>
              <w:t xml:space="preserve">Messidor-2</w:t>
            </w:r>
          </w:p>
        </w:tc>
        <w:tc>
          <w:tcPr/>
          <w:p>
            <w:pPr>
              <w:pStyle w:val="Compact"/>
              <w:jc w:val="left"/>
            </w:pPr>
            <w:r>
              <w:t xml:space="preserve">DINOv2</w:t>
            </w:r>
            <w:r>
              <w:t xml:space="preserve"> </w:t>
            </w:r>
            <m:oMath>
              <m:r>
                <m:rPr>
                  <m:sty m:val="p"/>
                </m:rPr>
                <m:t>×</m:t>
              </m:r>
            </m:oMath>
            <w:r>
              <w:t xml:space="preserve"> </w:t>
            </w:r>
            <w:r>
              <w:t xml:space="preserve">Ordinal CapsNet</w:t>
            </w:r>
          </w:p>
        </w:tc>
        <w:tc>
          <w:tcPr/>
          <w:p>
            <w:pPr>
              <w:pStyle w:val="Compact"/>
              <w:jc w:val="center"/>
            </w:pPr>
            <w:r>
              <w:t xml:space="preserve">0.658</w:t>
            </w:r>
          </w:p>
        </w:tc>
        <w:tc>
          <w:tcPr/>
          <w:p>
            <w:pPr>
              <w:pStyle w:val="Compact"/>
              <w:jc w:val="center"/>
            </w:pPr>
            <w:r>
              <w:t xml:space="preserve">0.132</w:t>
            </w:r>
          </w:p>
        </w:tc>
        <w:tc>
          <w:tcPr/>
          <w:p>
            <w:pPr>
              <w:pStyle w:val="Compact"/>
              <w:jc w:val="center"/>
            </w:pPr>
            <w:r>
              <w:t xml:space="preserve">0.231</w:t>
            </w:r>
          </w:p>
        </w:tc>
        <w:tc>
          <w:tcPr/>
          <w:p>
            <w:pPr>
              <w:pStyle w:val="Compact"/>
              <w:jc w:val="center"/>
            </w:pPr>
            <w:r>
              <w:t xml:space="preserve">0.187</w:t>
            </w:r>
          </w:p>
        </w:tc>
        <w:tc>
          <w:tcPr/>
          <w:p>
            <w:pPr>
              <w:pStyle w:val="Compact"/>
              <w:jc w:val="center"/>
            </w:pPr>
            <w:r>
              <w:t xml:space="preserve">0.187</w:t>
            </w:r>
          </w:p>
        </w:tc>
        <w:tc>
          <w:tcPr/>
          <w:p>
            <w:pPr>
              <w:pStyle w:val="Compact"/>
              <w:jc w:val="center"/>
            </w:pPr>
            <w:r>
              <w:t xml:space="preserve">100%</w:t>
            </w:r>
          </w:p>
        </w:tc>
        <w:tc>
          <w:tcPr/>
          <w:p>
            <w:pPr>
              <w:pStyle w:val="Compact"/>
            </w:pPr>
          </w:p>
        </w:tc>
      </w:tr>
      <w:tr>
        <w:tc>
          <w:tcPr/>
          <w:p>
            <w:pPr>
              <w:pStyle w:val="Compact"/>
              <w:jc w:val="left"/>
            </w:pPr>
            <w:r>
              <w:t xml:space="preserve">Messidor-2</w:t>
            </w:r>
          </w:p>
        </w:tc>
        <w:tc>
          <w:tcPr/>
          <w:p>
            <w:pPr>
              <w:pStyle w:val="Compact"/>
              <w:jc w:val="left"/>
            </w:pPr>
            <w:r>
              <w:t xml:space="preserve">DINOv2</w:t>
            </w:r>
            <w:r>
              <w:t xml:space="preserve"> </w:t>
            </w:r>
            <m:oMath>
              <m:r>
                <m:rPr>
                  <m:sty m:val="p"/>
                </m:rPr>
                <m:t>×</m:t>
              </m:r>
            </m:oMath>
            <w:r>
              <w:t xml:space="preserve"> </w:t>
            </w:r>
            <w:r>
              <w:t xml:space="preserve">MLP-K1</w:t>
            </w:r>
          </w:p>
        </w:tc>
        <w:tc>
          <w:tcPr/>
          <w:p>
            <w:pPr>
              <w:pStyle w:val="Compact"/>
              <w:jc w:val="center"/>
            </w:pPr>
            <w:r>
              <w:rPr>
                <w:b/>
                <w:bCs/>
              </w:rPr>
              <w:t xml:space="preserve">0.710</w:t>
            </w:r>
          </w:p>
        </w:tc>
        <w:tc>
          <w:tcPr/>
          <w:p>
            <w:pPr>
              <w:pStyle w:val="Compact"/>
              <w:jc w:val="center"/>
            </w:pPr>
            <w:r>
              <w:t xml:space="preserve">0.090</w:t>
            </w:r>
          </w:p>
        </w:tc>
        <w:tc>
          <w:tcPr/>
          <w:p>
            <w:pPr>
              <w:pStyle w:val="Compact"/>
              <w:jc w:val="center"/>
            </w:pPr>
            <w:r>
              <w:t xml:space="preserve">0.159</w:t>
            </w:r>
          </w:p>
        </w:tc>
        <w:tc>
          <w:tcPr/>
          <w:p>
            <w:pPr>
              <w:pStyle w:val="Compact"/>
              <w:jc w:val="center"/>
            </w:pPr>
            <w:r>
              <w:rPr>
                <w:b/>
                <w:bCs/>
              </w:rPr>
              <w:t xml:space="preserve">0.174</w:t>
            </w:r>
          </w:p>
        </w:tc>
        <w:tc>
          <w:tcPr/>
          <w:p>
            <w:pPr>
              <w:pStyle w:val="Compact"/>
              <w:jc w:val="center"/>
            </w:pPr>
            <w:r>
              <w:rPr>
                <w:b/>
                <w:bCs/>
              </w:rPr>
              <w:t xml:space="preserve">0.170</w:t>
            </w:r>
          </w:p>
        </w:tc>
        <w:tc>
          <w:tcPr/>
          <w:p>
            <w:pPr>
              <w:pStyle w:val="Compact"/>
              <w:jc w:val="center"/>
            </w:pPr>
            <w:r>
              <w:t xml:space="preserve">100%</w:t>
            </w:r>
          </w:p>
        </w:tc>
        <w:tc>
          <w:tcPr/>
          <w:p>
            <w:pPr>
              <w:pStyle w:val="Compact"/>
            </w:pPr>
          </w:p>
        </w:tc>
      </w:tr>
    </w:tbl>
    <w:bookmarkStart w:id="37" w:name="fig:reliability_aptos"/>
    <w:p>
      <w:pPr>
        <w:pStyle w:val="CaptionedFigure"/>
      </w:pPr>
      <w:r>
        <w:drawing>
          <wp:inline>
            <wp:extent cx="5334000" cy="4772526"/>
            <wp:effectExtent b="0" l="0" r="0" t="0"/>
            <wp:docPr descr="" title="" id="35" name="Picture"/>
            <a:graphic>
              <a:graphicData uri="http://schemas.openxmlformats.org/drawingml/2006/picture">
                <pic:pic>
                  <pic:nvPicPr>
                    <pic:cNvPr descr="figs/fig_reliability_aptos.pdf" id="36" name="Picture"/>
                    <pic:cNvPicPr>
                      <a:picLocks noChangeArrowheads="1" noChangeAspect="1"/>
                    </pic:cNvPicPr>
                  </pic:nvPicPr>
                  <pic:blipFill>
                    <a:blip r:embed="rId34"/>
                    <a:stretch>
                      <a:fillRect/>
                    </a:stretch>
                  </pic:blipFill>
                  <pic:spPr bwMode="auto">
                    <a:xfrm>
                      <a:off x="0" y="0"/>
                      <a:ext cx="5334000" cy="4772526"/>
                    </a:xfrm>
                    <a:prstGeom prst="rect">
                      <a:avLst/>
                    </a:prstGeom>
                    <a:noFill/>
                    <a:ln w="9525">
                      <a:noFill/>
                      <a:headEnd/>
                      <a:tailEnd/>
                    </a:ln>
                  </pic:spPr>
                </pic:pic>
              </a:graphicData>
            </a:graphic>
          </wp:inline>
        </w:drawing>
      </w:r>
    </w:p>
    <w:p>
      <w:pPr>
        <w:pStyle w:val="ImageCaption"/>
      </w:pPr>
      <w:r>
        <w:t xml:space="preserve">APTOS reliability diagrams for the four head</w:t>
      </w:r>
      <m:oMath>
        <m:r>
          <m:rPr>
            <m:sty m:val="p"/>
          </m:rPr>
          <m:t>×</m:t>
        </m:r>
      </m:oMath>
      <w:r>
        <w:t xml:space="preserve">backbone cells. Bubble size is bin weight. A perfectly calibrated head would lie on the dashed diagonal. The capsule heads (top-left, bottom-left) are systematically over-confident relative to the MLP-K1 sigmoid head.</w:t>
      </w:r>
    </w:p>
    <w:bookmarkEnd w:id="37"/>
    <w:bookmarkStart w:id="41" w:name="fig:risk_coverage_aptos"/>
    <w:p>
      <w:pPr>
        <w:pStyle w:val="CaptionedFigure"/>
      </w:pPr>
      <w:r>
        <w:drawing>
          <wp:inline>
            <wp:extent cx="5334000" cy="3667125"/>
            <wp:effectExtent b="0" l="0" r="0" t="0"/>
            <wp:docPr descr="" title="" id="39" name="Picture"/>
            <a:graphic>
              <a:graphicData uri="http://schemas.openxmlformats.org/drawingml/2006/picture">
                <pic:pic>
                  <pic:nvPicPr>
                    <pic:cNvPr descr="figs/fig_risk_coverage_aptos.pdf" id="40" name="Picture"/>
                    <pic:cNvPicPr>
                      <a:picLocks noChangeArrowheads="1" noChangeAspect="1"/>
                    </pic:cNvPicPr>
                  </pic:nvPicPr>
                  <pic:blipFill>
                    <a:blip r:embed="rId38"/>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APTOS risk–coverage curves (max-p selector). Lower is better. DINOv2 curves dominate RETFound curves; within each backbone, capsule and MLP heads are near-identical.</w:t>
      </w:r>
    </w:p>
    <w:bookmarkEnd w:id="41"/>
    <w:p>
      <w:pPr>
        <w:pStyle w:val="BodyText"/>
      </w:pPr>
      <w:r>
        <w:t xml:space="preserve">The capsule head is systematically worse-calibrated than the MLP-K1 sigmoid head on APTOS (ECE</w:t>
      </w:r>
      <w:r>
        <w:t xml:space="preserve"> </w:t>
      </w:r>
      <m:oMath>
        <m:r>
          <m:t>0.151</m:t>
        </m:r>
      </m:oMath>
      <w:r>
        <w:t xml:space="preserve"> </w:t>
      </w:r>
      <w:r>
        <w:t xml:space="preserve">vs. </w:t>
      </w:r>
      <m:oMath>
        <m:r>
          <m:t>0.091</m:t>
        </m:r>
      </m:oMath>
      <w:r>
        <w:t xml:space="preserve"> </w:t>
      </w:r>
      <w:r>
        <w:t xml:space="preserve">at RETFound;</w:t>
      </w:r>
      <w:r>
        <w:t xml:space="preserve"> </w:t>
      </w:r>
      <m:oMath>
        <m:r>
          <m:t>0.115</m:t>
        </m:r>
      </m:oMath>
      <w:r>
        <w:t xml:space="preserve"> </w:t>
      </w:r>
      <w:r>
        <w:t xml:space="preserve">vs. </w:t>
      </w:r>
      <m:oMath>
        <m:r>
          <m:t>0.102</m:t>
        </m:r>
      </m:oMath>
      <w:r>
        <w:t xml:space="preserve"> </w:t>
      </w:r>
      <w:r>
        <w:t xml:space="preserve">at DINOv2). The mechanistic reason is that the Sabour margin loss</w:t>
      </w:r>
      <w:r>
        <w:t xml:space="preserve"> </w:t>
      </w:r>
      <w:r>
        <w:t xml:space="preserve"> </w:t>
      </w:r>
      <w:r>
        <w:t xml:space="preserve">is a geometric clamping objective, not a proper scoring rule. It pushes the positive-capsule length above</w:t>
      </w:r>
      <w:r>
        <w:t xml:space="preserve"> </w:t>
      </w:r>
      <m:oMath>
        <m:sSup>
          <m:e>
            <m:r>
              <m:t>m</m:t>
            </m:r>
          </m:e>
          <m:sup>
            <m:r>
              <m:rPr>
                <m:sty m:val="p"/>
              </m:rPr>
              <m:t>+</m:t>
            </m:r>
          </m:sup>
        </m:sSup>
        <m:r>
          <m:rPr>
            <m:sty m:val="p"/>
          </m:rPr>
          <m:t>=</m:t>
        </m:r>
        <m:r>
          <m:t>0.9</m:t>
        </m:r>
      </m:oMath>
      <w:r>
        <w:t xml:space="preserve"> </w:t>
      </w:r>
      <w:r>
        <w:t xml:space="preserve">and the negative below</w:t>
      </w:r>
      <w:r>
        <w:t xml:space="preserve"> </w:t>
      </w:r>
      <m:oMath>
        <m:sSup>
          <m:e>
            <m:r>
              <m:t>m</m:t>
            </m:r>
          </m:e>
          <m:sup>
            <m:r>
              <m:rPr>
                <m:sty m:val="p"/>
              </m:rPr>
              <m:t>−</m:t>
            </m:r>
          </m:sup>
        </m:sSup>
        <m:r>
          <m:rPr>
            <m:sty m:val="p"/>
          </m:rPr>
          <m:t>=</m:t>
        </m:r>
        <m:r>
          <m:t>0.1</m:t>
        </m:r>
      </m:oMath>
      <w:r>
        <w:t xml:space="preserve"> </w:t>
      </w:r>
      <w:r>
        <w:t xml:space="preserve">regardless of the empirical base rate, whereas cross-entropy and log-loss on sigmoid outputs are minimised only when the predicted probability matches the true posterior. The non-linear squash further compresses vector magnitudes in a class-symmetric way that decouples length from observed frequency. The capsule’s high ECE is thus not a training artefact but a direct consequence of the loss. LoRA inherits the miscalibration (ECE</w:t>
      </w:r>
      <w:r>
        <w:t xml:space="preserve"> </w:t>
      </w:r>
      <m:oMath>
        <m:r>
          <m:t>0.141</m:t>
        </m:r>
      </m:oMath>
      <w:r>
        <w:t xml:space="preserve">) while improving discrimination.</w:t>
      </w:r>
    </w:p>
    <w:p>
      <w:pPr>
        <w:pStyle w:val="BodyText"/>
      </w:pPr>
      <w:r>
        <w:t xml:space="preserve">Temperature scaling</w:t>
      </w:r>
      <w:r>
        <w:t xml:space="preserve"> </w:t>
      </w:r>
      <w:r>
        <w:t xml:space="preserve"> </w:t>
      </w:r>
      <w:r>
        <w:t xml:space="preserve">recovers most of the ECE gap (Table </w:t>
      </w:r>
      <w:hyperlink w:anchor="tab:calibration_ts">
        <w:r>
          <w:rPr>
            <w:rStyle w:val="Hyperlink"/>
          </w:rPr>
          <w:t xml:space="preserve">[tab:calibration_ts]</w:t>
        </w:r>
      </w:hyperlink>
      <w:r>
        <w:t xml:space="preserve">). On APTOS the post-TS ECE is in the</w:t>
      </w:r>
      <w:r>
        <w:t xml:space="preserve"> </w:t>
      </w:r>
      <m:oMath>
        <m:r>
          <m:t>0.016</m:t>
        </m:r>
      </m:oMath>
      <w:r>
        <w:t xml:space="preserve"> </w:t>
      </w:r>
      <w:r>
        <w:t xml:space="preserve">to</w:t>
      </w:r>
      <w:r>
        <w:t xml:space="preserve"> </w:t>
      </w:r>
      <m:oMath>
        <m:r>
          <m:t>0.025</m:t>
        </m:r>
      </m:oMath>
      <w:r>
        <w:t xml:space="preserve"> </w:t>
      </w:r>
      <w:r>
        <w:t xml:space="preserve">range for every configuration, with fitted</w:t>
      </w:r>
      <w:r>
        <w:t xml:space="preserve"> </w:t>
      </w:r>
      <m:oMath>
        <m:r>
          <m:t>T</m:t>
        </m:r>
        <m:r>
          <m:rPr>
            <m:sty m:val="p"/>
          </m:rPr>
          <m:t>&lt;</m:t>
        </m:r>
        <m:r>
          <m:t>1</m:t>
        </m:r>
      </m:oMath>
      <w:r>
        <w:t xml:space="preserve"> </w:t>
      </w:r>
      <w:r>
        <w:t xml:space="preserve">everywhere (heads are over-confident and need softening). TS is less effective under domain shift (Messidor-2 post-TS ECE</w:t>
      </w:r>
      <w:r>
        <w:t xml:space="preserve"> </w:t>
      </w:r>
      <m:oMath>
        <m:r>
          <m:t>0.030</m:t>
        </m:r>
      </m:oMath>
      <w:r>
        <w:t xml:space="preserve"> </w:t>
      </w:r>
      <w:r>
        <w:t xml:space="preserve">to</w:t>
      </w:r>
      <w:r>
        <w:t xml:space="preserve"> </w:t>
      </w:r>
      <m:oMath>
        <m:r>
          <m:t>0.054</m:t>
        </m:r>
      </m:oMath>
      <w:r>
        <w:t xml:space="preserve">). It does not, however, close the Brier and NLL gap. Even post-TS, MLP-K1 ends up with the lowest Brier on Messidor-2 (</w:t>
      </w:r>
      <m:oMath>
        <m:r>
          <m:t>0.411</m:t>
        </m:r>
      </m:oMath>
      <w:r>
        <w:t xml:space="preserve"> </w:t>
      </w:r>
      <w:r>
        <w:t xml:space="preserve">vs. </w:t>
      </w:r>
      <m:oMath>
        <m:r>
          <m:t>0.444</m:t>
        </m:r>
      </m:oMath>
      <w:r>
        <w:t xml:space="preserve"> </w:t>
      </w:r>
      <w:r>
        <w:t xml:space="preserve">for DINOv2</w:t>
      </w:r>
      <w:r>
        <w:t xml:space="preserve"> </w:t>
      </w:r>
      <m:oMath>
        <m:r>
          <m:rPr>
            <m:sty m:val="p"/>
          </m:rPr>
          <m:t>×</m:t>
        </m:r>
      </m:oMath>
      <w:r>
        <w:t xml:space="preserve"> </w:t>
      </w:r>
      <w:r>
        <w:t xml:space="preserve">Ordinal CapsNet). The capsule head’s probability estimates are recoverable as calibrated scalars via TS, but their joint distribution over classes remains inferior to a plainer head.</w:t>
      </w:r>
    </w:p>
    <w:p>
      <w:pPr>
        <w:pStyle w:val="BodyText"/>
      </w:pPr>
      <w:r>
        <w:t xml:space="preserve">The capsule</w:t>
      </w:r>
      <w:r>
        <w:t xml:space="preserve"> </w:t>
      </w:r>
      <w:r>
        <w:rPr>
          <w:i/>
          <w:iCs/>
        </w:rPr>
        <w:t xml:space="preserve">prediction margin</w:t>
      </w:r>
      <w:r>
        <w:t xml:space="preserve"> </w:t>
      </w:r>
      <w:r>
        <w:t xml:space="preserve">is also a valid selective-prediction signal but not a unique one. AURC (margin) and AURC (max-p) agree within</w:t>
      </w:r>
      <w:r>
        <w:t xml:space="preserve"> </w:t>
      </w:r>
      <m:oMath>
        <m:r>
          <m:rPr>
            <m:sty m:val="p"/>
          </m:rPr>
          <m:t>±</m:t>
        </m:r>
        <m:r>
          <m:t>0.004</m:t>
        </m:r>
      </m:oMath>
      <w:r>
        <w:t xml:space="preserve"> </w:t>
      </w:r>
      <w:r>
        <w:t xml:space="preserve">on every cell, and a vanilla MLP-K1 top-2 margin matches both. The UQ value attributed in prior work to the capsule nonlinearity is duplicated by the chain-rule 5-class probabilities of any</w:t>
      </w:r>
      <w:r>
        <w:t xml:space="preserve"> </w:t>
      </w:r>
      <m:oMath>
        <m:r>
          <m:t>K</m:t>
        </m:r>
        <m:r>
          <m:rPr>
            <m:sty m:val="p"/>
          </m:rPr>
          <m:t>−</m:t>
        </m:r>
        <m:r>
          <m:t>1</m:t>
        </m:r>
      </m:oMath>
      <w:r>
        <w:t xml:space="preserve"> </w:t>
      </w:r>
      <w:r>
        <w:t xml:space="preserve">head, capsule or otherwise.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Dataset</w:t>
            </w:r>
          </w:p>
        </w:tc>
        <w:tc>
          <w:tcPr/>
          <w:p>
            <w:pPr>
              <w:pStyle w:val="Compact"/>
              <w:jc w:val="left"/>
            </w:pPr>
            <w:r>
              <w:t xml:space="preserve">Model</w:t>
            </w:r>
          </w:p>
        </w:tc>
        <w:tc>
          <w:tcPr/>
          <w:p>
            <w:pPr>
              <w:pStyle w:val="Compact"/>
              <w:jc w:val="center"/>
            </w:pPr>
            <w:r>
              <w:t xml:space="preserve">T</w:t>
            </w:r>
          </w:p>
        </w:tc>
        <w:tc>
          <w:tcPr/>
          <w:p>
            <w:pPr>
              <w:pStyle w:val="Compact"/>
              <w:jc w:val="center"/>
            </w:pPr>
            <w:r>
              <w:t xml:space="preserve">ECE</w:t>
            </w:r>
            <m:oMath>
              <m:sSup>
                <m:e>
                  <m:r>
                    <m:t>​</m:t>
                  </m:r>
                </m:e>
                <m:sup>
                  <m:r>
                    <m:rPr>
                      <m:nor/>
                      <m:sty m:val="p"/>
                    </m:rPr>
                    <m:t>pre</m:t>
                  </m:r>
                </m:sup>
              </m:sSup>
            </m:oMath>
          </w:p>
        </w:tc>
        <w:tc>
          <w:tcPr/>
          <w:p>
            <w:pPr>
              <w:pStyle w:val="Compact"/>
              <w:jc w:val="center"/>
            </w:pPr>
            <w:r>
              <w:t xml:space="preserve">ECE</w:t>
            </w:r>
            <m:oMath>
              <m:sSup>
                <m:e>
                  <m:r>
                    <m:t>​</m:t>
                  </m:r>
                </m:e>
                <m:sup>
                  <m:r>
                    <m:rPr>
                      <m:nor/>
                      <m:sty m:val="p"/>
                    </m:rPr>
                    <m:t>post</m:t>
                  </m:r>
                </m:sup>
              </m:sSup>
            </m:oMath>
          </w:p>
        </w:tc>
        <w:tc>
          <w:tcPr/>
          <w:p>
            <w:pPr>
              <w:pStyle w:val="Compact"/>
              <w:jc w:val="center"/>
            </w:pPr>
            <w:r>
              <w:t xml:space="preserve">Brier</w:t>
            </w:r>
            <m:oMath>
              <m:sSup>
                <m:e>
                  <m:r>
                    <m:t>​</m:t>
                  </m:r>
                </m:e>
                <m:sup>
                  <m:r>
                    <m:rPr>
                      <m:nor/>
                      <m:sty m:val="p"/>
                    </m:rPr>
                    <m:t>post</m:t>
                  </m:r>
                </m:sup>
              </m:sSup>
            </m:oMath>
          </w:p>
        </w:tc>
        <w:tc>
          <w:tcPr/>
          <w:p>
            <w:pPr>
              <w:pStyle w:val="Compact"/>
              <w:jc w:val="center"/>
            </w:pPr>
            <w:r>
              <w:t xml:space="preserve">NLL</w:t>
            </w:r>
            <m:oMath>
              <m:sSup>
                <m:e>
                  <m:r>
                    <m:t>​</m:t>
                  </m:r>
                </m:e>
                <m:sup>
                  <m:r>
                    <m:rPr>
                      <m:nor/>
                      <m:sty m:val="p"/>
                    </m:rPr>
                    <m:t>post</m:t>
                  </m:r>
                </m:sup>
              </m:sSup>
            </m:oMath>
          </w:p>
        </w:tc>
        <w:tc>
          <w:tcPr/>
          <w:p>
            <w:pPr>
              <w:pStyle w:val="Compact"/>
            </w:pPr>
          </w:p>
        </w:tc>
      </w:tr>
      <w:tr>
        <w:tc>
          <w:tcPr/>
          <w:p>
            <w:pPr>
              <w:pStyle w:val="Compact"/>
              <w:jc w:val="left"/>
            </w:pPr>
            <w:r>
              <w:t xml:space="preserve">APTOS</w:t>
            </w:r>
          </w:p>
        </w:tc>
        <w:tc>
          <w:tcPr/>
          <w:p>
            <w:pPr>
              <w:pStyle w:val="Compact"/>
              <w:jc w:val="left"/>
            </w:pPr>
            <w:r>
              <w:t xml:space="preserve">RET</w:t>
            </w:r>
            <m:oMath>
              <m:r>
                <m:rPr>
                  <m:sty m:val="p"/>
                </m:rPr>
                <m:t>×</m:t>
              </m:r>
            </m:oMath>
            <w:r>
              <w:t xml:space="preserve">Ord. Caps</w:t>
            </w:r>
          </w:p>
        </w:tc>
        <w:tc>
          <w:tcPr/>
          <w:p>
            <w:pPr>
              <w:pStyle w:val="Compact"/>
              <w:jc w:val="center"/>
            </w:pPr>
            <w:r>
              <w:t xml:space="preserve">0.57</w:t>
            </w:r>
          </w:p>
        </w:tc>
        <w:tc>
          <w:tcPr/>
          <w:p>
            <w:pPr>
              <w:pStyle w:val="Compact"/>
              <w:jc w:val="center"/>
            </w:pPr>
            <w:r>
              <w:t xml:space="preserve">0.152</w:t>
            </w:r>
          </w:p>
        </w:tc>
        <w:tc>
          <w:tcPr/>
          <w:p>
            <w:pPr>
              <w:pStyle w:val="Compact"/>
              <w:jc w:val="center"/>
            </w:pPr>
            <w:r>
              <w:t xml:space="preserve">0.016</w:t>
            </w:r>
          </w:p>
        </w:tc>
        <w:tc>
          <w:tcPr/>
          <w:p>
            <w:pPr>
              <w:pStyle w:val="Compact"/>
              <w:jc w:val="center"/>
            </w:pPr>
            <w:r>
              <w:t xml:space="preserve">0.286</w:t>
            </w:r>
          </w:p>
        </w:tc>
        <w:tc>
          <w:tcPr/>
          <w:p>
            <w:pPr>
              <w:pStyle w:val="Compact"/>
              <w:jc w:val="center"/>
            </w:pPr>
            <w:r>
              <w:t xml:space="preserve">0.568</w:t>
            </w:r>
          </w:p>
        </w:tc>
        <w:tc>
          <w:tcPr/>
          <w:p>
            <w:pPr>
              <w:pStyle w:val="Compact"/>
            </w:pPr>
          </w:p>
        </w:tc>
      </w:tr>
      <w:tr>
        <w:tc>
          <w:tcPr/>
          <w:p>
            <w:pPr>
              <w:pStyle w:val="Compact"/>
              <w:jc w:val="left"/>
            </w:pPr>
            <w:r>
              <w:t xml:space="preserve">APTOS</w:t>
            </w:r>
          </w:p>
        </w:tc>
        <w:tc>
          <w:tcPr/>
          <w:p>
            <w:pPr>
              <w:pStyle w:val="Compact"/>
              <w:jc w:val="left"/>
            </w:pPr>
            <w:r>
              <w:t xml:space="preserve">RET</w:t>
            </w:r>
            <m:oMath>
              <m:r>
                <m:rPr>
                  <m:sty m:val="p"/>
                </m:rPr>
                <m:t>×</m:t>
              </m:r>
            </m:oMath>
            <w:r>
              <w:t xml:space="preserve">MLP-K1</w:t>
            </w:r>
          </w:p>
        </w:tc>
        <w:tc>
          <w:tcPr/>
          <w:p>
            <w:pPr>
              <w:pStyle w:val="Compact"/>
              <w:jc w:val="center"/>
            </w:pPr>
            <w:r>
              <w:t xml:space="preserve">0.68</w:t>
            </w:r>
          </w:p>
        </w:tc>
        <w:tc>
          <w:tcPr/>
          <w:p>
            <w:pPr>
              <w:pStyle w:val="Compact"/>
              <w:jc w:val="center"/>
            </w:pPr>
            <w:r>
              <w:t xml:space="preserve">0.090</w:t>
            </w:r>
          </w:p>
        </w:tc>
        <w:tc>
          <w:tcPr/>
          <w:p>
            <w:pPr>
              <w:pStyle w:val="Compact"/>
              <w:jc w:val="center"/>
            </w:pPr>
            <w:r>
              <w:t xml:space="preserve">0.025</w:t>
            </w:r>
          </w:p>
        </w:tc>
        <w:tc>
          <w:tcPr/>
          <w:p>
            <w:pPr>
              <w:pStyle w:val="Compact"/>
              <w:jc w:val="center"/>
            </w:pPr>
            <w:r>
              <w:rPr>
                <w:b/>
                <w:bCs/>
              </w:rPr>
              <w:t xml:space="preserve">0.289</w:t>
            </w:r>
          </w:p>
        </w:tc>
        <w:tc>
          <w:tcPr/>
          <w:p>
            <w:pPr>
              <w:pStyle w:val="Compact"/>
              <w:jc w:val="center"/>
            </w:pPr>
            <w:r>
              <w:t xml:space="preserve">0.577</w:t>
            </w:r>
          </w:p>
        </w:tc>
        <w:tc>
          <w:tcPr/>
          <w:p>
            <w:pPr>
              <w:pStyle w:val="Compact"/>
            </w:pPr>
          </w:p>
        </w:tc>
      </w:tr>
      <w:tr>
        <w:tc>
          <w:tcPr/>
          <w:p>
            <w:pPr>
              <w:pStyle w:val="Compact"/>
              <w:jc w:val="left"/>
            </w:pPr>
            <w:r>
              <w:t xml:space="preserve">APTOS</w:t>
            </w:r>
          </w:p>
        </w:tc>
        <w:tc>
          <w:tcPr/>
          <w:p>
            <w:pPr>
              <w:pStyle w:val="Compact"/>
              <w:jc w:val="left"/>
            </w:pPr>
            <w:r>
              <w:t xml:space="preserve">DINO</w:t>
            </w:r>
            <m:oMath>
              <m:r>
                <m:rPr>
                  <m:sty m:val="p"/>
                </m:rPr>
                <m:t>×</m:t>
              </m:r>
            </m:oMath>
            <w:r>
              <w:t xml:space="preserve">Ord. Caps</w:t>
            </w:r>
          </w:p>
        </w:tc>
        <w:tc>
          <w:tcPr/>
          <w:p>
            <w:pPr>
              <w:pStyle w:val="Compact"/>
              <w:jc w:val="center"/>
            </w:pPr>
            <w:r>
              <w:t xml:space="preserve">0.63</w:t>
            </w:r>
          </w:p>
        </w:tc>
        <w:tc>
          <w:tcPr/>
          <w:p>
            <w:pPr>
              <w:pStyle w:val="Compact"/>
              <w:jc w:val="center"/>
            </w:pPr>
            <w:r>
              <w:t xml:space="preserve">0.119</w:t>
            </w:r>
          </w:p>
        </w:tc>
        <w:tc>
          <w:tcPr/>
          <w:p>
            <w:pPr>
              <w:pStyle w:val="Compact"/>
              <w:jc w:val="center"/>
            </w:pPr>
            <w:r>
              <w:t xml:space="preserve">0.020</w:t>
            </w:r>
          </w:p>
        </w:tc>
        <w:tc>
          <w:tcPr/>
          <w:p>
            <w:pPr>
              <w:pStyle w:val="Compact"/>
              <w:jc w:val="center"/>
            </w:pPr>
            <w:r>
              <w:t xml:space="preserve">0.262</w:t>
            </w:r>
          </w:p>
        </w:tc>
        <w:tc>
          <w:tcPr/>
          <w:p>
            <w:pPr>
              <w:pStyle w:val="Compact"/>
              <w:jc w:val="center"/>
            </w:pPr>
            <w:r>
              <w:t xml:space="preserve">0.522</w:t>
            </w:r>
          </w:p>
        </w:tc>
        <w:tc>
          <w:tcPr/>
          <w:p>
            <w:pPr>
              <w:pStyle w:val="Compact"/>
            </w:pPr>
          </w:p>
        </w:tc>
      </w:tr>
      <w:tr>
        <w:tc>
          <w:tcPr/>
          <w:p>
            <w:pPr>
              <w:pStyle w:val="Compact"/>
              <w:jc w:val="left"/>
            </w:pPr>
            <w:r>
              <w:t xml:space="preserve">APTOS</w:t>
            </w:r>
          </w:p>
        </w:tc>
        <w:tc>
          <w:tcPr/>
          <w:p>
            <w:pPr>
              <w:pStyle w:val="Compact"/>
              <w:jc w:val="left"/>
            </w:pPr>
            <w:r>
              <w:t xml:space="preserve">DINO</w:t>
            </w:r>
            <m:oMath>
              <m:r>
                <m:rPr>
                  <m:sty m:val="p"/>
                </m:rPr>
                <m:t>×</m:t>
              </m:r>
            </m:oMath>
            <w:r>
              <w:t xml:space="preserve">MLP-K1</w:t>
            </w:r>
          </w:p>
        </w:tc>
        <w:tc>
          <w:tcPr/>
          <w:p>
            <w:pPr>
              <w:pStyle w:val="Compact"/>
              <w:jc w:val="center"/>
            </w:pPr>
            <w:r>
              <w:t xml:space="preserve">0.60</w:t>
            </w:r>
          </w:p>
        </w:tc>
        <w:tc>
          <w:tcPr/>
          <w:p>
            <w:pPr>
              <w:pStyle w:val="Compact"/>
              <w:jc w:val="center"/>
            </w:pPr>
            <w:r>
              <w:t xml:space="preserve">0.099</w:t>
            </w:r>
          </w:p>
        </w:tc>
        <w:tc>
          <w:tcPr/>
          <w:p>
            <w:pPr>
              <w:pStyle w:val="Compact"/>
              <w:jc w:val="center"/>
            </w:pPr>
            <w:r>
              <w:rPr>
                <w:b/>
                <w:bCs/>
              </w:rPr>
              <w:t xml:space="preserve">0.016</w:t>
            </w:r>
          </w:p>
        </w:tc>
        <w:tc>
          <w:tcPr/>
          <w:p>
            <w:pPr>
              <w:pStyle w:val="Compact"/>
              <w:jc w:val="center"/>
            </w:pPr>
            <w:r>
              <w:t xml:space="preserve">0.265</w:t>
            </w:r>
          </w:p>
        </w:tc>
        <w:tc>
          <w:tcPr/>
          <w:p>
            <w:pPr>
              <w:pStyle w:val="Compact"/>
              <w:jc w:val="center"/>
            </w:pPr>
            <w:r>
              <w:rPr>
                <w:b/>
                <w:bCs/>
              </w:rPr>
              <w:t xml:space="preserve">0.500</w:t>
            </w:r>
          </w:p>
        </w:tc>
        <w:tc>
          <w:tcPr/>
          <w:p>
            <w:pPr>
              <w:pStyle w:val="Compact"/>
            </w:pPr>
          </w:p>
        </w:tc>
      </w:tr>
      <w:tr>
        <w:tc>
          <w:tcPr/>
          <w:p>
            <w:pPr>
              <w:pStyle w:val="Compact"/>
              <w:jc w:val="left"/>
            </w:pPr>
            <w:r>
              <w:t xml:space="preserve">APTOS</w:t>
            </w:r>
          </w:p>
        </w:tc>
        <w:tc>
          <w:tcPr/>
          <w:p>
            <w:pPr>
              <w:pStyle w:val="Compact"/>
              <w:jc w:val="left"/>
            </w:pPr>
            <w:r>
              <w:t xml:space="preserve">RET</w:t>
            </w:r>
            <m:oMath>
              <m:r>
                <m:rPr>
                  <m:sty m:val="p"/>
                </m:rPr>
                <m:t>×</m:t>
              </m:r>
            </m:oMath>
            <w:r>
              <w:t xml:space="preserve">Ord. + LoRA</w:t>
            </w:r>
          </w:p>
        </w:tc>
        <w:tc>
          <w:tcPr/>
          <w:p>
            <w:pPr>
              <w:pStyle w:val="Compact"/>
              <w:jc w:val="center"/>
            </w:pPr>
            <w:r>
              <w:t xml:space="preserve">0.61</w:t>
            </w:r>
          </w:p>
        </w:tc>
        <w:tc>
          <w:tcPr/>
          <w:p>
            <w:pPr>
              <w:pStyle w:val="Compact"/>
              <w:jc w:val="center"/>
            </w:pPr>
            <w:r>
              <w:t xml:space="preserve">0.142</w:t>
            </w:r>
          </w:p>
        </w:tc>
        <w:tc>
          <w:tcPr/>
          <w:p>
            <w:pPr>
              <w:pStyle w:val="Compact"/>
              <w:jc w:val="center"/>
            </w:pPr>
            <w:r>
              <w:t xml:space="preserve">0.020</w:t>
            </w:r>
          </w:p>
        </w:tc>
        <w:tc>
          <w:tcPr/>
          <w:p>
            <w:pPr>
              <w:pStyle w:val="Compact"/>
              <w:jc w:val="center"/>
            </w:pPr>
            <w:r>
              <w:rPr>
                <w:b/>
                <w:bCs/>
              </w:rPr>
              <w:t xml:space="preserve">0.253</w:t>
            </w:r>
          </w:p>
        </w:tc>
        <w:tc>
          <w:tcPr/>
          <w:p>
            <w:pPr>
              <w:pStyle w:val="Compact"/>
              <w:jc w:val="center"/>
            </w:pPr>
            <w:r>
              <w:t xml:space="preserve">0.511</w:t>
            </w:r>
          </w:p>
        </w:tc>
        <w:tc>
          <w:tcPr/>
          <w:p>
            <w:pPr>
              <w:pStyle w:val="Compact"/>
            </w:pPr>
          </w:p>
        </w:tc>
      </w:tr>
      <w:tr>
        <w:tc>
          <w:tcPr/>
          <w:p>
            <w:pPr>
              <w:pStyle w:val="Compact"/>
              <w:jc w:val="left"/>
            </w:pPr>
            <w:r>
              <w:t xml:space="preserve">Mess-2</w:t>
            </w:r>
          </w:p>
        </w:tc>
        <w:tc>
          <w:tcPr/>
          <w:p>
            <w:pPr>
              <w:pStyle w:val="Compact"/>
              <w:jc w:val="left"/>
            </w:pPr>
            <w:r>
              <w:t xml:space="preserve">RET</w:t>
            </w:r>
            <m:oMath>
              <m:r>
                <m:rPr>
                  <m:sty m:val="p"/>
                </m:rPr>
                <m:t>×</m:t>
              </m:r>
            </m:oMath>
            <w:r>
              <w:t xml:space="preserve">Ord. Caps</w:t>
            </w:r>
          </w:p>
        </w:tc>
        <w:tc>
          <w:tcPr/>
          <w:p>
            <w:pPr>
              <w:pStyle w:val="Compact"/>
              <w:jc w:val="center"/>
            </w:pPr>
            <w:r>
              <w:t xml:space="preserve">0.72</w:t>
            </w:r>
          </w:p>
        </w:tc>
        <w:tc>
          <w:tcPr/>
          <w:p>
            <w:pPr>
              <w:pStyle w:val="Compact"/>
              <w:jc w:val="center"/>
            </w:pPr>
            <w:r>
              <w:t xml:space="preserve">0.091</w:t>
            </w:r>
          </w:p>
        </w:tc>
        <w:tc>
          <w:tcPr/>
          <w:p>
            <w:pPr>
              <w:pStyle w:val="Compact"/>
              <w:jc w:val="center"/>
            </w:pPr>
            <w:r>
              <w:t xml:space="preserve">0.054</w:t>
            </w:r>
          </w:p>
        </w:tc>
        <w:tc>
          <w:tcPr/>
          <w:p>
            <w:pPr>
              <w:pStyle w:val="Compact"/>
              <w:jc w:val="center"/>
            </w:pPr>
            <w:r>
              <w:t xml:space="preserve">0.527</w:t>
            </w:r>
          </w:p>
        </w:tc>
        <w:tc>
          <w:tcPr/>
          <w:p>
            <w:pPr>
              <w:pStyle w:val="Compact"/>
              <w:jc w:val="center"/>
            </w:pPr>
            <w:r>
              <w:t xml:space="preserve">0.999</w:t>
            </w:r>
          </w:p>
        </w:tc>
        <w:tc>
          <w:tcPr/>
          <w:p>
            <w:pPr>
              <w:pStyle w:val="Compact"/>
            </w:pPr>
          </w:p>
        </w:tc>
      </w:tr>
      <w:tr>
        <w:tc>
          <w:tcPr/>
          <w:p>
            <w:pPr>
              <w:pStyle w:val="Compact"/>
              <w:jc w:val="left"/>
            </w:pPr>
            <w:r>
              <w:t xml:space="preserve">Mess-2</w:t>
            </w:r>
          </w:p>
        </w:tc>
        <w:tc>
          <w:tcPr/>
          <w:p>
            <w:pPr>
              <w:pStyle w:val="Compact"/>
              <w:jc w:val="left"/>
            </w:pPr>
            <w:r>
              <w:t xml:space="preserve">RET</w:t>
            </w:r>
            <m:oMath>
              <m:r>
                <m:rPr>
                  <m:sty m:val="p"/>
                </m:rPr>
                <m:t>×</m:t>
              </m:r>
            </m:oMath>
            <w:r>
              <w:t xml:space="preserve">MLP-K1</w:t>
            </w:r>
          </w:p>
        </w:tc>
        <w:tc>
          <w:tcPr/>
          <w:p>
            <w:pPr>
              <w:pStyle w:val="Compact"/>
              <w:jc w:val="center"/>
            </w:pPr>
            <w:r>
              <w:t xml:space="preserve">0.69</w:t>
            </w:r>
          </w:p>
        </w:tc>
        <w:tc>
          <w:tcPr/>
          <w:p>
            <w:pPr>
              <w:pStyle w:val="Compact"/>
              <w:jc w:val="center"/>
            </w:pPr>
            <w:r>
              <w:t xml:space="preserve">0.096</w:t>
            </w:r>
          </w:p>
        </w:tc>
        <w:tc>
          <w:tcPr/>
          <w:p>
            <w:pPr>
              <w:pStyle w:val="Compact"/>
              <w:jc w:val="center"/>
            </w:pPr>
            <w:r>
              <w:t xml:space="preserve">0.030</w:t>
            </w:r>
          </w:p>
        </w:tc>
        <w:tc>
          <w:tcPr/>
          <w:p>
            <w:pPr>
              <w:pStyle w:val="Compact"/>
              <w:jc w:val="center"/>
            </w:pPr>
            <w:r>
              <w:t xml:space="preserve">0.514</w:t>
            </w:r>
          </w:p>
        </w:tc>
        <w:tc>
          <w:tcPr/>
          <w:p>
            <w:pPr>
              <w:pStyle w:val="Compact"/>
              <w:jc w:val="center"/>
            </w:pPr>
            <w:r>
              <w:t xml:space="preserve">0.981</w:t>
            </w:r>
          </w:p>
        </w:tc>
        <w:tc>
          <w:tcPr/>
          <w:p>
            <w:pPr>
              <w:pStyle w:val="Compact"/>
            </w:pPr>
          </w:p>
        </w:tc>
      </w:tr>
      <w:tr>
        <w:tc>
          <w:tcPr/>
          <w:p>
            <w:pPr>
              <w:pStyle w:val="Compact"/>
              <w:jc w:val="left"/>
            </w:pPr>
            <w:r>
              <w:t xml:space="preserve">Mess-2</w:t>
            </w:r>
          </w:p>
        </w:tc>
        <w:tc>
          <w:tcPr/>
          <w:p>
            <w:pPr>
              <w:pStyle w:val="Compact"/>
              <w:jc w:val="left"/>
            </w:pPr>
            <w:r>
              <w:t xml:space="preserve">DINO</w:t>
            </w:r>
            <m:oMath>
              <m:r>
                <m:rPr>
                  <m:sty m:val="p"/>
                </m:rPr>
                <m:t>×</m:t>
              </m:r>
            </m:oMath>
            <w:r>
              <w:t xml:space="preserve">Ord. Caps</w:t>
            </w:r>
          </w:p>
        </w:tc>
        <w:tc>
          <w:tcPr/>
          <w:p>
            <w:pPr>
              <w:pStyle w:val="Compact"/>
              <w:jc w:val="center"/>
            </w:pPr>
            <w:r>
              <w:t xml:space="preserve">0.61</w:t>
            </w:r>
          </w:p>
        </w:tc>
        <w:tc>
          <w:tcPr/>
          <w:p>
            <w:pPr>
              <w:pStyle w:val="Compact"/>
              <w:jc w:val="center"/>
            </w:pPr>
            <w:r>
              <w:t xml:space="preserve">0.134</w:t>
            </w:r>
          </w:p>
        </w:tc>
        <w:tc>
          <w:tcPr/>
          <w:p>
            <w:pPr>
              <w:pStyle w:val="Compact"/>
              <w:jc w:val="center"/>
            </w:pPr>
            <w:r>
              <w:t xml:space="preserve">0.047</w:t>
            </w:r>
          </w:p>
        </w:tc>
        <w:tc>
          <w:tcPr/>
          <w:p>
            <w:pPr>
              <w:pStyle w:val="Compact"/>
              <w:jc w:val="center"/>
            </w:pPr>
            <w:r>
              <w:t xml:space="preserve">0.444</w:t>
            </w:r>
          </w:p>
        </w:tc>
        <w:tc>
          <w:tcPr/>
          <w:p>
            <w:pPr>
              <w:pStyle w:val="Compact"/>
              <w:jc w:val="center"/>
            </w:pPr>
            <w:r>
              <w:t xml:space="preserve">0.840</w:t>
            </w:r>
          </w:p>
        </w:tc>
        <w:tc>
          <w:tcPr/>
          <w:p>
            <w:pPr>
              <w:pStyle w:val="Compact"/>
            </w:pPr>
          </w:p>
        </w:tc>
      </w:tr>
      <w:tr>
        <w:tc>
          <w:tcPr/>
          <w:p>
            <w:pPr>
              <w:pStyle w:val="Compact"/>
              <w:jc w:val="left"/>
            </w:pPr>
            <w:r>
              <w:t xml:space="preserve">Mess-2</w:t>
            </w:r>
          </w:p>
        </w:tc>
        <w:tc>
          <w:tcPr/>
          <w:p>
            <w:pPr>
              <w:pStyle w:val="Compact"/>
              <w:jc w:val="left"/>
            </w:pPr>
            <w:r>
              <w:t xml:space="preserve">DINO</w:t>
            </w:r>
            <m:oMath>
              <m:r>
                <m:rPr>
                  <m:sty m:val="p"/>
                </m:rPr>
                <m:t>×</m:t>
              </m:r>
            </m:oMath>
            <w:r>
              <w:t xml:space="preserve">MLP-K1</w:t>
            </w:r>
          </w:p>
        </w:tc>
        <w:tc>
          <w:tcPr/>
          <w:p>
            <w:pPr>
              <w:pStyle w:val="Compact"/>
              <w:jc w:val="center"/>
            </w:pPr>
            <w:r>
              <w:t xml:space="preserve">0.72</w:t>
            </w:r>
          </w:p>
        </w:tc>
        <w:tc>
          <w:tcPr/>
          <w:p>
            <w:pPr>
              <w:pStyle w:val="Compact"/>
              <w:jc w:val="center"/>
            </w:pPr>
            <w:r>
              <w:t xml:space="preserve">0.097</w:t>
            </w:r>
          </w:p>
        </w:tc>
        <w:tc>
          <w:tcPr/>
          <w:p>
            <w:pPr>
              <w:pStyle w:val="Compact"/>
              <w:jc w:val="center"/>
            </w:pPr>
            <w:r>
              <w:rPr>
                <w:b/>
                <w:bCs/>
              </w:rPr>
              <w:t xml:space="preserve">0.032</w:t>
            </w:r>
          </w:p>
        </w:tc>
        <w:tc>
          <w:tcPr/>
          <w:p>
            <w:pPr>
              <w:pStyle w:val="Compact"/>
              <w:jc w:val="center"/>
            </w:pPr>
            <w:r>
              <w:rPr>
                <w:b/>
                <w:bCs/>
              </w:rPr>
              <w:t xml:space="preserve">0.411</w:t>
            </w:r>
          </w:p>
        </w:tc>
        <w:tc>
          <w:tcPr/>
          <w:p>
            <w:pPr>
              <w:pStyle w:val="Compact"/>
              <w:jc w:val="center"/>
            </w:pPr>
            <w:r>
              <w:rPr>
                <w:b/>
                <w:bCs/>
              </w:rPr>
              <w:t xml:space="preserve">0.756</w:t>
            </w:r>
          </w:p>
        </w:tc>
        <w:tc>
          <w:tcPr/>
          <w:p>
            <w:pPr>
              <w:pStyle w:val="Compact"/>
            </w:pPr>
          </w:p>
        </w:tc>
      </w:tr>
    </w:tbl>
    <w:bookmarkEnd w:id="42"/>
    <w:bookmarkStart w:id="44" w:name="sec:conformal"/>
    <w:p>
      <w:pPr>
        <w:pStyle w:val="Heading2"/>
      </w:pPr>
      <w:r>
        <w:t xml:space="preserve">Conformal prediction</w:t>
      </w:r>
    </w:p>
    <w:p>
      <w:pPr>
        <w:pStyle w:val="FirstParagraph"/>
      </w:pPr>
      <w:r>
        <w:t xml:space="preserve">Calibration is miscalibrated because the margin loss does not encourage it; conformal prediction sidesteps the problem by producing coverage guarantees that depend only on exchangeability, not on probability calibration. Table </w:t>
      </w:r>
      <w:hyperlink w:anchor="tab:conformal">
        <w:r>
          <w:rPr>
            <w:rStyle w:val="Hyperlink"/>
          </w:rPr>
          <w:t xml:space="preserve">[tab:conformal]</w:t>
        </w:r>
      </w:hyperlink>
      <w:r>
        <w:t xml:space="preserve"> </w:t>
      </w:r>
      <w:r>
        <w:t xml:space="preserve">shows marginal coverage and average set size at</w:t>
      </w:r>
      <w:r>
        <w:t xml:space="preserve"> </w:t>
      </w:r>
      <m:oMath>
        <m:r>
          <m:t>α</m:t>
        </m:r>
        <m:r>
          <m:rPr>
            <m:sty m:val="p"/>
          </m:rPr>
          <m:t>=</m:t>
        </m:r>
        <m:r>
          <m:t>0.10</m:t>
        </m:r>
      </m:oMath>
      <w:r>
        <w:t xml:space="preserve"> </w:t>
      </w:r>
      <w:r>
        <w:t xml:space="preserve">for all nine configurations, averaged over five random cal/test splits.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Dataset</w:t>
            </w:r>
          </w:p>
        </w:tc>
        <w:tc>
          <w:tcPr/>
          <w:p>
            <w:pPr>
              <w:pStyle w:val="Compact"/>
              <w:jc w:val="left"/>
            </w:pPr>
            <w:r>
              <w:t xml:space="preserve">Model</w:t>
            </w:r>
          </w:p>
        </w:tc>
        <w:tc>
          <w:tcPr/>
          <w:p>
            <w:pPr>
              <w:pStyle w:val="Compact"/>
              <w:jc w:val="center"/>
            </w:pPr>
            <w:r>
              <w:t xml:space="preserve">Marginal cov.</w:t>
            </w:r>
          </w:p>
        </w:tc>
        <w:tc>
          <w:tcPr/>
          <w:p>
            <w:pPr>
              <w:pStyle w:val="Compact"/>
              <w:jc w:val="center"/>
            </w:pPr>
            <w:r>
              <w:t xml:space="preserve">Mean</w:t>
            </w:r>
            <w:r>
              <w:t xml:space="preserve"> </w:t>
            </w:r>
            <m:oMath>
              <m:r>
                <m:rPr>
                  <m:sty m:val="p"/>
                </m:rPr>
                <m:t>|</m:t>
              </m:r>
              <m:r>
                <m:t>S</m:t>
              </m:r>
              <m:r>
                <m:rPr>
                  <m:sty m:val="p"/>
                </m:rPr>
                <m:t>|</m:t>
              </m:r>
            </m:oMath>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Ordinal CapsNet</w:t>
            </w:r>
          </w:p>
        </w:tc>
        <w:tc>
          <w:tcPr/>
          <w:p>
            <w:pPr>
              <w:pStyle w:val="Compact"/>
              <w:jc w:val="center"/>
            </w:pPr>
            <m:oMath>
              <m:r>
                <m:t>0.902</m:t>
              </m:r>
              <m:r>
                <m:rPr>
                  <m:sty m:val="p"/>
                </m:rPr>
                <m:t>±</m:t>
              </m:r>
              <m:r>
                <m:t>0.005</m:t>
              </m:r>
            </m:oMath>
          </w:p>
        </w:tc>
        <w:tc>
          <w:tcPr/>
          <w:p>
            <w:pPr>
              <w:pStyle w:val="Compact"/>
              <w:jc w:val="center"/>
            </w:pPr>
            <m:oMath>
              <m:r>
                <m:t>1.38</m:t>
              </m:r>
              <m:r>
                <m:rPr>
                  <m:sty m:val="p"/>
                </m:rPr>
                <m:t>±</m:t>
              </m:r>
              <m:r>
                <m:t>0.02</m:t>
              </m:r>
            </m:oMath>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MLP-K1</w:t>
            </w:r>
          </w:p>
        </w:tc>
        <w:tc>
          <w:tcPr/>
          <w:p>
            <w:pPr>
              <w:pStyle w:val="Compact"/>
              <w:jc w:val="center"/>
            </w:pPr>
            <m:oMath>
              <m:r>
                <m:t>0.904</m:t>
              </m:r>
              <m:r>
                <m:rPr>
                  <m:sty m:val="p"/>
                </m:rPr>
                <m:t>±</m:t>
              </m:r>
              <m:r>
                <m:t>0.005</m:t>
              </m:r>
            </m:oMath>
          </w:p>
        </w:tc>
        <w:tc>
          <w:tcPr/>
          <w:p>
            <w:pPr>
              <w:pStyle w:val="Compact"/>
              <w:jc w:val="center"/>
            </w:pPr>
            <m:oMath>
              <m:r>
                <m:t>1.38</m:t>
              </m:r>
              <m:r>
                <m:rPr>
                  <m:sty m:val="p"/>
                </m:rPr>
                <m:t>±</m:t>
              </m:r>
              <m:r>
                <m:t>0.03</m:t>
              </m:r>
            </m:oMath>
          </w:p>
        </w:tc>
      </w:tr>
      <w:tr>
        <w:tc>
          <w:tcPr/>
          <w:p>
            <w:pPr>
              <w:pStyle w:val="Compact"/>
              <w:jc w:val="left"/>
            </w:pPr>
            <w:r>
              <w:t xml:space="preserve">APTOS</w:t>
            </w:r>
          </w:p>
        </w:tc>
        <w:tc>
          <w:tcPr/>
          <w:p>
            <w:pPr>
              <w:pStyle w:val="Compact"/>
              <w:jc w:val="left"/>
            </w:pPr>
            <w:r>
              <w:t xml:space="preserve">DINOv2</w:t>
            </w:r>
            <w:r>
              <w:t xml:space="preserve"> </w:t>
            </w:r>
            <m:oMath>
              <m:r>
                <m:rPr>
                  <m:sty m:val="p"/>
                </m:rPr>
                <m:t>×</m:t>
              </m:r>
            </m:oMath>
            <w:r>
              <w:t xml:space="preserve"> </w:t>
            </w:r>
            <w:r>
              <w:t xml:space="preserve">Ordinal CapsNet</w:t>
            </w:r>
          </w:p>
        </w:tc>
        <w:tc>
          <w:tcPr/>
          <w:p>
            <w:pPr>
              <w:pStyle w:val="Compact"/>
              <w:jc w:val="center"/>
            </w:pPr>
            <m:oMath>
              <m:r>
                <m:t>0.903</m:t>
              </m:r>
              <m:r>
                <m:rPr>
                  <m:sty m:val="p"/>
                </m:rPr>
                <m:t>±</m:t>
              </m:r>
              <m:r>
                <m:t>0.004</m:t>
              </m:r>
            </m:oMath>
          </w:p>
        </w:tc>
        <w:tc>
          <w:tcPr/>
          <w:p>
            <w:pPr>
              <w:pStyle w:val="Compact"/>
              <w:jc w:val="center"/>
            </w:pPr>
            <m:oMath>
              <m:r>
                <m:t>1.33</m:t>
              </m:r>
              <m:r>
                <m:rPr>
                  <m:sty m:val="p"/>
                </m:rPr>
                <m:t>±</m:t>
              </m:r>
              <m:r>
                <m:t>0.02</m:t>
              </m:r>
            </m:oMath>
          </w:p>
        </w:tc>
      </w:tr>
      <w:tr>
        <w:tc>
          <w:tcPr/>
          <w:p>
            <w:pPr>
              <w:pStyle w:val="Compact"/>
              <w:jc w:val="left"/>
            </w:pPr>
            <w:r>
              <w:t xml:space="preserve">APTOS</w:t>
            </w:r>
          </w:p>
        </w:tc>
        <w:tc>
          <w:tcPr/>
          <w:p>
            <w:pPr>
              <w:pStyle w:val="Compact"/>
              <w:jc w:val="left"/>
            </w:pPr>
            <w:r>
              <w:t xml:space="preserve">DINOv2</w:t>
            </w:r>
            <w:r>
              <w:t xml:space="preserve"> </w:t>
            </w:r>
            <m:oMath>
              <m:r>
                <m:rPr>
                  <m:sty m:val="p"/>
                </m:rPr>
                <m:t>×</m:t>
              </m:r>
            </m:oMath>
            <w:r>
              <w:t xml:space="preserve"> </w:t>
            </w:r>
            <w:r>
              <w:t xml:space="preserve">MLP-K1</w:t>
            </w:r>
          </w:p>
        </w:tc>
        <w:tc>
          <w:tcPr/>
          <w:p>
            <w:pPr>
              <w:pStyle w:val="Compact"/>
              <w:jc w:val="center"/>
            </w:pPr>
            <m:oMath>
              <m:r>
                <m:t>0.903</m:t>
              </m:r>
              <m:r>
                <m:rPr>
                  <m:sty m:val="p"/>
                </m:rPr>
                <m:t>±</m:t>
              </m:r>
              <m:r>
                <m:t>0.004</m:t>
              </m:r>
            </m:oMath>
          </w:p>
        </w:tc>
        <w:tc>
          <w:tcPr/>
          <w:p>
            <w:pPr>
              <w:pStyle w:val="Compact"/>
              <w:jc w:val="center"/>
            </w:pPr>
            <m:oMath>
              <m:r>
                <m:rPr>
                  <m:sty m:val="b"/>
                </m:rPr>
                <m:t>1.30</m:t>
              </m:r>
              <m:r>
                <m:rPr>
                  <m:sty m:val="b"/>
                </m:rPr>
                <m:t>±</m:t>
              </m:r>
              <m:r>
                <m:rPr>
                  <m:sty m:val="b"/>
                </m:rPr>
                <m:t>0.02</m:t>
              </m:r>
            </m:oMath>
          </w:p>
        </w:tc>
      </w:tr>
      <w:tr>
        <w:tc>
          <w:tcPr/>
          <w:p>
            <w:pPr>
              <w:pStyle w:val="Compact"/>
              <w:jc w:val="left"/>
            </w:pPr>
            <w:r>
              <w:t xml:space="preserve">APTOS</w:t>
            </w:r>
          </w:p>
        </w:tc>
        <w:tc>
          <w:tcPr/>
          <w:p>
            <w:pPr>
              <w:pStyle w:val="Compact"/>
              <w:jc w:val="left"/>
            </w:pPr>
            <w:r>
              <w:t xml:space="preserve">RETFound</w:t>
            </w:r>
            <w:r>
              <w:t xml:space="preserve"> </w:t>
            </w:r>
            <m:oMath>
              <m:r>
                <m:rPr>
                  <m:sty m:val="p"/>
                </m:rPr>
                <m:t>×</m:t>
              </m:r>
            </m:oMath>
            <w:r>
              <w:t xml:space="preserve"> </w:t>
            </w:r>
            <w:r>
              <w:t xml:space="preserve">Ordinal + LoRA</w:t>
            </w:r>
          </w:p>
        </w:tc>
        <w:tc>
          <w:tcPr/>
          <w:p>
            <w:pPr>
              <w:pStyle w:val="Compact"/>
              <w:jc w:val="center"/>
            </w:pPr>
            <m:oMath>
              <m:r>
                <m:t>0.904</m:t>
              </m:r>
              <m:r>
                <m:rPr>
                  <m:sty m:val="p"/>
                </m:rPr>
                <m:t>±</m:t>
              </m:r>
              <m:r>
                <m:t>0.006</m:t>
              </m:r>
            </m:oMath>
          </w:p>
        </w:tc>
        <w:tc>
          <w:tcPr/>
          <w:p>
            <w:pPr>
              <w:pStyle w:val="Compact"/>
              <w:jc w:val="center"/>
            </w:pPr>
            <m:oMath>
              <m:r>
                <m:t>1.27</m:t>
              </m:r>
              <m:r>
                <m:rPr>
                  <m:sty m:val="p"/>
                </m:rPr>
                <m:t>±</m:t>
              </m:r>
              <m:r>
                <m:t>0.03</m:t>
              </m:r>
            </m:oMath>
          </w:p>
        </w:tc>
      </w:tr>
      <w:tr>
        <w:tc>
          <w:tcPr/>
          <w:p>
            <w:pPr>
              <w:pStyle w:val="Compact"/>
              <w:jc w:val="left"/>
            </w:pPr>
            <w:r>
              <w:t xml:space="preserve">Messidor-2</w:t>
            </w:r>
          </w:p>
        </w:tc>
        <w:tc>
          <w:tcPr/>
          <w:p>
            <w:pPr>
              <w:pStyle w:val="Compact"/>
              <w:jc w:val="left"/>
            </w:pPr>
            <w:r>
              <w:t xml:space="preserve">RETFound</w:t>
            </w:r>
            <w:r>
              <w:t xml:space="preserve"> </w:t>
            </w:r>
            <m:oMath>
              <m:r>
                <m:rPr>
                  <m:sty m:val="p"/>
                </m:rPr>
                <m:t>×</m:t>
              </m:r>
            </m:oMath>
            <w:r>
              <w:t xml:space="preserve"> </w:t>
            </w:r>
            <w:r>
              <w:t xml:space="preserve">Ordinal CapsNet</w:t>
            </w:r>
          </w:p>
        </w:tc>
        <w:tc>
          <w:tcPr/>
          <w:p>
            <w:pPr>
              <w:pStyle w:val="Compact"/>
              <w:jc w:val="center"/>
            </w:pPr>
            <m:oMath>
              <m:r>
                <m:t>0.903</m:t>
              </m:r>
              <m:r>
                <m:rPr>
                  <m:sty m:val="p"/>
                </m:rPr>
                <m:t>±</m:t>
              </m:r>
              <m:r>
                <m:t>0.017</m:t>
              </m:r>
            </m:oMath>
          </w:p>
        </w:tc>
        <w:tc>
          <w:tcPr/>
          <w:p>
            <w:pPr>
              <w:pStyle w:val="Compact"/>
              <w:jc w:val="center"/>
            </w:pPr>
            <m:oMath>
              <m:r>
                <m:t>2.30</m:t>
              </m:r>
              <m:r>
                <m:rPr>
                  <m:sty m:val="p"/>
                </m:rPr>
                <m:t>±</m:t>
              </m:r>
              <m:r>
                <m:t>0.11</m:t>
              </m:r>
            </m:oMath>
          </w:p>
        </w:tc>
      </w:tr>
      <w:tr>
        <w:tc>
          <w:tcPr/>
          <w:p>
            <w:pPr>
              <w:pStyle w:val="Compact"/>
              <w:jc w:val="left"/>
            </w:pPr>
            <w:r>
              <w:t xml:space="preserve">Messidor-2</w:t>
            </w:r>
          </w:p>
        </w:tc>
        <w:tc>
          <w:tcPr/>
          <w:p>
            <w:pPr>
              <w:pStyle w:val="Compact"/>
              <w:jc w:val="left"/>
            </w:pPr>
            <w:r>
              <w:t xml:space="preserve">RETFound</w:t>
            </w:r>
            <w:r>
              <w:t xml:space="preserve"> </w:t>
            </w:r>
            <m:oMath>
              <m:r>
                <m:rPr>
                  <m:sty m:val="p"/>
                </m:rPr>
                <m:t>×</m:t>
              </m:r>
            </m:oMath>
            <w:r>
              <w:t xml:space="preserve"> </w:t>
            </w:r>
            <w:r>
              <w:t xml:space="preserve">MLP-K1</w:t>
            </w:r>
          </w:p>
        </w:tc>
        <w:tc>
          <w:tcPr/>
          <w:p>
            <w:pPr>
              <w:pStyle w:val="Compact"/>
              <w:jc w:val="center"/>
            </w:pPr>
            <m:oMath>
              <m:r>
                <m:t>0.905</m:t>
              </m:r>
              <m:r>
                <m:rPr>
                  <m:sty m:val="p"/>
                </m:rPr>
                <m:t>±</m:t>
              </m:r>
              <m:r>
                <m:t>0.011</m:t>
              </m:r>
            </m:oMath>
          </w:p>
        </w:tc>
        <w:tc>
          <w:tcPr/>
          <w:p>
            <w:pPr>
              <w:pStyle w:val="Compact"/>
              <w:jc w:val="center"/>
            </w:pPr>
            <m:oMath>
              <m:r>
                <m:t>2.32</m:t>
              </m:r>
              <m:r>
                <m:rPr>
                  <m:sty m:val="p"/>
                </m:rPr>
                <m:t>±</m:t>
              </m:r>
              <m:r>
                <m:t>0.07</m:t>
              </m:r>
            </m:oMath>
          </w:p>
        </w:tc>
      </w:tr>
      <w:tr>
        <w:tc>
          <w:tcPr/>
          <w:p>
            <w:pPr>
              <w:pStyle w:val="Compact"/>
              <w:jc w:val="left"/>
            </w:pPr>
            <w:r>
              <w:t xml:space="preserve">Messidor-2</w:t>
            </w:r>
          </w:p>
        </w:tc>
        <w:tc>
          <w:tcPr/>
          <w:p>
            <w:pPr>
              <w:pStyle w:val="Compact"/>
              <w:jc w:val="left"/>
            </w:pPr>
            <w:r>
              <w:t xml:space="preserve">DINOv2</w:t>
            </w:r>
            <w:r>
              <w:t xml:space="preserve"> </w:t>
            </w:r>
            <m:oMath>
              <m:r>
                <m:rPr>
                  <m:sty m:val="p"/>
                </m:rPr>
                <m:t>×</m:t>
              </m:r>
            </m:oMath>
            <w:r>
              <w:t xml:space="preserve"> </w:t>
            </w:r>
            <w:r>
              <w:t xml:space="preserve">Ordinal CapsNet</w:t>
            </w:r>
          </w:p>
        </w:tc>
        <w:tc>
          <w:tcPr/>
          <w:p>
            <w:pPr>
              <w:pStyle w:val="Compact"/>
              <w:jc w:val="center"/>
            </w:pPr>
            <m:oMath>
              <m:r>
                <m:t>0.905</m:t>
              </m:r>
              <m:r>
                <m:rPr>
                  <m:sty m:val="p"/>
                </m:rPr>
                <m:t>±</m:t>
              </m:r>
              <m:r>
                <m:t>0.008</m:t>
              </m:r>
            </m:oMath>
          </w:p>
        </w:tc>
        <w:tc>
          <w:tcPr/>
          <w:p>
            <w:pPr>
              <w:pStyle w:val="Compact"/>
              <w:jc w:val="center"/>
            </w:pPr>
            <m:oMath>
              <m:r>
                <m:t>1.94</m:t>
              </m:r>
              <m:r>
                <m:rPr>
                  <m:sty m:val="p"/>
                </m:rPr>
                <m:t>±</m:t>
              </m:r>
              <m:r>
                <m:t>0.08</m:t>
              </m:r>
            </m:oMath>
          </w:p>
        </w:tc>
      </w:tr>
      <w:tr>
        <w:tc>
          <w:tcPr/>
          <w:p>
            <w:pPr>
              <w:pStyle w:val="Compact"/>
              <w:jc w:val="left"/>
            </w:pPr>
            <w:r>
              <w:t xml:space="preserve">Messidor-2</w:t>
            </w:r>
          </w:p>
        </w:tc>
        <w:tc>
          <w:tcPr/>
          <w:p>
            <w:pPr>
              <w:pStyle w:val="Compact"/>
              <w:jc w:val="left"/>
            </w:pPr>
            <w:r>
              <w:t xml:space="preserve">DINOv2</w:t>
            </w:r>
            <w:r>
              <w:t xml:space="preserve"> </w:t>
            </w:r>
            <m:oMath>
              <m:r>
                <m:rPr>
                  <m:sty m:val="p"/>
                </m:rPr>
                <m:t>×</m:t>
              </m:r>
            </m:oMath>
            <w:r>
              <w:t xml:space="preserve"> </w:t>
            </w:r>
            <w:r>
              <w:t xml:space="preserve">MLP-K1</w:t>
            </w:r>
          </w:p>
        </w:tc>
        <w:tc>
          <w:tcPr/>
          <w:p>
            <w:pPr>
              <w:pStyle w:val="Compact"/>
              <w:jc w:val="center"/>
            </w:pPr>
            <m:oMath>
              <m:r>
                <m:t>0.900</m:t>
              </m:r>
              <m:r>
                <m:rPr>
                  <m:sty m:val="p"/>
                </m:rPr>
                <m:t>±</m:t>
              </m:r>
              <m:r>
                <m:t>0.004</m:t>
              </m:r>
            </m:oMath>
          </w:p>
        </w:tc>
        <w:tc>
          <w:tcPr/>
          <w:p>
            <w:pPr>
              <w:pStyle w:val="Compact"/>
              <w:jc w:val="center"/>
            </w:pPr>
            <m:oMath>
              <m:r>
                <m:rPr>
                  <m:sty m:val="b"/>
                </m:rPr>
                <m:t>1.75</m:t>
              </m:r>
              <m:r>
                <m:rPr>
                  <m:sty m:val="b"/>
                </m:rPr>
                <m:t>±</m:t>
              </m:r>
              <m:r>
                <m:rPr>
                  <m:sty m:val="b"/>
                </m:rPr>
                <m:t>0.04</m:t>
              </m:r>
            </m:oMath>
          </w:p>
        </w:tc>
      </w:tr>
    </w:tbl>
    <w:p>
      <w:pPr>
        <w:pStyle w:val="BodyText"/>
      </w:pPr>
      <w:r>
        <w:t xml:space="preserve">Every configuration hits the</w:t>
      </w:r>
      <w:r>
        <w:t xml:space="preserve"> </w:t>
      </w:r>
      <m:oMath>
        <m:r>
          <m:t>90</m:t>
        </m:r>
        <m:r>
          <m:rPr>
            <m:sty m:val="p"/>
          </m:rPr>
          <m:t>%</m:t>
        </m:r>
      </m:oMath>
      <w:r>
        <w:t xml:space="preserve"> </w:t>
      </w:r>
      <w:r>
        <w:t xml:space="preserve">coverage target (observed range</w:t>
      </w:r>
      <w:r>
        <w:t xml:space="preserve"> </w:t>
      </w:r>
      <m:oMath>
        <m:r>
          <m:t>89.4</m:t>
        </m:r>
        <m:r>
          <m:rPr>
            <m:sty m:val="p"/>
          </m:rPr>
          <m:t>%</m:t>
        </m:r>
      </m:oMath>
      <w:r>
        <w:t xml:space="preserve"> </w:t>
      </w:r>
      <w:r>
        <w:t xml:space="preserve">to</w:t>
      </w:r>
      <w:r>
        <w:t xml:space="preserve"> </w:t>
      </w:r>
      <m:oMath>
        <m:r>
          <m:t>90.6</m:t>
        </m:r>
        <m:r>
          <m:rPr>
            <m:sty m:val="p"/>
          </m:rPr>
          <m:t>%</m:t>
        </m:r>
      </m:oMath>
      <w:r>
        <w:t xml:space="preserve">), as expected from the exchangeability guarantee of split CP</w:t>
      </w:r>
      <w:r>
        <w:t xml:space="preserve"> </w:t>
      </w:r>
      <w:r>
        <w:t xml:space="preserve">; what we are empirically verifying is that the guarantee holds on our data pipeline and that set-size efficiency varies meaningfully across configurations. Mean set size falls from</w:t>
      </w:r>
      <w:r>
        <w:t xml:space="preserve"> </w:t>
      </w:r>
      <m:oMath>
        <m:r>
          <m:t>1.38</m:t>
        </m:r>
      </m:oMath>
      <w:r>
        <w:t xml:space="preserve"> </w:t>
      </w:r>
      <w:r>
        <w:t xml:space="preserve">(RETFound</w:t>
      </w:r>
      <w:r>
        <w:t xml:space="preserve"> </w:t>
      </w:r>
      <m:oMath>
        <m:r>
          <m:rPr>
            <m:sty m:val="p"/>
          </m:rPr>
          <m:t>×</m:t>
        </m:r>
      </m:oMath>
      <w:r>
        <w:t xml:space="preserve"> </w:t>
      </w:r>
      <w:r>
        <w:t xml:space="preserve">Ordinal CapsNet on APTOS) to</w:t>
      </w:r>
      <w:r>
        <w:t xml:space="preserve"> </w:t>
      </w:r>
      <m:oMath>
        <m:r>
          <m:t>1.27</m:t>
        </m:r>
      </m:oMath>
      <w:r>
        <w:t xml:space="preserve"> </w:t>
      </w:r>
      <w:r>
        <w:t xml:space="preserve">(LoRA), and from</w:t>
      </w:r>
      <w:r>
        <w:t xml:space="preserve"> </w:t>
      </w:r>
      <m:oMath>
        <m:r>
          <m:t>2.32</m:t>
        </m:r>
      </m:oMath>
      <w:r>
        <w:t xml:space="preserve"> </w:t>
      </w:r>
      <w:r>
        <w:t xml:space="preserve">(RETFound</w:t>
      </w:r>
      <w:r>
        <w:t xml:space="preserve"> </w:t>
      </w:r>
      <m:oMath>
        <m:r>
          <m:rPr>
            <m:sty m:val="p"/>
          </m:rPr>
          <m:t>×</m:t>
        </m:r>
      </m:oMath>
      <w:r>
        <w:t xml:space="preserve"> </w:t>
      </w:r>
      <w:r>
        <w:t xml:space="preserve">MLP-K1 on Messidor-2) to</w:t>
      </w:r>
      <w:r>
        <w:t xml:space="preserve"> </w:t>
      </w:r>
      <m:oMath>
        <m:r>
          <m:t>1.75</m:t>
        </m:r>
      </m:oMath>
      <w:r>
        <w:t xml:space="preserve"> </w:t>
      </w:r>
      <w:r>
        <w:t xml:space="preserve">(DINOv2</w:t>
      </w:r>
      <w:r>
        <w:t xml:space="preserve"> </w:t>
      </w:r>
      <m:oMath>
        <m:r>
          <m:rPr>
            <m:sty m:val="p"/>
          </m:rPr>
          <m:t>×</m:t>
        </m:r>
      </m:oMath>
      <w:r>
        <w:t xml:space="preserve"> </w:t>
      </w:r>
      <w:r>
        <w:t xml:space="preserve">MLP-K1): better backbones and better fine-tunes produce more informative prediction sets at the same coverage. RAPS</w:t>
      </w:r>
      <w:r>
        <w:t xml:space="preserve"> </w:t>
      </w:r>
      <w:r>
        <w:t xml:space="preserve"> </w:t>
      </w:r>
      <w:r>
        <w:t xml:space="preserve">(</w:t>
      </w:r>
      <m:oMath>
        <m:sSub>
          <m:e>
            <m:r>
              <m:t>k</m:t>
            </m:r>
          </m:e>
          <m:sub>
            <m:r>
              <m:rPr>
                <m:nor/>
                <m:sty m:val="p"/>
              </m:rPr>
              <m:t>reg</m:t>
            </m:r>
          </m:sub>
        </m:sSub>
        <m:r>
          <m:rPr>
            <m:sty m:val="p"/>
          </m:rPr>
          <m:t>=</m:t>
        </m:r>
        <m:r>
          <m:t>1</m:t>
        </m:r>
      </m:oMath>
      <w:r>
        <w:t xml:space="preserve">,</w:t>
      </w:r>
      <w:r>
        <w:t xml:space="preserve"> </w:t>
      </w:r>
      <m:oMath>
        <m:r>
          <m:t>λ</m:t>
        </m:r>
        <m:r>
          <m:rPr>
            <m:sty m:val="p"/>
          </m:rPr>
          <m:t>=</m:t>
        </m:r>
        <m:r>
          <m:t>0.01</m:t>
        </m:r>
      </m:oMath>
      <w:r>
        <w:t xml:space="preserve">) gives set sizes a hair smaller than APS (APTOS</w:t>
      </w:r>
      <w:r>
        <w:t xml:space="preserve"> </w:t>
      </w:r>
      <m:oMath>
        <m:r>
          <m:t>1.77</m:t>
        </m:r>
      </m:oMath>
      <w:r>
        <w:t xml:space="preserve"> </w:t>
      </w:r>
      <w:r>
        <w:t xml:space="preserve">vs. </w:t>
      </w:r>
      <m:oMath>
        <m:r>
          <m:t>1.80</m:t>
        </m:r>
      </m:oMath>
      <w:r>
        <w:t xml:space="preserve"> </w:t>
      </w:r>
      <w:r>
        <w:t xml:space="preserve">on RETFound</w:t>
      </w:r>
      <w:r>
        <w:t xml:space="preserve"> </w:t>
      </w:r>
      <m:oMath>
        <m:r>
          <m:rPr>
            <m:sty m:val="p"/>
          </m:rPr>
          <m:t>×</m:t>
        </m:r>
      </m:oMath>
      <w:r>
        <w:t xml:space="preserve"> </w:t>
      </w:r>
      <w:r>
        <w:t xml:space="preserve">CapsNet; differences in the third decimal on every cell), consistent with the original Angelopoulos 2021 report on ImageNet. Within each backbone, the capsule and MLP heads produce near-identical set sizes.</w:t>
      </w:r>
    </w:p>
    <w:p>
      <w:pPr>
        <w:pStyle w:val="BodyText"/>
      </w:pPr>
      <w:r>
        <w:rPr>
          <w:b/>
          <w:bCs/>
        </w:rPr>
        <w:t xml:space="preserve">A note on non-contiguous sets.</w:t>
      </w:r>
      <w:r>
        <w:t xml:space="preserve"> </w:t>
      </w:r>
      <w:r>
        <w:t xml:space="preserve">The LAC, APS, and RAPS scores we use treat the five DR grades as an unordered label set, so their prediction sets can in principle be non-contiguous under the ordinal scale. For example,</w:t>
      </w:r>
      <w:r>
        <w:t xml:space="preserve"> </w:t>
      </w:r>
      <m:oMath>
        <m:r>
          <m:rPr>
            <m:sty m:val="p"/>
          </m:rPr>
          <m:t>{</m:t>
        </m:r>
        <m:r>
          <m:t>0</m:t>
        </m:r>
        <m:r>
          <m:rPr>
            <m:sty m:val="p"/>
          </m:rPr>
          <m:t>,</m:t>
        </m:r>
        <m:r>
          <m:t>3</m:t>
        </m:r>
        <m:r>
          <m:rPr>
            <m:sty m:val="p"/>
          </m:rPr>
          <m:t>}</m:t>
        </m:r>
      </m:oMath>
      <w:r>
        <w:t xml:space="preserve"> </w:t>
      </w:r>
      <w:r>
        <w:t xml:space="preserve">is a valid prediction set even though it violates the ordinal semantics. Measured across our pooled 5-seed single-split predictions at</w:t>
      </w:r>
      <w:r>
        <w:t xml:space="preserve"> </w:t>
      </w:r>
      <m:oMath>
        <m:r>
          <m:t>α</m:t>
        </m:r>
        <m:r>
          <m:rPr>
            <m:sty m:val="p"/>
          </m:rPr>
          <m:t>=</m:t>
        </m:r>
        <m:r>
          <m:t>0.10</m:t>
        </m:r>
      </m:oMath>
      <w:r>
        <w:t xml:space="preserve">, the non-contiguous-set rate is</w:t>
      </w:r>
      <w:r>
        <w:t xml:space="preserve"> </w:t>
      </w:r>
      <m:oMath>
        <m:r>
          <m:t>2.3</m:t>
        </m:r>
        <m:r>
          <m:rPr>
            <m:sty m:val="p"/>
          </m:rPr>
          <m:t>%</m:t>
        </m:r>
      </m:oMath>
      <w:r>
        <w:t xml:space="preserve"> </w:t>
      </w:r>
      <w:r>
        <w:t xml:space="preserve">(LAC),</w:t>
      </w:r>
      <w:r>
        <w:t xml:space="preserve"> </w:t>
      </w:r>
      <m:oMath>
        <m:r>
          <m:t>8.6</m:t>
        </m:r>
        <m:r>
          <m:rPr>
            <m:sty m:val="p"/>
          </m:rPr>
          <m:t>%</m:t>
        </m:r>
      </m:oMath>
      <w:r>
        <w:t xml:space="preserve"> </w:t>
      </w:r>
      <w:r>
        <w:t xml:space="preserve">(APS), and</w:t>
      </w:r>
      <w:r>
        <w:t xml:space="preserve"> </w:t>
      </w:r>
      <m:oMath>
        <m:r>
          <m:t>8.7</m:t>
        </m:r>
        <m:r>
          <m:rPr>
            <m:sty m:val="p"/>
          </m:rPr>
          <m:t>%</m:t>
        </m:r>
      </m:oMath>
      <w:r>
        <w:t xml:space="preserve"> </w:t>
      </w:r>
      <w:r>
        <w:t xml:space="preserve">(RAPS) on APTOS and</w:t>
      </w:r>
      <w:r>
        <w:t xml:space="preserve"> </w:t>
      </w:r>
      <m:oMath>
        <m:r>
          <m:t>2.6</m:t>
        </m:r>
        <m:r>
          <m:rPr>
            <m:sty m:val="p"/>
          </m:rPr>
          <m:t>%</m:t>
        </m:r>
      </m:oMath>
      <w:r>
        <w:t xml:space="preserve">,</w:t>
      </w:r>
      <w:r>
        <w:t xml:space="preserve"> </w:t>
      </w:r>
      <m:oMath>
        <m:r>
          <m:t>7.7</m:t>
        </m:r>
        <m:r>
          <m:rPr>
            <m:sty m:val="p"/>
          </m:rPr>
          <m:t>%</m:t>
        </m:r>
      </m:oMath>
      <w:r>
        <w:t xml:space="preserve">,</w:t>
      </w:r>
      <w:r>
        <w:t xml:space="preserve"> </w:t>
      </w:r>
      <m:oMath>
        <m:r>
          <m:t>7.8</m:t>
        </m:r>
        <m:r>
          <m:rPr>
            <m:sty m:val="p"/>
          </m:rPr>
          <m:t>%</m:t>
        </m:r>
      </m:oMath>
      <w:r>
        <w:t xml:space="preserve"> </w:t>
      </w:r>
      <w:r>
        <w:t xml:space="preserve">on Messidor-2. The rates are concentrated on low-confidence samples near adjacent-grade decision boundaries. An ordinal-aware conformal construction that enforces contiguous intervals would not affect marginal coverage but would sharpen the prediction-set interpretation for clinical triage. We flag it as an open item alongside RC3P.</w:t>
      </w:r>
    </w:p>
    <w:p>
      <w:pPr>
        <w:pStyle w:val="BodyText"/>
      </w:pPr>
      <w:r>
        <w:rPr>
          <w:b/>
          <w:bCs/>
        </w:rPr>
        <w:t xml:space="preserve">Class-conditional coverage and a Mondrian fix.</w:t>
      </w:r>
      <w:r>
        <w:t xml:space="preserve"> </w:t>
      </w:r>
      <w:r>
        <w:t xml:space="preserve">The interesting empirical finding is that the marginal guarantee does not transfer to per-class coverage. At</w:t>
      </w:r>
      <w:r>
        <w:t xml:space="preserve"> </w:t>
      </w:r>
      <m:oMath>
        <m:r>
          <m:t>α</m:t>
        </m:r>
        <m:r>
          <m:rPr>
            <m:sty m:val="p"/>
          </m:rPr>
          <m:t>=</m:t>
        </m:r>
        <m:r>
          <m:t>0.10</m:t>
        </m:r>
      </m:oMath>
      <w:r>
        <w:t xml:space="preserve"> </w:t>
      </w:r>
      <w:r>
        <w:t xml:space="preserve">with APS, worst-class coverage drops to</w:t>
      </w:r>
      <w:r>
        <w:t xml:space="preserve"> </w:t>
      </w:r>
      <m:oMath>
        <m:r>
          <m:t>0.583</m:t>
        </m:r>
      </m:oMath>
      <w:r>
        <w:t xml:space="preserve"> </w:t>
      </w:r>
      <w:r>
        <w:t xml:space="preserve">(DINOv2</w:t>
      </w:r>
      <w:r>
        <w:t xml:space="preserve"> </w:t>
      </w:r>
      <m:oMath>
        <m:r>
          <m:rPr>
            <m:sty m:val="p"/>
          </m:rPr>
          <m:t>×</m:t>
        </m:r>
      </m:oMath>
      <w:r>
        <w:t xml:space="preserve"> </w:t>
      </w:r>
      <w:r>
        <w:t xml:space="preserve">MLP-K1, C4/PDR on Messidor-2),</w:t>
      </w:r>
      <w:r>
        <w:t xml:space="preserve"> </w:t>
      </w:r>
      <m:oMath>
        <m:r>
          <m:t>0.667</m:t>
        </m:r>
      </m:oMath>
      <w:r>
        <w:t xml:space="preserve"> </w:t>
      </w:r>
      <w:r>
        <w:t xml:space="preserve">(DINOv2</w:t>
      </w:r>
      <w:r>
        <w:t xml:space="preserve"> </w:t>
      </w:r>
      <m:oMath>
        <m:r>
          <m:rPr>
            <m:sty m:val="p"/>
          </m:rPr>
          <m:t>×</m:t>
        </m:r>
      </m:oMath>
      <w:r>
        <w:t xml:space="preserve"> </w:t>
      </w:r>
      <w:r>
        <w:t xml:space="preserve">Ordinal on Messidor-2, C2/Moderate), and</w:t>
      </w:r>
      <w:r>
        <w:t xml:space="preserve"> </w:t>
      </w:r>
      <m:oMath>
        <m:r>
          <m:t>0.78</m:t>
        </m:r>
      </m:oMath>
      <w:r>
        <w:t xml:space="preserve">–</w:t>
      </w:r>
      <m:oMath>
        <m:r>
          <m:t>0.84</m:t>
        </m:r>
      </m:oMath>
      <w:r>
        <w:t xml:space="preserve"> </w:t>
      </w:r>
      <w:r>
        <w:t xml:space="preserve">on APTOS minority classes (C1/Mild, C4/PDR). For a clinical-safety-sensitive task like DR grading, a</w:t>
      </w:r>
      <w:r>
        <w:t xml:space="preserve"> </w:t>
      </w:r>
      <m:oMath>
        <m:r>
          <m:rPr>
            <m:sty m:val="p"/>
          </m:rPr>
          <m:t>∼</m:t>
        </m:r>
        <m:r>
          <m:t>​</m:t>
        </m:r>
        <m:r>
          <m:t>60</m:t>
        </m:r>
        <m:r>
          <m:rPr>
            <m:sty m:val="p"/>
          </m:rPr>
          <m:t>%</m:t>
        </m:r>
      </m:oMath>
      <w:r>
        <w:t xml:space="preserve"> </w:t>
      </w:r>
      <w:r>
        <w:t xml:space="preserve">coverage on Severe/PDR patients is a first-order problem, not a footnote. Substituting a Mondrian</w:t>
      </w:r>
      <w:r>
        <w:t xml:space="preserve"> </w:t>
      </w:r>
      <w:r>
        <w:t xml:space="preserve"> </w:t>
      </w:r>
      <w:r>
        <w:t xml:space="preserve">per-class quantile lifts worst-class coverage to</w:t>
      </w:r>
      <w:r>
        <w:t xml:space="preserve"> </w:t>
      </w:r>
      <m:oMath>
        <m:r>
          <m:t>0.82</m:t>
        </m:r>
      </m:oMath>
      <w:r>
        <w:t xml:space="preserve">–</w:t>
      </w:r>
      <m:oMath>
        <m:r>
          <m:t>0.90</m:t>
        </m:r>
      </m:oMath>
      <w:r>
        <w:t xml:space="preserve"> </w:t>
      </w:r>
      <w:r>
        <w:t xml:space="preserve">across every configuration, at the cost of</w:t>
      </w:r>
      <w:r>
        <w:t xml:space="preserve"> </w:t>
      </w:r>
      <m:oMath>
        <m:r>
          <m:rPr>
            <m:sty m:val="p"/>
          </m:rPr>
          <m:t>+</m:t>
        </m:r>
        <m:r>
          <m:t>0.5</m:t>
        </m:r>
      </m:oMath>
      <w:r>
        <w:t xml:space="preserve"> </w:t>
      </w:r>
      <w:r>
        <w:t xml:space="preserve">set-size points on APTOS and</w:t>
      </w:r>
      <w:r>
        <w:t xml:space="preserve"> </w:t>
      </w:r>
      <m:oMath>
        <m:r>
          <m:rPr>
            <m:sty m:val="p"/>
          </m:rPr>
          <m:t>+</m:t>
        </m:r>
        <m:r>
          <m:t>1.0</m:t>
        </m:r>
      </m:oMath>
      <w:r>
        <w:t xml:space="preserve">–</w:t>
      </w:r>
      <m:oMath>
        <m:r>
          <m:t>1.2</m:t>
        </m:r>
      </m:oMath>
      <w:r>
        <w:t xml:space="preserve"> </w:t>
      </w:r>
      <w:r>
        <w:t xml:space="preserve">on Messidor-2 (Table </w:t>
      </w:r>
      <w:hyperlink w:anchor="tab:ccp">
        <w:r>
          <w:rPr>
            <w:rStyle w:val="Hyperlink"/>
          </w:rPr>
          <w:t xml:space="preserve">1</w:t>
        </w:r>
      </w:hyperlink>
      <w:r>
        <w:t xml:space="preserve">). On the hardest cell (DINOv2</w:t>
      </w:r>
      <w:r>
        <w:t xml:space="preserve"> </w:t>
      </w:r>
      <m:oMath>
        <m:r>
          <m:rPr>
            <m:sty m:val="p"/>
          </m:rPr>
          <m:t>×</m:t>
        </m:r>
      </m:oMath>
      <w:r>
        <w:t xml:space="preserve"> </w:t>
      </w:r>
      <w:r>
        <w:t xml:space="preserve">MLP-K1 on Messidor-2) the worst-class jump is</w:t>
      </w:r>
      <w:r>
        <w:t xml:space="preserve"> </w:t>
      </w:r>
      <m:oMath>
        <m:r>
          <m:rPr>
            <m:sty m:val="p"/>
          </m:rPr>
          <m:t>+</m:t>
        </m:r>
        <m:r>
          <m:t>0.26</m:t>
        </m:r>
      </m:oMath>
      <w:r>
        <w:t xml:space="preserve"> </w:t>
      </w:r>
      <w:r>
        <w:t xml:space="preserve">(</w:t>
      </w:r>
      <m:oMath>
        <m:r>
          <m:t>0.58</m:t>
        </m:r>
        <m:r>
          <m:rPr>
            <m:sty m:val="p"/>
          </m:rPr>
          <m:t>→</m:t>
        </m:r>
        <m:r>
          <m:t>0.84</m:t>
        </m:r>
      </m:oMath>
      <w:r>
        <w:t xml:space="preserve">); the efficiency cost is a mean-set-size increase from</w:t>
      </w:r>
      <w:r>
        <w:t xml:space="preserve"> </w:t>
      </w:r>
      <m:oMath>
        <m:r>
          <m:t>1.97</m:t>
        </m:r>
      </m:oMath>
      <w:r>
        <w:t xml:space="preserve"> </w:t>
      </w:r>
      <w:r>
        <w:t xml:space="preserve">to</w:t>
      </w:r>
      <w:r>
        <w:t xml:space="preserve"> </w:t>
      </w:r>
      <m:oMath>
        <m:r>
          <m:t>2.38</m:t>
        </m:r>
      </m:oMath>
      <w:r>
        <w:t xml:space="preserve">. CCP is the closest-to-RC3P</w:t>
      </w:r>
      <w:r>
        <w:t xml:space="preserve"> </w:t>
      </w:r>
      <w:r>
        <w:t xml:space="preserve"> </w:t>
      </w:r>
      <w:r>
        <w:t xml:space="preserve">fix that does not require new training and is achievable under our MPS budget; for a clinical deployment, RC3P and related class-conditional extensions are the natural next step.</w:t>
      </w:r>
    </w:p>
    <w:bookmarkStart w:id="43" w:name="tab:ccp"/>
    <w:p>
      <w:pPr>
        <w:pStyle w:val="TableCaption"/>
      </w:pPr>
      <w:r>
        <w:t xml:space="preserve">Mondrian CCP vs. APS,</w:t>
      </w:r>
      <w:r>
        <w:t xml:space="preserve"> </w:t>
      </w:r>
      <m:oMath>
        <m:r>
          <m:t>α</m:t>
        </m:r>
        <m:r>
          <m:rPr>
            <m:sty m:val="p"/>
          </m:rPr>
          <m:t>=</m:t>
        </m:r>
        <m:r>
          <m:t>0.10</m:t>
        </m:r>
      </m:oMath>
      <w:r>
        <w:t xml:space="preserve">, single-split seed 42.</w:t>
      </w:r>
      <w:r>
        <w:t xml:space="preserve"> </w:t>
      </w:r>
      <w:r>
        <w:t xml:space="preserve">“Worst”</w:t>
      </w:r>
      <w:r>
        <w:t xml:space="preserve"> </w:t>
      </w:r>
      <w:r>
        <w:t xml:space="preserve">is min per-class coverage; smaller gap to target (0.90) is better. CCP achieves class-conditional coverage at a set-size cost.</w:t>
      </w:r>
    </w:p>
    <w:tbl>
      <w:tblPr>
        <w:tblStyle w:val="Table"/>
        <w:tblW w:type="auto" w:w="0"/>
        <w:tblLook w:firstRow="0" w:lastRow="0" w:firstColumn="0" w:lastColumn="0" w:noHBand="0" w:noVBand="0" w:val="0000"/>
        <w:tblCaption w:val="Mondrian CCP vs. APS, \alpha=0.10, single-split seed 42. “Worst” is min per-class coverage; smaller gap to target (0.90) is better. CCP achieves class-conditional coverage at a set-size cost."/>
      </w:tblPr>
      <w:tblGrid>
        <w:gridCol w:w="1131"/>
        <w:gridCol w:w="1131"/>
        <w:gridCol w:w="1131"/>
        <w:gridCol w:w="1131"/>
        <w:gridCol w:w="1131"/>
        <w:gridCol w:w="1131"/>
        <w:gridCol w:w="1131"/>
      </w:tblGrid>
      <w:tr>
        <w:tc>
          <w:tcPr/>
          <w:p>
            <w:pPr>
              <w:pStyle w:val="Compact"/>
              <w:jc w:val="left"/>
            </w:pPr>
            <w:r>
              <w:t xml:space="preserve">Dataset</w:t>
            </w:r>
          </w:p>
        </w:tc>
        <w:tc>
          <w:tcPr/>
          <w:p>
            <w:pPr>
              <w:pStyle w:val="Compact"/>
              <w:jc w:val="left"/>
            </w:pPr>
            <w:r>
              <w:t xml:space="preserve">Model</w:t>
            </w:r>
          </w:p>
        </w:tc>
        <w:tc>
          <w:tcPr>
            <w:gridSpan w:val="2"/>
          </w:tcPr>
          <w:p>
            <w:pPr>
              <w:pStyle w:val="Compact"/>
              <w:jc w:val="center"/>
            </w:pPr>
            <w:r>
              <w:t xml:space="preserve">APS</w:t>
            </w:r>
          </w:p>
        </w:tc>
        <w:tc>
          <w:tcPr>
            <w:gridSpan w:val="2"/>
          </w:tcPr>
          <w:p>
            <w:pPr>
              <w:pStyle w:val="Compact"/>
              <w:jc w:val="center"/>
            </w:pPr>
            <w:r>
              <w:t xml:space="preserve">CCP</w:t>
            </w:r>
          </w:p>
        </w:tc>
        <w:tc>
          <w:tcPr/>
          <w:p>
            <w:pPr>
              <w:pStyle w:val="Compact"/>
              <w:jc w:val="center"/>
            </w:pPr>
            <m:oMath>
              <m:r>
                <m:rPr>
                  <m:sty m:val="p"/>
                </m:rPr>
                <m:t>Δ</m:t>
              </m:r>
            </m:oMath>
            <w:r>
              <w:t xml:space="preserve"> </w:t>
            </w:r>
            <w:r>
              <w:t xml:space="preserve">worst</w:t>
            </w:r>
          </w:p>
        </w:tc>
      </w:tr>
      <w:tr>
        <w:tc>
          <w:tcPr/>
          <w:p>
            <w:pPr>
              <w:pStyle w:val="Compact"/>
            </w:pPr>
          </w:p>
        </w:tc>
        <w:tc>
          <w:tcPr/>
          <w:p>
            <w:pPr>
              <w:pStyle w:val="Compact"/>
            </w:pPr>
          </w:p>
        </w:tc>
        <w:tc>
          <w:tcPr/>
          <w:p>
            <w:pPr>
              <w:pStyle w:val="Compact"/>
              <w:jc w:val="center"/>
            </w:pPr>
            <w:r>
              <w:t xml:space="preserve">worst</w:t>
            </w:r>
          </w:p>
        </w:tc>
        <w:tc>
          <w:tcPr/>
          <w:p>
            <w:pPr>
              <w:pStyle w:val="Compact"/>
              <w:jc w:val="center"/>
            </w:pPr>
            <m:oMath>
              <m:r>
                <m:rPr>
                  <m:sty m:val="p"/>
                </m:rPr>
                <m:t>|</m:t>
              </m:r>
              <m:r>
                <m:t>S</m:t>
              </m:r>
              <m:r>
                <m:rPr>
                  <m:sty m:val="p"/>
                </m:rPr>
                <m:t>|</m:t>
              </m:r>
            </m:oMath>
          </w:p>
        </w:tc>
        <w:tc>
          <w:tcPr/>
          <w:p>
            <w:pPr>
              <w:pStyle w:val="Compact"/>
              <w:jc w:val="center"/>
            </w:pPr>
            <w:r>
              <w:t xml:space="preserve">worst</w:t>
            </w:r>
          </w:p>
        </w:tc>
        <w:tc>
          <w:tcPr/>
          <w:p>
            <w:pPr>
              <w:pStyle w:val="Compact"/>
              <w:jc w:val="center"/>
            </w:pPr>
            <m:oMath>
              <m:r>
                <m:rPr>
                  <m:sty m:val="p"/>
                </m:rPr>
                <m:t>|</m:t>
              </m:r>
              <m:r>
                <m:t>S</m:t>
              </m:r>
              <m:r>
                <m:rPr>
                  <m:sty m:val="p"/>
                </m:rPr>
                <m:t>|</m:t>
              </m:r>
            </m:oMath>
          </w:p>
        </w:tc>
        <w:tc>
          <w:tcPr/>
          <w:p>
            <w:pPr>
              <w:pStyle w:val="Compact"/>
            </w:pPr>
          </w:p>
        </w:tc>
      </w:tr>
      <w:tr>
        <w:tc>
          <w:tcPr/>
          <w:p>
            <w:pPr>
              <w:pStyle w:val="Compact"/>
              <w:jc w:val="left"/>
            </w:pPr>
            <w:r>
              <w:t xml:space="preserve">APTOS</w:t>
            </w:r>
          </w:p>
        </w:tc>
        <w:tc>
          <w:tcPr/>
          <w:p>
            <w:pPr>
              <w:pStyle w:val="Compact"/>
              <w:jc w:val="left"/>
            </w:pPr>
            <w:r>
              <w:t xml:space="preserve">RET</w:t>
            </w:r>
            <m:oMath>
              <m:r>
                <m:rPr>
                  <m:sty m:val="p"/>
                </m:rPr>
                <m:t>×</m:t>
              </m:r>
            </m:oMath>
            <w:r>
              <w:t xml:space="preserve">Ord</w:t>
            </w:r>
          </w:p>
        </w:tc>
        <w:tc>
          <w:tcPr/>
          <w:p>
            <w:pPr>
              <w:pStyle w:val="Compact"/>
              <w:jc w:val="center"/>
            </w:pPr>
            <w:r>
              <w:t xml:space="preserve">0.78</w:t>
            </w:r>
          </w:p>
        </w:tc>
        <w:tc>
          <w:tcPr/>
          <w:p>
            <w:pPr>
              <w:pStyle w:val="Compact"/>
              <w:jc w:val="center"/>
            </w:pPr>
            <w:r>
              <w:t xml:space="preserve">1.80</w:t>
            </w:r>
          </w:p>
        </w:tc>
        <w:tc>
          <w:tcPr/>
          <w:p>
            <w:pPr>
              <w:pStyle w:val="Compact"/>
              <w:jc w:val="center"/>
            </w:pPr>
            <w:r>
              <w:t xml:space="preserve">0.90</w:t>
            </w:r>
          </w:p>
        </w:tc>
        <w:tc>
          <w:tcPr/>
          <w:p>
            <w:pPr>
              <w:pStyle w:val="Compact"/>
              <w:jc w:val="center"/>
            </w:pPr>
            <w:r>
              <w:t xml:space="preserve">1.86</w:t>
            </w:r>
          </w:p>
        </w:tc>
        <w:tc>
          <w:tcPr/>
          <w:p>
            <w:pPr>
              <w:pStyle w:val="Compact"/>
              <w:jc w:val="center"/>
            </w:pPr>
            <m:oMath>
              <m:r>
                <m:rPr>
                  <m:sty m:val="p"/>
                </m:rPr>
                <m:t>+</m:t>
              </m:r>
              <m:r>
                <m:t>0.12</m:t>
              </m:r>
            </m:oMath>
          </w:p>
        </w:tc>
      </w:tr>
      <w:tr>
        <w:tc>
          <w:tcPr/>
          <w:p>
            <w:pPr>
              <w:pStyle w:val="Compact"/>
              <w:jc w:val="left"/>
            </w:pPr>
            <w:r>
              <w:t xml:space="preserve">APTOS</w:t>
            </w:r>
          </w:p>
        </w:tc>
        <w:tc>
          <w:tcPr/>
          <w:p>
            <w:pPr>
              <w:pStyle w:val="Compact"/>
              <w:jc w:val="left"/>
            </w:pPr>
            <w:r>
              <w:t xml:space="preserve">RET</w:t>
            </w:r>
            <m:oMath>
              <m:r>
                <m:rPr>
                  <m:sty m:val="p"/>
                </m:rPr>
                <m:t>×</m:t>
              </m:r>
            </m:oMath>
            <w:r>
              <w:t xml:space="preserve">MLP-K1</w:t>
            </w:r>
          </w:p>
        </w:tc>
        <w:tc>
          <w:tcPr/>
          <w:p>
            <w:pPr>
              <w:pStyle w:val="Compact"/>
              <w:jc w:val="center"/>
            </w:pPr>
            <w:r>
              <w:t xml:space="preserve">0.80</w:t>
            </w:r>
          </w:p>
        </w:tc>
        <w:tc>
          <w:tcPr/>
          <w:p>
            <w:pPr>
              <w:pStyle w:val="Compact"/>
              <w:jc w:val="center"/>
            </w:pPr>
            <w:r>
              <w:t xml:space="preserve">1.89</w:t>
            </w:r>
          </w:p>
        </w:tc>
        <w:tc>
          <w:tcPr/>
          <w:p>
            <w:pPr>
              <w:pStyle w:val="Compact"/>
              <w:jc w:val="center"/>
            </w:pPr>
            <w:r>
              <w:t xml:space="preserve">0.89</w:t>
            </w:r>
          </w:p>
        </w:tc>
        <w:tc>
          <w:tcPr/>
          <w:p>
            <w:pPr>
              <w:pStyle w:val="Compact"/>
              <w:jc w:val="center"/>
            </w:pPr>
            <w:r>
              <w:t xml:space="preserve">1.78</w:t>
            </w:r>
          </w:p>
        </w:tc>
        <w:tc>
          <w:tcPr/>
          <w:p>
            <w:pPr>
              <w:pStyle w:val="Compact"/>
              <w:jc w:val="center"/>
            </w:pPr>
            <m:oMath>
              <m:r>
                <m:rPr>
                  <m:sty m:val="p"/>
                </m:rPr>
                <m:t>+</m:t>
              </m:r>
              <m:r>
                <m:t>0.09</m:t>
              </m:r>
            </m:oMath>
          </w:p>
        </w:tc>
      </w:tr>
      <w:tr>
        <w:tc>
          <w:tcPr/>
          <w:p>
            <w:pPr>
              <w:pStyle w:val="Compact"/>
              <w:jc w:val="left"/>
            </w:pPr>
            <w:r>
              <w:t xml:space="preserve">APTOS</w:t>
            </w:r>
          </w:p>
        </w:tc>
        <w:tc>
          <w:tcPr/>
          <w:p>
            <w:pPr>
              <w:pStyle w:val="Compact"/>
              <w:jc w:val="left"/>
            </w:pPr>
            <w:r>
              <w:t xml:space="preserve">DINO</w:t>
            </w:r>
            <m:oMath>
              <m:r>
                <m:rPr>
                  <m:sty m:val="p"/>
                </m:rPr>
                <m:t>×</m:t>
              </m:r>
            </m:oMath>
            <w:r>
              <w:t xml:space="preserve">Ord</w:t>
            </w:r>
          </w:p>
        </w:tc>
        <w:tc>
          <w:tcPr/>
          <w:p>
            <w:pPr>
              <w:pStyle w:val="Compact"/>
              <w:jc w:val="center"/>
            </w:pPr>
            <w:r>
              <w:t xml:space="preserve">0.84</w:t>
            </w:r>
          </w:p>
        </w:tc>
        <w:tc>
          <w:tcPr/>
          <w:p>
            <w:pPr>
              <w:pStyle w:val="Compact"/>
              <w:jc w:val="center"/>
            </w:pPr>
            <w:r>
              <w:t xml:space="preserve">1.73</w:t>
            </w:r>
          </w:p>
        </w:tc>
        <w:tc>
          <w:tcPr/>
          <w:p>
            <w:pPr>
              <w:pStyle w:val="Compact"/>
              <w:jc w:val="center"/>
            </w:pPr>
            <w:r>
              <w:t xml:space="preserve">0.87</w:t>
            </w:r>
          </w:p>
        </w:tc>
        <w:tc>
          <w:tcPr/>
          <w:p>
            <w:pPr>
              <w:pStyle w:val="Compact"/>
              <w:jc w:val="center"/>
            </w:pPr>
            <w:r>
              <w:t xml:space="preserve">1.78</w:t>
            </w:r>
          </w:p>
        </w:tc>
        <w:tc>
          <w:tcPr/>
          <w:p>
            <w:pPr>
              <w:pStyle w:val="Compact"/>
              <w:jc w:val="center"/>
            </w:pPr>
            <m:oMath>
              <m:r>
                <m:rPr>
                  <m:sty m:val="p"/>
                </m:rPr>
                <m:t>+</m:t>
              </m:r>
              <m:r>
                <m:t>0.03</m:t>
              </m:r>
            </m:oMath>
          </w:p>
        </w:tc>
      </w:tr>
      <w:tr>
        <w:tc>
          <w:tcPr/>
          <w:p>
            <w:pPr>
              <w:pStyle w:val="Compact"/>
              <w:jc w:val="left"/>
            </w:pPr>
            <w:r>
              <w:t xml:space="preserve">APTOS</w:t>
            </w:r>
          </w:p>
        </w:tc>
        <w:tc>
          <w:tcPr/>
          <w:p>
            <w:pPr>
              <w:pStyle w:val="Compact"/>
              <w:jc w:val="left"/>
            </w:pPr>
            <w:r>
              <w:t xml:space="preserve">DINO</w:t>
            </w:r>
            <m:oMath>
              <m:r>
                <m:rPr>
                  <m:sty m:val="p"/>
                </m:rPr>
                <m:t>×</m:t>
              </m:r>
            </m:oMath>
            <w:r>
              <w:t xml:space="preserve">MLP-K1</w:t>
            </w:r>
          </w:p>
        </w:tc>
        <w:tc>
          <w:tcPr/>
          <w:p>
            <w:pPr>
              <w:pStyle w:val="Compact"/>
              <w:jc w:val="center"/>
            </w:pPr>
            <w:r>
              <w:t xml:space="preserve">0.84</w:t>
            </w:r>
          </w:p>
        </w:tc>
        <w:tc>
          <w:tcPr/>
          <w:p>
            <w:pPr>
              <w:pStyle w:val="Compact"/>
              <w:jc w:val="center"/>
            </w:pPr>
            <w:r>
              <w:t xml:space="preserve">1.79</w:t>
            </w:r>
          </w:p>
        </w:tc>
        <w:tc>
          <w:tcPr/>
          <w:p>
            <w:pPr>
              <w:pStyle w:val="Compact"/>
              <w:jc w:val="center"/>
            </w:pPr>
            <w:r>
              <w:t xml:space="preserve">0.88</w:t>
            </w:r>
          </w:p>
        </w:tc>
        <w:tc>
          <w:tcPr/>
          <w:p>
            <w:pPr>
              <w:pStyle w:val="Compact"/>
              <w:jc w:val="center"/>
            </w:pPr>
            <w:r>
              <w:t xml:space="preserve">1.65</w:t>
            </w:r>
          </w:p>
        </w:tc>
        <w:tc>
          <w:tcPr/>
          <w:p>
            <w:pPr>
              <w:pStyle w:val="Compact"/>
              <w:jc w:val="center"/>
            </w:pPr>
            <m:oMath>
              <m:r>
                <m:rPr>
                  <m:sty m:val="p"/>
                </m:rPr>
                <m:t>+</m:t>
              </m:r>
              <m:r>
                <m:t>0.04</m:t>
              </m:r>
            </m:oMath>
          </w:p>
        </w:tc>
      </w:tr>
      <w:tr>
        <w:tc>
          <w:tcPr/>
          <w:p>
            <w:pPr>
              <w:pStyle w:val="Compact"/>
              <w:jc w:val="left"/>
            </w:pPr>
            <w:r>
              <w:t xml:space="preserve">APTOS</w:t>
            </w:r>
          </w:p>
        </w:tc>
        <w:tc>
          <w:tcPr/>
          <w:p>
            <w:pPr>
              <w:pStyle w:val="Compact"/>
              <w:jc w:val="left"/>
            </w:pPr>
            <w:r>
              <w:t xml:space="preserve">RET</w:t>
            </w:r>
            <m:oMath>
              <m:r>
                <m:rPr>
                  <m:sty m:val="p"/>
                </m:rPr>
                <m:t>×</m:t>
              </m:r>
            </m:oMath>
            <w:r>
              <w:t xml:space="preserve">LoRA</w:t>
            </w:r>
          </w:p>
        </w:tc>
        <w:tc>
          <w:tcPr/>
          <w:p>
            <w:pPr>
              <w:pStyle w:val="Compact"/>
              <w:jc w:val="center"/>
            </w:pPr>
            <w:r>
              <w:t xml:space="preserve">0.78</w:t>
            </w:r>
          </w:p>
        </w:tc>
        <w:tc>
          <w:tcPr/>
          <w:p>
            <w:pPr>
              <w:pStyle w:val="Compact"/>
              <w:jc w:val="center"/>
            </w:pPr>
            <w:r>
              <w:t xml:space="preserve">1.69</w:t>
            </w:r>
          </w:p>
        </w:tc>
        <w:tc>
          <w:tcPr/>
          <w:p>
            <w:pPr>
              <w:pStyle w:val="Compact"/>
              <w:jc w:val="center"/>
            </w:pPr>
            <w:r>
              <w:t xml:space="preserve">0.90</w:t>
            </w:r>
          </w:p>
        </w:tc>
        <w:tc>
          <w:tcPr/>
          <w:p>
            <w:pPr>
              <w:pStyle w:val="Compact"/>
              <w:jc w:val="center"/>
            </w:pPr>
            <w:r>
              <w:t xml:space="preserve">1.80</w:t>
            </w:r>
          </w:p>
        </w:tc>
        <w:tc>
          <w:tcPr/>
          <w:p>
            <w:pPr>
              <w:pStyle w:val="Compact"/>
              <w:jc w:val="center"/>
            </w:pPr>
            <m:oMath>
              <m:r>
                <m:rPr>
                  <m:sty m:val="p"/>
                </m:rPr>
                <m:t>+</m:t>
              </m:r>
              <m:r>
                <m:t>0.12</m:t>
              </m:r>
            </m:oMath>
          </w:p>
        </w:tc>
      </w:tr>
      <w:tr>
        <w:tc>
          <w:tcPr/>
          <w:p>
            <w:pPr>
              <w:pStyle w:val="Compact"/>
              <w:jc w:val="left"/>
            </w:pPr>
            <w:r>
              <w:t xml:space="preserve">Mess-2</w:t>
            </w:r>
          </w:p>
        </w:tc>
        <w:tc>
          <w:tcPr/>
          <w:p>
            <w:pPr>
              <w:pStyle w:val="Compact"/>
              <w:jc w:val="left"/>
            </w:pPr>
            <w:r>
              <w:t xml:space="preserve">RET</w:t>
            </w:r>
            <m:oMath>
              <m:r>
                <m:rPr>
                  <m:sty m:val="p"/>
                </m:rPr>
                <m:t>×</m:t>
              </m:r>
            </m:oMath>
            <w:r>
              <w:t xml:space="preserve">Ord</w:t>
            </w:r>
          </w:p>
        </w:tc>
        <w:tc>
          <w:tcPr/>
          <w:p>
            <w:pPr>
              <w:pStyle w:val="Compact"/>
              <w:jc w:val="center"/>
            </w:pPr>
            <w:r>
              <w:t xml:space="preserve">0.74</w:t>
            </w:r>
          </w:p>
        </w:tc>
        <w:tc>
          <w:tcPr/>
          <w:p>
            <w:pPr>
              <w:pStyle w:val="Compact"/>
              <w:jc w:val="center"/>
            </w:pPr>
            <w:r>
              <w:t xml:space="preserve">2.54</w:t>
            </w:r>
          </w:p>
        </w:tc>
        <w:tc>
          <w:tcPr/>
          <w:p>
            <w:pPr>
              <w:pStyle w:val="Compact"/>
              <w:jc w:val="center"/>
            </w:pPr>
            <w:r>
              <w:t xml:space="preserve">0.88</w:t>
            </w:r>
          </w:p>
        </w:tc>
        <w:tc>
          <w:tcPr/>
          <w:p>
            <w:pPr>
              <w:pStyle w:val="Compact"/>
              <w:jc w:val="center"/>
            </w:pPr>
            <w:r>
              <w:t xml:space="preserve">3.48</w:t>
            </w:r>
          </w:p>
        </w:tc>
        <w:tc>
          <w:tcPr/>
          <w:p>
            <w:pPr>
              <w:pStyle w:val="Compact"/>
              <w:jc w:val="center"/>
            </w:pPr>
            <m:oMath>
              <m:r>
                <m:rPr>
                  <m:sty m:val="p"/>
                </m:rPr>
                <m:t>+</m:t>
              </m:r>
              <m:r>
                <m:t>0.14</m:t>
              </m:r>
            </m:oMath>
          </w:p>
        </w:tc>
      </w:tr>
      <w:tr>
        <w:tc>
          <w:tcPr/>
          <w:p>
            <w:pPr>
              <w:pStyle w:val="Compact"/>
              <w:jc w:val="left"/>
            </w:pPr>
            <w:r>
              <w:t xml:space="preserve">Mess-2</w:t>
            </w:r>
          </w:p>
        </w:tc>
        <w:tc>
          <w:tcPr/>
          <w:p>
            <w:pPr>
              <w:pStyle w:val="Compact"/>
              <w:jc w:val="left"/>
            </w:pPr>
            <w:r>
              <w:t xml:space="preserve">RET</w:t>
            </w:r>
            <m:oMath>
              <m:r>
                <m:rPr>
                  <m:sty m:val="p"/>
                </m:rPr>
                <m:t>×</m:t>
              </m:r>
            </m:oMath>
            <w:r>
              <w:t xml:space="preserve">MLP-K1</w:t>
            </w:r>
          </w:p>
        </w:tc>
        <w:tc>
          <w:tcPr/>
          <w:p>
            <w:pPr>
              <w:pStyle w:val="Compact"/>
              <w:jc w:val="center"/>
            </w:pPr>
            <w:r>
              <w:t xml:space="preserve">0.72</w:t>
            </w:r>
          </w:p>
        </w:tc>
        <w:tc>
          <w:tcPr/>
          <w:p>
            <w:pPr>
              <w:pStyle w:val="Compact"/>
              <w:jc w:val="center"/>
            </w:pPr>
            <w:r>
              <w:t xml:space="preserve">2.50</w:t>
            </w:r>
          </w:p>
        </w:tc>
        <w:tc>
          <w:tcPr/>
          <w:p>
            <w:pPr>
              <w:pStyle w:val="Compact"/>
              <w:jc w:val="center"/>
            </w:pPr>
            <w:r>
              <w:t xml:space="preserve">0.83</w:t>
            </w:r>
          </w:p>
        </w:tc>
        <w:tc>
          <w:tcPr/>
          <w:p>
            <w:pPr>
              <w:pStyle w:val="Compact"/>
              <w:jc w:val="center"/>
            </w:pPr>
            <w:r>
              <w:t xml:space="preserve">3.25</w:t>
            </w:r>
          </w:p>
        </w:tc>
        <w:tc>
          <w:tcPr/>
          <w:p>
            <w:pPr>
              <w:pStyle w:val="Compact"/>
              <w:jc w:val="center"/>
            </w:pPr>
            <m:oMath>
              <m:r>
                <m:rPr>
                  <m:sty m:val="p"/>
                </m:rPr>
                <m:t>+</m:t>
              </m:r>
              <m:r>
                <m:t>0.11</m:t>
              </m:r>
            </m:oMath>
          </w:p>
        </w:tc>
      </w:tr>
      <w:tr>
        <w:tc>
          <w:tcPr/>
          <w:p>
            <w:pPr>
              <w:pStyle w:val="Compact"/>
              <w:jc w:val="left"/>
            </w:pPr>
            <w:r>
              <w:t xml:space="preserve">Mess-2</w:t>
            </w:r>
          </w:p>
        </w:tc>
        <w:tc>
          <w:tcPr/>
          <w:p>
            <w:pPr>
              <w:pStyle w:val="Compact"/>
              <w:jc w:val="left"/>
            </w:pPr>
            <w:r>
              <w:t xml:space="preserve">DINO</w:t>
            </w:r>
            <m:oMath>
              <m:r>
                <m:rPr>
                  <m:sty m:val="p"/>
                </m:rPr>
                <m:t>×</m:t>
              </m:r>
            </m:oMath>
            <w:r>
              <w:t xml:space="preserve">Ord</w:t>
            </w:r>
          </w:p>
        </w:tc>
        <w:tc>
          <w:tcPr/>
          <w:p>
            <w:pPr>
              <w:pStyle w:val="Compact"/>
              <w:jc w:val="center"/>
            </w:pPr>
            <w:r>
              <w:t xml:space="preserve">0.67</w:t>
            </w:r>
          </w:p>
        </w:tc>
        <w:tc>
          <w:tcPr/>
          <w:p>
            <w:pPr>
              <w:pStyle w:val="Compact"/>
              <w:jc w:val="center"/>
            </w:pPr>
            <w:r>
              <w:t xml:space="preserve">2.06</w:t>
            </w:r>
          </w:p>
        </w:tc>
        <w:tc>
          <w:tcPr/>
          <w:p>
            <w:pPr>
              <w:pStyle w:val="Compact"/>
              <w:jc w:val="center"/>
            </w:pPr>
            <w:r>
              <w:t xml:space="preserve">0.82</w:t>
            </w:r>
          </w:p>
        </w:tc>
        <w:tc>
          <w:tcPr/>
          <w:p>
            <w:pPr>
              <w:pStyle w:val="Compact"/>
              <w:jc w:val="center"/>
            </w:pPr>
            <w:r>
              <w:t xml:space="preserve">2.95</w:t>
            </w:r>
          </w:p>
        </w:tc>
        <w:tc>
          <w:tcPr/>
          <w:p>
            <w:pPr>
              <w:pStyle w:val="Compact"/>
              <w:jc w:val="center"/>
            </w:pPr>
            <m:oMath>
              <m:r>
                <m:rPr>
                  <m:sty m:val="p"/>
                </m:rPr>
                <m:t>+</m:t>
              </m:r>
              <m:r>
                <m:t>0.15</m:t>
              </m:r>
            </m:oMath>
          </w:p>
        </w:tc>
      </w:tr>
      <w:tr>
        <w:tc>
          <w:tcPr/>
          <w:p>
            <w:pPr>
              <w:pStyle w:val="Compact"/>
              <w:jc w:val="left"/>
            </w:pPr>
            <w:r>
              <w:t xml:space="preserve">Mess-2</w:t>
            </w:r>
          </w:p>
        </w:tc>
        <w:tc>
          <w:tcPr/>
          <w:p>
            <w:pPr>
              <w:pStyle w:val="Compact"/>
              <w:jc w:val="left"/>
            </w:pPr>
            <w:r>
              <w:t xml:space="preserve">DINO</w:t>
            </w:r>
            <m:oMath>
              <m:r>
                <m:rPr>
                  <m:sty m:val="p"/>
                </m:rPr>
                <m:t>×</m:t>
              </m:r>
            </m:oMath>
            <w:r>
              <w:t xml:space="preserve">MLP-K1</w:t>
            </w:r>
          </w:p>
        </w:tc>
        <w:tc>
          <w:tcPr/>
          <w:p>
            <w:pPr>
              <w:pStyle w:val="Compact"/>
              <w:jc w:val="center"/>
            </w:pPr>
            <w:r>
              <w:t xml:space="preserve">0.58</w:t>
            </w:r>
          </w:p>
        </w:tc>
        <w:tc>
          <w:tcPr/>
          <w:p>
            <w:pPr>
              <w:pStyle w:val="Compact"/>
              <w:jc w:val="center"/>
            </w:pPr>
            <w:r>
              <w:t xml:space="preserve">1.97</w:t>
            </w:r>
          </w:p>
        </w:tc>
        <w:tc>
          <w:tcPr/>
          <w:p>
            <w:pPr>
              <w:pStyle w:val="Compact"/>
              <w:jc w:val="center"/>
            </w:pPr>
            <w:r>
              <w:t xml:space="preserve">0.84</w:t>
            </w:r>
          </w:p>
        </w:tc>
        <w:tc>
          <w:tcPr/>
          <w:p>
            <w:pPr>
              <w:pStyle w:val="Compact"/>
              <w:jc w:val="center"/>
            </w:pPr>
            <w:r>
              <w:t xml:space="preserve">2.38</w:t>
            </w:r>
          </w:p>
        </w:tc>
        <w:tc>
          <w:tcPr/>
          <w:p>
            <w:pPr>
              <w:pStyle w:val="Compact"/>
              <w:jc w:val="center"/>
            </w:pPr>
            <m:oMath>
              <m:r>
                <m:rPr>
                  <m:sty m:val="b"/>
                </m:rPr>
                <m:t>+</m:t>
              </m:r>
              <m:r>
                <m:rPr>
                  <m:sty m:val="b"/>
                </m:rPr>
                <m:t>0.26</m:t>
              </m:r>
            </m:oMath>
          </w:p>
        </w:tc>
      </w:tr>
    </w:tbl>
    <w:bookmarkEnd w:id="43"/>
    <w:bookmarkEnd w:id="44"/>
    <w:bookmarkStart w:id="53" w:name="sec:messidor-within"/>
    <w:p>
      <w:pPr>
        <w:pStyle w:val="Heading2"/>
      </w:pPr>
      <w:r>
        <w:t xml:space="preserve">Within-Messidor-2</w:t>
      </w:r>
    </w:p>
    <w:p>
      <w:pPr>
        <w:pStyle w:val="FirstParagraph"/>
      </w:pPr>
      <w:r>
        <w:t xml:space="preserve">Within Messidor-2 (Table </w:t>
      </w:r>
      <w:hyperlink w:anchor="tab:head_backbone">
        <w:r>
          <w:rPr>
            <w:rStyle w:val="Hyperlink"/>
          </w:rPr>
          <w:t xml:space="preserve">[tab:head_backbone]</w:t>
        </w:r>
      </w:hyperlink>
      <w:r>
        <w:t xml:space="preserve">, right half), the Ordinal CapsNet + DINOv2 combination reaches QWK</w:t>
      </w:r>
      <w:r>
        <w:t xml:space="preserve"> </w:t>
      </w:r>
      <m:oMath>
        <m:r>
          <m:t>0.7525</m:t>
        </m:r>
        <m:r>
          <m:rPr>
            <m:sty m:val="p"/>
          </m:rPr>
          <m:t>±</m:t>
        </m:r>
        <m:r>
          <m:t>0.022</m:t>
        </m:r>
      </m:oMath>
      <w:r>
        <w:t xml:space="preserve">, and the MLP-K1 + DINOv2 combination reaches</w:t>
      </w:r>
      <w:r>
        <w:t xml:space="preserve"> </w:t>
      </w:r>
      <m:oMath>
        <m:r>
          <m:t>0.7643</m:t>
        </m:r>
        <m:r>
          <m:rPr>
            <m:sty m:val="p"/>
          </m:rPr>
          <m:t>±</m:t>
        </m:r>
        <m:r>
          <m:t>0.015</m:t>
        </m:r>
      </m:oMath>
      <w:r>
        <w:t xml:space="preserve">. Both are substantially above the prior RETFound-only result of</w:t>
      </w:r>
      <w:r>
        <w:t xml:space="preserve"> </w:t>
      </w:r>
      <m:oMath>
        <m:r>
          <m:t>0.6065</m:t>
        </m:r>
        <m:r>
          <m:rPr>
            <m:sty m:val="p"/>
          </m:rPr>
          <m:t>±</m:t>
        </m:r>
        <m:r>
          <m:t>0.036</m:t>
        </m:r>
      </m:oMath>
      <w:r>
        <w:t xml:space="preserve">. Accuracy follows the same ranking, with RETFound</w:t>
      </w:r>
      <w:r>
        <w:t xml:space="preserve"> </w:t>
      </w:r>
      <m:oMath>
        <m:r>
          <m:rPr>
            <m:sty m:val="p"/>
          </m:rPr>
          <m:t>×</m:t>
        </m:r>
      </m:oMath>
      <w:r>
        <w:t xml:space="preserve"> </w:t>
      </w:r>
      <w:r>
        <w:t xml:space="preserve">Ordinal at</w:t>
      </w:r>
      <w:r>
        <w:t xml:space="preserve"> </w:t>
      </w:r>
      <m:oMath>
        <m:r>
          <m:t>0.556</m:t>
        </m:r>
      </m:oMath>
      <w:r>
        <w:t xml:space="preserve">, DINOv2</w:t>
      </w:r>
      <w:r>
        <w:t xml:space="preserve"> </w:t>
      </w:r>
      <m:oMath>
        <m:r>
          <m:rPr>
            <m:sty m:val="p"/>
          </m:rPr>
          <m:t>×</m:t>
        </m:r>
      </m:oMath>
      <w:r>
        <w:t xml:space="preserve"> </w:t>
      </w:r>
      <w:r>
        <w:t xml:space="preserve">Ordinal at</w:t>
      </w:r>
      <w:r>
        <w:t xml:space="preserve"> </w:t>
      </w:r>
      <m:oMath>
        <m:r>
          <m:t>0.658</m:t>
        </m:r>
      </m:oMath>
      <w:r>
        <w:t xml:space="preserve">, and DINOv2</w:t>
      </w:r>
      <w:r>
        <w:t xml:space="preserve"> </w:t>
      </w:r>
      <m:oMath>
        <m:r>
          <m:rPr>
            <m:sty m:val="p"/>
          </m:rPr>
          <m:t>×</m:t>
        </m:r>
      </m:oMath>
      <w:r>
        <w:t xml:space="preserve"> </w:t>
      </w:r>
      <w:r>
        <w:t xml:space="preserve">MLP-K1 at</w:t>
      </w:r>
      <w:r>
        <w:t xml:space="preserve"> </w:t>
      </w:r>
      <m:oMath>
        <m:r>
          <m:rPr>
            <m:sty m:val="b"/>
          </m:rPr>
          <m:t>0.710</m:t>
        </m:r>
      </m:oMath>
      <w:r>
        <w:t xml:space="preserve">. On per-class recall, DINOv2 backbones consistently improve Grade 3 (Severe) and Grade 4 (PDR) detection, which are the clinically dangerous minorities. The figures </w:t>
      </w:r>
      <w:hyperlink w:anchor="fig:messidor2_cm">
        <w:r>
          <w:rPr>
            <w:rStyle w:val="Hyperlink"/>
          </w:rPr>
          <w:t xml:space="preserve">4</w:t>
        </w:r>
      </w:hyperlink>
      <w:r>
        <w:t xml:space="preserve"> </w:t>
      </w:r>
      <w:r>
        <w:t xml:space="preserve">(confusion matrices) and </w:t>
      </w:r>
      <w:hyperlink w:anchor="fig:reliability_messidor2">
        <w:r>
          <w:rPr>
            <w:rStyle w:val="Hyperlink"/>
          </w:rPr>
          <w:t xml:space="preserve">5</w:t>
        </w:r>
      </w:hyperlink>
      <w:r>
        <w:t xml:space="preserve"> </w:t>
      </w:r>
      <w:r>
        <w:t xml:space="preserve">(reliability) support the quantitative Tables.</w:t>
      </w:r>
    </w:p>
    <w:bookmarkStart w:id="48" w:name="fig:messidor2_cm"/>
    <w:p>
      <w:pPr>
        <w:pStyle w:val="CaptionedFigure"/>
      </w:pPr>
      <w:r>
        <w:drawing>
          <wp:inline>
            <wp:extent cx="5334000" cy="2107837"/>
            <wp:effectExtent b="0" l="0" r="0" t="0"/>
            <wp:docPr descr="" title="" id="46" name="Picture"/>
            <a:graphic>
              <a:graphicData uri="http://schemas.openxmlformats.org/drawingml/2006/picture">
                <pic:pic>
                  <pic:nvPicPr>
                    <pic:cNvPr descr="figs/fig_g_messidor2_cm_sidebyside.pdf" id="47" name="Picture"/>
                    <pic:cNvPicPr>
                      <a:picLocks noChangeArrowheads="1" noChangeAspect="1"/>
                    </pic:cNvPicPr>
                  </pic:nvPicPr>
                  <pic:blipFill>
                    <a:blip r:embed="rId45"/>
                    <a:stretch>
                      <a:fillRect/>
                    </a:stretch>
                  </pic:blipFill>
                  <pic:spPr bwMode="auto">
                    <a:xfrm>
                      <a:off x="0" y="0"/>
                      <a:ext cx="5334000" cy="2107837"/>
                    </a:xfrm>
                    <a:prstGeom prst="rect">
                      <a:avLst/>
                    </a:prstGeom>
                    <a:noFill/>
                    <a:ln w="9525">
                      <a:noFill/>
                      <a:headEnd/>
                      <a:tailEnd/>
                    </a:ln>
                  </pic:spPr>
                </pic:pic>
              </a:graphicData>
            </a:graphic>
          </wp:inline>
        </w:drawing>
      </w:r>
    </w:p>
    <w:p>
      <w:pPr>
        <w:pStyle w:val="ImageCaption"/>
      </w:pPr>
      <w:r>
        <w:t xml:space="preserve">Messidor-2 confusion matrices (RETFound backbone): Vanilla CapsNet (left) vs Ordinal CapsNet (right), pooled across 5 folds.</w:t>
      </w:r>
    </w:p>
    <w:bookmarkEnd w:id="48"/>
    <w:bookmarkStart w:id="52" w:name="fig:reliability_messidor2"/>
    <w:p>
      <w:pPr>
        <w:pStyle w:val="CaptionedFigure"/>
      </w:pPr>
      <w:r>
        <w:drawing>
          <wp:inline>
            <wp:extent cx="5334000" cy="4772526"/>
            <wp:effectExtent b="0" l="0" r="0" t="0"/>
            <wp:docPr descr="" title="" id="50" name="Picture"/>
            <a:graphic>
              <a:graphicData uri="http://schemas.openxmlformats.org/drawingml/2006/picture">
                <pic:pic>
                  <pic:nvPicPr>
                    <pic:cNvPr descr="figs/fig_reliability_messidor2.pdf" id="51" name="Picture"/>
                    <pic:cNvPicPr>
                      <a:picLocks noChangeArrowheads="1" noChangeAspect="1"/>
                    </pic:cNvPicPr>
                  </pic:nvPicPr>
                  <pic:blipFill>
                    <a:blip r:embed="rId49"/>
                    <a:stretch>
                      <a:fillRect/>
                    </a:stretch>
                  </pic:blipFill>
                  <pic:spPr bwMode="auto">
                    <a:xfrm>
                      <a:off x="0" y="0"/>
                      <a:ext cx="5334000" cy="4772526"/>
                    </a:xfrm>
                    <a:prstGeom prst="rect">
                      <a:avLst/>
                    </a:prstGeom>
                    <a:noFill/>
                    <a:ln w="9525">
                      <a:noFill/>
                      <a:headEnd/>
                      <a:tailEnd/>
                    </a:ln>
                  </pic:spPr>
                </pic:pic>
              </a:graphicData>
            </a:graphic>
          </wp:inline>
        </w:drawing>
      </w:r>
    </w:p>
    <w:p>
      <w:pPr>
        <w:pStyle w:val="ImageCaption"/>
      </w:pPr>
      <w:r>
        <w:t xml:space="preserve">Messidor-2 reliability diagrams for the four head</w:t>
      </w:r>
      <m:oMath>
        <m:r>
          <m:rPr>
            <m:sty m:val="p"/>
          </m:rPr>
          <m:t>×</m:t>
        </m:r>
      </m:oMath>
      <w:r>
        <w:t xml:space="preserve">backbone cells.</w:t>
      </w:r>
    </w:p>
    <w:bookmarkEnd w:id="52"/>
    <w:bookmarkEnd w:id="53"/>
    <w:bookmarkStart w:id="58" w:name="sec:cross"/>
    <w:p>
      <w:pPr>
        <w:pStyle w:val="Heading2"/>
      </w:pPr>
      <w:r>
        <w:t xml:space="preserve">Cross-dataset: diagnosis and post-hoc recovery</w:t>
      </w:r>
    </w:p>
    <w:p>
      <w:pPr>
        <w:pStyle w:val="FirstParagraph"/>
      </w:pPr>
      <w:r>
        <w:t xml:space="preserve">Cross-dataset APTOS</w:t>
      </w:r>
      <m:oMath>
        <m:r>
          <m:rPr>
            <m:sty m:val="p"/>
          </m:rPr>
          <m:t>→</m:t>
        </m:r>
      </m:oMath>
      <w:r>
        <w:t xml:space="preserve">Messidor-2 (no Messidor-2 training) collapses to QWK</w:t>
      </w:r>
      <w:r>
        <w:t xml:space="preserve"> </w:t>
      </w:r>
      <m:oMath>
        <m:r>
          <m:rPr>
            <m:sty m:val="p"/>
          </m:rPr>
          <m:t>≈</m:t>
        </m:r>
        <m:r>
          <m:t>0.01</m:t>
        </m:r>
      </m:oMath>
      <w:r>
        <w:t xml:space="preserve"> </w:t>
      </w:r>
      <w:r>
        <w:t xml:space="preserve">across every baseline. Forensics on the pooled 5-fold</w:t>
      </w:r>
      <w:r>
        <w:t xml:space="preserve"> </w:t>
      </w:r>
      <m:oMath>
        <m:r>
          <m:rPr>
            <m:sty m:val="p"/>
          </m:rPr>
          <m:t>×</m:t>
        </m:r>
      </m:oMath>
      <w:r>
        <w:t xml:space="preserve"> </w:t>
      </w:r>
      <w:r>
        <w:t xml:space="preserve">1,744-sample predictions reveal a near-constant-Grade-0 predictor. Of all samples,</w:t>
      </w:r>
      <w:r>
        <w:t xml:space="preserve"> </w:t>
      </w:r>
      <m:oMath>
        <m:r>
          <m:t>99.4</m:t>
        </m:r>
        <m:r>
          <m:rPr>
            <m:sty m:val="p"/>
          </m:rPr>
          <m:t>%</m:t>
        </m:r>
      </m:oMath>
      <w:r>
        <w:t xml:space="preserve"> </w:t>
      </w:r>
      <w:r>
        <w:t xml:space="preserve">receive the Grade-0 label under</w:t>
      </w:r>
      <w:r>
        <w:t xml:space="preserve"> </w:t>
      </w:r>
      <m:oMath>
        <m:r>
          <m:t>K</m:t>
        </m:r>
        <m:r>
          <m:rPr>
            <m:sty m:val="p"/>
          </m:rPr>
          <m:t>−</m:t>
        </m:r>
        <m:r>
          <m:t>1</m:t>
        </m:r>
      </m:oMath>
      <w:r>
        <w:t xml:space="preserve"> </w:t>
      </w:r>
      <w:r>
        <w:t xml:space="preserve">thresholding at</w:t>
      </w:r>
      <w:r>
        <w:t xml:space="preserve"> </w:t>
      </w:r>
      <m:oMath>
        <m:r>
          <m:t>0.5</m:t>
        </m:r>
      </m:oMath>
      <w:r>
        <w:t xml:space="preserve">, and</w:t>
      </w:r>
      <w:r>
        <w:t xml:space="preserve"> </w:t>
      </w:r>
      <m:oMath>
        <m:r>
          <m:t>99.9</m:t>
        </m:r>
        <m:r>
          <m:rPr>
            <m:sty m:val="p"/>
          </m:rPr>
          <m:t>%</m:t>
        </m:r>
      </m:oMath>
      <w:r>
        <w:t xml:space="preserve"> </w:t>
      </w:r>
      <w:r>
        <w:t xml:space="preserve">under argmax of the chain-rule 5-class probabilities. The mean predicted head probabilities are</w:t>
      </w:r>
      <w:r>
        <w:t xml:space="preserve"> </w:t>
      </w:r>
      <m:oMath>
        <m:acc>
          <m:accPr>
            <m:chr m:val="‾"/>
          </m:accPr>
          <m:e>
            <m:r>
              <m:t>P</m:t>
            </m:r>
          </m:e>
        </m:acc>
        <m:r>
          <m:rPr>
            <m:sty m:val="p"/>
          </m:rPr>
          <m:t>(</m:t>
        </m:r>
        <m:r>
          <m:t>y</m:t>
        </m:r>
        <m:r>
          <m:rPr>
            <m:sty m:val="p"/>
          </m:rPr>
          <m:t>&gt;</m:t>
        </m:r>
        <m:r>
          <m:t>0</m:t>
        </m:r>
        <m:r>
          <m:rPr>
            <m:sty m:val="p"/>
          </m:rPr>
          <m:t>)</m:t>
        </m:r>
        <m:r>
          <m:rPr>
            <m:sty m:val="p"/>
          </m:rPr>
          <m:t>=</m:t>
        </m:r>
        <m:r>
          <m:t>0.087</m:t>
        </m:r>
      </m:oMath>
      <w:r>
        <w:t xml:space="preserve">,</w:t>
      </w:r>
      <w:r>
        <w:t xml:space="preserve"> </w:t>
      </w:r>
      <m:oMath>
        <m:acc>
          <m:accPr>
            <m:chr m:val="‾"/>
          </m:accPr>
          <m:e>
            <m:r>
              <m:t>P</m:t>
            </m:r>
          </m:e>
        </m:acc>
        <m:r>
          <m:rPr>
            <m:sty m:val="p"/>
          </m:rPr>
          <m:t>(</m:t>
        </m:r>
        <m:r>
          <m:t>y</m:t>
        </m:r>
        <m:r>
          <m:rPr>
            <m:sty m:val="p"/>
          </m:rPr>
          <m:t>&gt;</m:t>
        </m:r>
        <m:r>
          <m:t>1</m:t>
        </m:r>
        <m:r>
          <m:rPr>
            <m:sty m:val="p"/>
          </m:rPr>
          <m:t>)</m:t>
        </m:r>
        <m:r>
          <m:rPr>
            <m:sty m:val="p"/>
          </m:rPr>
          <m:t>=</m:t>
        </m:r>
        <m:r>
          <m:t>0.088</m:t>
        </m:r>
      </m:oMath>
      <w:r>
        <w:t xml:space="preserve">,</w:t>
      </w:r>
      <w:r>
        <w:t xml:space="preserve"> </w:t>
      </w:r>
      <m:oMath>
        <m:acc>
          <m:accPr>
            <m:chr m:val="‾"/>
          </m:accPr>
          <m:e>
            <m:r>
              <m:t>P</m:t>
            </m:r>
          </m:e>
        </m:acc>
        <m:r>
          <m:rPr>
            <m:sty m:val="p"/>
          </m:rPr>
          <m:t>(</m:t>
        </m:r>
        <m:r>
          <m:t>y</m:t>
        </m:r>
        <m:r>
          <m:rPr>
            <m:sty m:val="p"/>
          </m:rPr>
          <m:t>&gt;</m:t>
        </m:r>
        <m:r>
          <m:t>2</m:t>
        </m:r>
        <m:r>
          <m:rPr>
            <m:sty m:val="p"/>
          </m:rPr>
          <m:t>)</m:t>
        </m:r>
        <m:r>
          <m:rPr>
            <m:sty m:val="p"/>
          </m:rPr>
          <m:t>=</m:t>
        </m:r>
        <m:r>
          <m:t>0.066</m:t>
        </m:r>
      </m:oMath>
      <w:r>
        <w:t xml:space="preserve">,</w:t>
      </w:r>
      <w:r>
        <w:t xml:space="preserve"> </w:t>
      </w:r>
      <m:oMath>
        <m:acc>
          <m:accPr>
            <m:chr m:val="‾"/>
          </m:accPr>
          <m:e>
            <m:r>
              <m:t>P</m:t>
            </m:r>
          </m:e>
        </m:acc>
        <m:r>
          <m:rPr>
            <m:sty m:val="p"/>
          </m:rPr>
          <m:t>(</m:t>
        </m:r>
        <m:r>
          <m:t>y</m:t>
        </m:r>
        <m:r>
          <m:rPr>
            <m:sty m:val="p"/>
          </m:rPr>
          <m:t>&gt;</m:t>
        </m:r>
        <m:r>
          <m:t>3</m:t>
        </m:r>
        <m:r>
          <m:rPr>
            <m:sty m:val="p"/>
          </m:rPr>
          <m:t>)</m:t>
        </m:r>
        <m:r>
          <m:rPr>
            <m:sty m:val="p"/>
          </m:rPr>
          <m:t>=</m:t>
        </m:r>
        <m:r>
          <m:t>0.037</m:t>
        </m:r>
      </m:oMath>
      <w:r>
        <w:t xml:space="preserve">. Every head fires below</w:t>
      </w:r>
      <w:r>
        <w:t xml:space="preserve"> </w:t>
      </w:r>
      <m:oMath>
        <m:r>
          <m:t>0.5</m:t>
        </m:r>
      </m:oMath>
      <w:r>
        <w:t xml:space="preserve"> </w:t>
      </w:r>
      <w:r>
        <w:t xml:space="preserve">on virtually every sample. This is a feature-distribution shift, not a head failure. The binary AUC stays at</w:t>
      </w:r>
      <w:r>
        <w:t xml:space="preserve"> </w:t>
      </w:r>
      <m:oMath>
        <m:r>
          <m:t>0.61</m:t>
        </m:r>
      </m:oMath>
      <w:r>
        <w:t xml:space="preserve"> </w:t>
      </w:r>
      <w:r>
        <w:t xml:space="preserve">(above chance), which means the rank order of predictions is preserved and only the threshold is wrong. Two independent replications confirm this is a property of the frozen RETFound feature space and not of our pipeline. Zoellin et al. </w:t>
      </w:r>
      <w:r>
        <w:t xml:space="preserve"> </w:t>
      </w:r>
      <w:r>
        <w:t xml:space="preserve">report frozen-RETFound on Messidor with QKappa exactly</w:t>
      </w:r>
      <w:r>
        <w:t xml:space="preserve"> </w:t>
      </w:r>
      <m:oMath>
        <m:r>
          <m:t>0.0</m:t>
        </m:r>
      </m:oMath>
      <w:r>
        <w:t xml:space="preserve"> </w:t>
      </w:r>
      <w:r>
        <w:t xml:space="preserve">(linear-probe adaptation) vs. QKappa</w:t>
      </w:r>
      <w:r>
        <w:t xml:space="preserve"> </w:t>
      </w:r>
      <m:oMath>
        <m:r>
          <m:t>0.592</m:t>
        </m:r>
      </m:oMath>
      <w:r>
        <w:t xml:space="preserve"> </w:t>
      </w:r>
      <w:r>
        <w:t xml:space="preserve">unfrozen, and frozen-DINOv2 QKappa</w:t>
      </w:r>
      <w:r>
        <w:t xml:space="preserve"> </w:t>
      </w:r>
      <m:oMath>
        <m:r>
          <m:t>0.626</m:t>
        </m:r>
      </m:oMath>
      <w:r>
        <w:t xml:space="preserve">. Poyrazer et al. </w:t>
      </w:r>
      <w:r>
        <w:t xml:space="preserve"> </w:t>
      </w:r>
      <w:r>
        <w:t xml:space="preserve">report a RETFound binary-AUC drop from</w:t>
      </w:r>
      <w:r>
        <w:t xml:space="preserve"> </w:t>
      </w:r>
      <m:oMath>
        <m:r>
          <m:t>0.98</m:t>
        </m:r>
      </m:oMath>
      <w:r>
        <w:t xml:space="preserve"> </w:t>
      </w:r>
      <w:r>
        <w:t xml:space="preserve">on APTOS to</w:t>
      </w:r>
      <w:r>
        <w:t xml:space="preserve"> </w:t>
      </w:r>
      <m:oMath>
        <m:r>
          <m:t>0.697</m:t>
        </m:r>
      </m:oMath>
      <w:r>
        <w:t xml:space="preserve"> </w:t>
      </w:r>
      <w:r>
        <w:t xml:space="preserve">on external Messidor-2 (</w:t>
      </w:r>
      <m:oMath>
        <m:r>
          <m:rPr>
            <m:sty m:val="p"/>
          </m:rPr>
          <m:t>Δ</m:t>
        </m:r>
      </m:oMath>
      <w:r>
        <w:t xml:space="preserve">AUC</w:t>
      </w:r>
      <w:r>
        <w:t xml:space="preserve"> </w:t>
      </w:r>
      <m:oMath>
        <m:r>
          <m:rPr>
            <m:sty m:val="p"/>
          </m:rPr>
          <m:t>=</m:t>
        </m:r>
        <m:r>
          <m:rPr>
            <m:sty m:val="p"/>
          </m:rPr>
          <m:t>−</m:t>
        </m:r>
        <m:r>
          <m:t>0.286</m:t>
        </m:r>
      </m:oMath>
      <w:r>
        <w:t xml:space="preserve">), below even an ImageNet baseline. The frozen-feature cross-dataset collapse from APTOS to Messidor-2 under RETFound-MAE is a stable, reproducible phenomenon in the 2024–2026 literature.</w:t>
      </w:r>
    </w:p>
    <w:p>
      <w:pPr>
        <w:pStyle w:val="BodyText"/>
      </w:pPr>
      <w:r>
        <w:rPr>
          <w:b/>
          <w:bCs/>
        </w:rPr>
        <w:t xml:space="preserve">Prior-probability shift correction.</w:t>
      </w:r>
      <w:r>
        <w:t xml:space="preserve"> </w:t>
      </w:r>
      <w:r>
        <w:t xml:space="preserve">For each head, we sort all target-domain samples by severity score</w:t>
      </w:r>
      <w:r>
        <w:t xml:space="preserve"> </w:t>
      </w:r>
      <m:oMath>
        <m:r>
          <m:t>P</m:t>
        </m:r>
        <m:r>
          <m:rPr>
            <m:sty m:val="p"/>
          </m:rPr>
          <m:t>(</m:t>
        </m:r>
        <m:r>
          <m:t>y</m:t>
        </m:r>
        <m:r>
          <m:rPr>
            <m:sty m:val="p"/>
          </m:rPr>
          <m:t>&gt;</m:t>
        </m:r>
        <m:r>
          <m:t>k</m:t>
        </m:r>
        <m:r>
          <m:t> </m:t>
        </m:r>
        <m:r>
          <m:rPr>
            <m:sty m:val="p"/>
          </m:rPr>
          <m:t>|</m:t>
        </m:r>
        <m:r>
          <m:t> </m:t>
        </m:r>
        <m:r>
          <m:t>x</m:t>
        </m:r>
        <m:r>
          <m:rPr>
            <m:sty m:val="p"/>
          </m:rPr>
          <m:t>)</m:t>
        </m:r>
      </m:oMath>
      <w:r>
        <w:t xml:space="preserve"> </w:t>
      </w:r>
      <w:r>
        <w:t xml:space="preserve">and assign grades by matching the cumulative distribution to the APTOS</w:t>
      </w:r>
      <w:r>
        <w:t xml:space="preserve"> </w:t>
      </w:r>
      <w:r>
        <w:rPr>
          <w:i/>
          <w:iCs/>
        </w:rPr>
        <w:t xml:space="preserve">source-domain</w:t>
      </w:r>
      <w:r>
        <w:t xml:space="preserve"> </w:t>
      </w:r>
      <w:r>
        <w:t xml:space="preserve">prior</w:t>
      </w:r>
      <w:r>
        <w:t xml:space="preserve"> </w:t>
      </w:r>
      <m:oMath>
        <m:r>
          <m:t>π</m:t>
        </m:r>
      </m:oMath>
      <w:r>
        <w:t xml:space="preserve">. This is an ordinal-decomposition variant of the Saerens, Latinne and Decaestecker EM-style prior correction</w:t>
      </w:r>
      <w:r>
        <w:t xml:space="preserve"> </w:t>
      </w:r>
      <w:r>
        <w:t xml:space="preserve">, which has a long follow-up literature (Lipton et al.’s BBSE</w:t>
      </w:r>
      <w:r>
        <w:t xml:space="preserve"> </w:t>
      </w:r>
      <w:r>
        <w:t xml:space="preserve">, Alexandari et al.’s MLLS/BCTS</w:t>
      </w:r>
      <w:r>
        <w:t xml:space="preserve"> </w:t>
      </w:r>
      <w:r>
        <w:t xml:space="preserve">, Popordanoska et al.’s LaSCal</w:t>
      </w:r>
      <w:r>
        <w:t xml:space="preserve"> </w:t>
      </w:r>
      <w:r>
        <w:t xml:space="preserve">) that we do not claim novelty against. Our contribution is strictly in applying the source-prior variant as a vulnerability probe for frozen ordinal DR heads. Stronger target-prior estimation (BBSE, MLLS) and full unsupervised domain adaptation (DANN, CORAL, SHOT) are named as future work. The calibration uses no target-domain labels. Table </w:t>
      </w:r>
      <w:hyperlink w:anchor="tab:cross_messidor2">
        <w:r>
          <w:rPr>
            <w:rStyle w:val="Hyperlink"/>
          </w:rPr>
          <w:t xml:space="preserve">[tab:cross_messidor2]</w:t>
        </w:r>
      </w:hyperlink>
      <w:r>
        <w:t xml:space="preserve"> </w:t>
      </w:r>
      <w:r>
        <w:t xml:space="preserve">reports three rows for the ordinal head, namely uncalibrated, APTOS-prior corrected, and oracle (Messidor-2 prior) corrected.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center"/>
            </w:pPr>
            <w:r>
              <w:t xml:space="preserve">QWK</w:t>
            </w:r>
          </w:p>
        </w:tc>
        <w:tc>
          <w:tcPr/>
          <w:p>
            <w:pPr>
              <w:pStyle w:val="Compact"/>
              <w:jc w:val="center"/>
            </w:pPr>
            <w:r>
              <w:t xml:space="preserve">Bin. Sens. </w:t>
            </w:r>
          </w:p>
        </w:tc>
        <w:tc>
          <w:tcPr/>
          <w:p>
            <w:pPr>
              <w:pStyle w:val="Compact"/>
              <w:jc w:val="center"/>
            </w:pPr>
            <w:r>
              <w:t xml:space="preserve">Bin. AUC</w:t>
            </w:r>
          </w:p>
        </w:tc>
      </w:tr>
      <w:tr>
        <w:tc>
          <w:tcPr/>
          <w:p>
            <w:pPr>
              <w:pStyle w:val="Compact"/>
              <w:jc w:val="left"/>
            </w:pPr>
            <w:r>
              <w:t xml:space="preserve">MLP + CE</w:t>
            </w:r>
          </w:p>
        </w:tc>
        <w:tc>
          <w:tcPr/>
          <w:p>
            <w:pPr>
              <w:pStyle w:val="Compact"/>
              <w:jc w:val="center"/>
            </w:pPr>
            <m:oMath>
              <m:r>
                <m:t>0.0000</m:t>
              </m:r>
              <m:r>
                <m:rPr>
                  <m:sty m:val="p"/>
                </m:rPr>
                <m:t>±</m:t>
              </m:r>
              <m:r>
                <m:t>0.0015</m:t>
              </m:r>
            </m:oMath>
          </w:p>
        </w:tc>
        <w:tc>
          <w:tcPr/>
          <w:p>
            <w:pPr>
              <w:pStyle w:val="Compact"/>
              <w:jc w:val="center"/>
            </w:pPr>
            <w:r>
              <w:t xml:space="preserve">—</w:t>
            </w:r>
          </w:p>
        </w:tc>
        <w:tc>
          <w:tcPr/>
          <w:p>
            <w:pPr>
              <w:pStyle w:val="Compact"/>
              <w:jc w:val="center"/>
            </w:pPr>
            <m:oMath>
              <m:r>
                <m:t>0.579</m:t>
              </m:r>
            </m:oMath>
          </w:p>
        </w:tc>
      </w:tr>
      <w:tr>
        <w:tc>
          <w:tcPr/>
          <w:p>
            <w:pPr>
              <w:pStyle w:val="Compact"/>
              <w:jc w:val="left"/>
            </w:pPr>
            <w:r>
              <w:t xml:space="preserve">MLP + MSE</w:t>
            </w:r>
          </w:p>
        </w:tc>
        <w:tc>
          <w:tcPr/>
          <w:p>
            <w:pPr>
              <w:pStyle w:val="Compact"/>
              <w:jc w:val="center"/>
            </w:pPr>
            <m:oMath>
              <m:r>
                <m:t>0.0037</m:t>
              </m:r>
              <m:r>
                <m:rPr>
                  <m:sty m:val="p"/>
                </m:rPr>
                <m:t>±</m:t>
              </m:r>
              <m:r>
                <m:t>0.0184</m:t>
              </m:r>
            </m:oMath>
          </w:p>
        </w:tc>
        <w:tc>
          <w:tcPr/>
          <w:p>
            <w:pPr>
              <w:pStyle w:val="Compact"/>
              <w:jc w:val="center"/>
            </w:pPr>
            <w:r>
              <w:t xml:space="preserve">—</w:t>
            </w:r>
          </w:p>
        </w:tc>
        <w:tc>
          <w:tcPr/>
          <w:p>
            <w:pPr>
              <w:pStyle w:val="Compact"/>
              <w:jc w:val="center"/>
            </w:pPr>
            <m:oMath>
              <m:r>
                <m:t>0.587</m:t>
              </m:r>
            </m:oMath>
          </w:p>
        </w:tc>
      </w:tr>
      <w:tr>
        <w:tc>
          <w:tcPr/>
          <w:p>
            <w:pPr>
              <w:pStyle w:val="Compact"/>
              <w:jc w:val="left"/>
            </w:pPr>
            <w:r>
              <w:t xml:space="preserve">Vanilla CapsNet</w:t>
            </w:r>
          </w:p>
        </w:tc>
        <w:tc>
          <w:tcPr/>
          <w:p>
            <w:pPr>
              <w:pStyle w:val="Compact"/>
              <w:jc w:val="center"/>
            </w:pPr>
            <m:oMath>
              <m:r>
                <m:t>0.0010</m:t>
              </m:r>
              <m:r>
                <m:rPr>
                  <m:sty m:val="p"/>
                </m:rPr>
                <m:t>±</m:t>
              </m:r>
              <m:r>
                <m:t>0.0034</m:t>
              </m:r>
            </m:oMath>
          </w:p>
        </w:tc>
        <w:tc>
          <w:tcPr/>
          <w:p>
            <w:pPr>
              <w:pStyle w:val="Compact"/>
              <w:jc w:val="center"/>
            </w:pPr>
            <w:r>
              <w:t xml:space="preserve">—</w:t>
            </w:r>
          </w:p>
        </w:tc>
        <w:tc>
          <w:tcPr/>
          <w:p>
            <w:pPr>
              <w:pStyle w:val="Compact"/>
              <w:jc w:val="center"/>
            </w:pPr>
            <m:oMath>
              <m:r>
                <m:t>0.570</m:t>
              </m:r>
            </m:oMath>
          </w:p>
        </w:tc>
      </w:tr>
      <w:tr>
        <w:tc>
          <w:tcPr/>
          <w:p>
            <w:pPr>
              <w:pStyle w:val="Compact"/>
              <w:jc w:val="left"/>
            </w:pPr>
            <w:r>
              <w:t xml:space="preserve">Ordinal CapsNet (uncalibrated)</w:t>
            </w:r>
          </w:p>
        </w:tc>
        <w:tc>
          <w:tcPr/>
          <w:p>
            <w:pPr>
              <w:pStyle w:val="Compact"/>
              <w:jc w:val="center"/>
            </w:pPr>
            <m:oMath>
              <m:r>
                <m:t>0.0086</m:t>
              </m:r>
              <m:r>
                <m:rPr>
                  <m:sty m:val="p"/>
                </m:rPr>
                <m:t>±</m:t>
              </m:r>
              <m:r>
                <m:t>0.0136</m:t>
              </m:r>
            </m:oMath>
          </w:p>
        </w:tc>
        <w:tc>
          <w:tcPr/>
          <w:p>
            <w:pPr>
              <w:pStyle w:val="Compact"/>
              <w:jc w:val="center"/>
            </w:pPr>
            <m:oMath>
              <m:r>
                <m:t>17.9</m:t>
              </m:r>
              <m:r>
                <m:rPr>
                  <m:sty m:val="p"/>
                </m:rPr>
                <m:t>%</m:t>
              </m:r>
            </m:oMath>
          </w:p>
        </w:tc>
        <w:tc>
          <w:tcPr/>
          <w:p>
            <w:pPr>
              <w:pStyle w:val="Compact"/>
              <w:jc w:val="center"/>
            </w:pPr>
            <m:oMath>
              <m:r>
                <m:rPr>
                  <m:sty m:val="b"/>
                </m:rPr>
                <m:t>0.611</m:t>
              </m:r>
            </m:oMath>
          </w:p>
        </w:tc>
      </w:tr>
      <w:tr>
        <w:tc>
          <w:tcPr/>
          <w:p>
            <w:pPr>
              <w:pStyle w:val="Compact"/>
              <w:jc w:val="left"/>
            </w:pPr>
            <w:r>
              <w:t xml:space="preserve">Ordinal CapsNet + SLD prior corr. (APTOS prior, no labels)</w:t>
            </w:r>
          </w:p>
        </w:tc>
        <w:tc>
          <w:tcPr/>
          <w:p>
            <w:pPr>
              <w:pStyle w:val="Compact"/>
              <w:jc w:val="center"/>
            </w:pPr>
            <m:oMath>
              <m:r>
                <m:rPr>
                  <m:sty m:val="b"/>
                </m:rPr>
                <m:t>0.2216</m:t>
              </m:r>
            </m:oMath>
          </w:p>
        </w:tc>
        <w:tc>
          <w:tcPr/>
          <w:p>
            <w:pPr>
              <w:pStyle w:val="Compact"/>
              <w:jc w:val="center"/>
            </w:pPr>
            <m:oMath>
              <m:r>
                <m:rPr>
                  <m:sty m:val="b"/>
                </m:rPr>
                <m:t>51.9</m:t>
              </m:r>
              <m:r>
                <m:rPr>
                  <m:sty m:val="b"/>
                </m:rPr>
                <m:t>%</m:t>
              </m:r>
            </m:oMath>
          </w:p>
        </w:tc>
        <w:tc>
          <w:tcPr/>
          <w:p>
            <w:pPr>
              <w:pStyle w:val="Compact"/>
              <w:jc w:val="center"/>
            </w:pPr>
            <m:oMath>
              <m:r>
                <m:t>0.625</m:t>
              </m:r>
            </m:oMath>
          </w:p>
        </w:tc>
      </w:tr>
      <w:tr>
        <w:tc>
          <w:tcPr/>
          <w:p>
            <w:pPr>
              <w:pStyle w:val="Compact"/>
              <w:jc w:val="left"/>
            </w:pPr>
            <w:r>
              <w:t xml:space="preserve">Ordinal CapsNet + SLD prior corr. (oracle prior, upper bound)</w:t>
            </w:r>
          </w:p>
        </w:tc>
        <w:tc>
          <w:tcPr/>
          <w:p>
            <w:pPr>
              <w:pStyle w:val="Compact"/>
              <w:jc w:val="center"/>
            </w:pPr>
            <m:oMath>
              <m:r>
                <m:t>0.2682</m:t>
              </m:r>
            </m:oMath>
          </w:p>
        </w:tc>
        <w:tc>
          <w:tcPr/>
          <w:p>
            <w:pPr>
              <w:pStyle w:val="Compact"/>
              <w:jc w:val="center"/>
            </w:pPr>
            <w:r>
              <w:t xml:space="preserve">—</w:t>
            </w:r>
          </w:p>
        </w:tc>
        <w:tc>
          <w:tcPr/>
          <w:p>
            <w:pPr>
              <w:pStyle w:val="Compact"/>
              <w:jc w:val="center"/>
            </w:pPr>
            <w:r>
              <w:t xml:space="preserve">—</w:t>
            </w:r>
          </w:p>
        </w:tc>
      </w:tr>
    </w:tbl>
    <w:p>
      <w:pPr>
        <w:pStyle w:val="BodyText"/>
      </w:pPr>
      <w:r>
        <w:t xml:space="preserve">SLD-style prior correction lifts the ordinal ranking signal from QWK</w:t>
      </w:r>
      <w:r>
        <w:t xml:space="preserve"> </w:t>
      </w:r>
      <m:oMath>
        <m:r>
          <m:t>0.009</m:t>
        </m:r>
      </m:oMath>
      <w:r>
        <w:t xml:space="preserve"> </w:t>
      </w:r>
      <w:r>
        <w:t xml:space="preserve">to</w:t>
      </w:r>
      <w:r>
        <w:t xml:space="preserve"> </w:t>
      </w:r>
      <m:oMath>
        <m:r>
          <m:t>0.222</m:t>
        </m:r>
      </m:oMath>
      <w:r>
        <w:t xml:space="preserve"> </w:t>
      </w:r>
      <w:r>
        <w:t xml:space="preserve">and the binary sensitivity from</w:t>
      </w:r>
      <w:r>
        <w:t xml:space="preserve"> </w:t>
      </w:r>
      <m:oMath>
        <m:r>
          <m:t>17.9</m:t>
        </m:r>
        <m:r>
          <m:rPr>
            <m:sty m:val="p"/>
          </m:rPr>
          <m:t>%</m:t>
        </m:r>
      </m:oMath>
      <w:r>
        <w:t xml:space="preserve"> </w:t>
      </w:r>
      <w:r>
        <w:t xml:space="preserve">to</w:t>
      </w:r>
      <w:r>
        <w:t xml:space="preserve"> </w:t>
      </w:r>
      <m:oMath>
        <m:r>
          <m:t>51.9</m:t>
        </m:r>
        <m:r>
          <m:rPr>
            <m:sty m:val="p"/>
          </m:rPr>
          <m:t>%</m:t>
        </m:r>
      </m:oMath>
      <w:r>
        <w:t xml:space="preserve"> </w:t>
      </w:r>
      <w:r>
        <w:t xml:space="preserve">at an essentially unchanged AUC of</w:t>
      </w:r>
      <w:r>
        <w:t xml:space="preserve"> </w:t>
      </w:r>
      <m:oMath>
        <m:r>
          <m:t>0.625</m:t>
        </m:r>
      </m:oMath>
      <w:r>
        <w:t xml:space="preserve">. The AUC is almost identical in all three rows, confirming that the rank information is preserved and the intervention is purely a threshold fix. We emphasise that QWK</w:t>
      </w:r>
      <w:r>
        <w:t xml:space="preserve"> </w:t>
      </w:r>
      <m:oMath>
        <m:r>
          <m:t>0.222</m:t>
        </m:r>
      </m:oMath>
      <w:r>
        <w:t xml:space="preserve"> </w:t>
      </w:r>
      <w:r>
        <w:t xml:space="preserve">remains in the Landis-Koch</w:t>
      </w:r>
      <w:r>
        <w:t xml:space="preserve"> </w:t>
      </w:r>
      <w:r>
        <w:rPr>
          <w:i/>
          <w:iCs/>
        </w:rPr>
        <w:t xml:space="preserve">fair</w:t>
      </w:r>
      <w:r>
        <w:t xml:space="preserve"> </w:t>
      </w:r>
      <w:r>
        <w:t xml:space="preserve">band (</w:t>
      </w:r>
      <m:oMath>
        <m:r>
          <m:t>0.21</m:t>
        </m:r>
      </m:oMath>
      <w:r>
        <w:t xml:space="preserve"> </w:t>
      </w:r>
      <w:r>
        <w:t xml:space="preserve">to</w:t>
      </w:r>
      <w:r>
        <w:t xml:space="preserve"> </w:t>
      </w:r>
      <m:oMath>
        <m:r>
          <m:t>0.40</m:t>
        </m:r>
      </m:oMath>
      <w:r>
        <w:t xml:space="preserve">) and is far below the</w:t>
      </w:r>
      <w:r>
        <w:t xml:space="preserve"> </w:t>
      </w:r>
      <m:oMath>
        <m:r>
          <m:rPr>
            <m:sty m:val="p"/>
          </m:rPr>
          <m:t>∼</m:t>
        </m:r>
        <m:r>
          <m:t>​</m:t>
        </m:r>
        <m:r>
          <m:t>0.60</m:t>
        </m:r>
      </m:oMath>
      <w:r>
        <w:t xml:space="preserve"> </w:t>
      </w:r>
      <w:r>
        <w:t xml:space="preserve">clinical-agreement threshold. A binary sensitivity of</w:t>
      </w:r>
      <w:r>
        <w:t xml:space="preserve"> </w:t>
      </w:r>
      <m:oMath>
        <m:r>
          <m:t>51.9</m:t>
        </m:r>
        <m:r>
          <m:rPr>
            <m:sty m:val="p"/>
          </m:rPr>
          <m:t>%</m:t>
        </m:r>
      </m:oMath>
      <w:r>
        <w:t xml:space="preserve"> </w:t>
      </w:r>
      <w:r>
        <w:t xml:space="preserve">would miss nearly half of all referable patients. The intervention is therefore a</w:t>
      </w:r>
      <w:r>
        <w:t xml:space="preserve"> </w:t>
      </w:r>
      <w:r>
        <w:rPr>
          <w:i/>
          <w:iCs/>
        </w:rPr>
        <w:t xml:space="preserve">diagnostic probe</w:t>
      </w:r>
      <w:r>
        <w:t xml:space="preserve"> </w:t>
      </w:r>
      <w:r>
        <w:t xml:space="preserve">demonstrating that the cross-dataset collapse is mechanistically a threshold miscalibration rather than a feature-space destruction, not a clinical-deployment recipe. Figure </w:t>
      </w:r>
      <w:hyperlink w:anchor="fig:messidor2_roc">
        <w:r>
          <w:rPr>
            <w:rStyle w:val="Hyperlink"/>
          </w:rPr>
          <w:t xml:space="preserve">6</w:t>
        </w:r>
      </w:hyperlink>
      <w:r>
        <w:t xml:space="preserve"> </w:t>
      </w:r>
      <w:r>
        <w:t xml:space="preserve">shows the binary-referable ROC.</w:t>
      </w:r>
    </w:p>
    <w:bookmarkStart w:id="57" w:name="fig:messidor2_roc"/>
    <w:p>
      <w:pPr>
        <w:pStyle w:val="CaptionedFigure"/>
      </w:pPr>
      <w:r>
        <w:drawing>
          <wp:inline>
            <wp:extent cx="5334000" cy="4888523"/>
            <wp:effectExtent b="0" l="0" r="0" t="0"/>
            <wp:docPr descr="" title="" id="55" name="Picture"/>
            <a:graphic>
              <a:graphicData uri="http://schemas.openxmlformats.org/drawingml/2006/picture">
                <pic:pic>
                  <pic:nvPicPr>
                    <pic:cNvPr descr="figs/fig_h_messidor2_roc.pdf" id="56" name="Picture"/>
                    <pic:cNvPicPr>
                      <a:picLocks noChangeArrowheads="1" noChangeAspect="1"/>
                    </pic:cNvPicPr>
                  </pic:nvPicPr>
                  <pic:blipFill>
                    <a:blip r:embed="rId54"/>
                    <a:stretch>
                      <a:fillRect/>
                    </a:stretch>
                  </pic:blipFill>
                  <pic:spPr bwMode="auto">
                    <a:xfrm>
                      <a:off x="0" y="0"/>
                      <a:ext cx="5334000" cy="4888523"/>
                    </a:xfrm>
                    <a:prstGeom prst="rect">
                      <a:avLst/>
                    </a:prstGeom>
                    <a:noFill/>
                    <a:ln w="9525">
                      <a:noFill/>
                      <a:headEnd/>
                      <a:tailEnd/>
                    </a:ln>
                  </pic:spPr>
                </pic:pic>
              </a:graphicData>
            </a:graphic>
          </wp:inline>
        </w:drawing>
      </w:r>
    </w:p>
    <w:p>
      <w:pPr>
        <w:pStyle w:val="ImageCaption"/>
      </w:pPr>
      <w:r>
        <w:t xml:space="preserve">APTOS</w:t>
      </w:r>
      <w:r>
        <w:t xml:space="preserve"> </w:t>
      </w:r>
      <m:oMath>
        <m:r>
          <m:rPr>
            <m:sty m:val="p"/>
          </m:rPr>
          <m:t>→</m:t>
        </m:r>
      </m:oMath>
      <w:r>
        <w:t xml:space="preserve"> </w:t>
      </w:r>
      <w:r>
        <w:t xml:space="preserve">Messidor-2 binary-referable ROC (grade</w:t>
      </w:r>
      <w:r>
        <w:t xml:space="preserve"> </w:t>
      </w:r>
      <m:oMath>
        <m:r>
          <m:rPr>
            <m:sty m:val="p"/>
          </m:rPr>
          <m:t>≥</m:t>
        </m:r>
        <m:r>
          <m:t>2</m:t>
        </m:r>
      </m:oMath>
      <w:r>
        <w:t xml:space="preserve">). The ordinal head’s AUC of</w:t>
      </w:r>
      <w:r>
        <w:t xml:space="preserve"> </w:t>
      </w:r>
      <m:oMath>
        <m:r>
          <m:t>0.625</m:t>
        </m:r>
      </m:oMath>
      <w:r>
        <w:t xml:space="preserve"> </w:t>
      </w:r>
      <w:r>
        <w:t xml:space="preserve">is well above chance, which is why post-hoc rank calibration can recover such a large fraction of the QWK loss. The rank order is intact and only the threshold is wrong.</w:t>
      </w:r>
    </w:p>
    <w:bookmarkEnd w:id="57"/>
    <w:p>
      <w:pPr>
        <w:pStyle w:val="BodyText"/>
      </w:pPr>
      <w:r>
        <w:t xml:space="preserve">The takeaway is methodological, not operational. Under frozen RETFound-MAE features, the APTOS</w:t>
      </w:r>
      <w:r>
        <w:t xml:space="preserve"> </w:t>
      </w:r>
      <m:oMath>
        <m:r>
          <m:rPr>
            <m:sty m:val="p"/>
          </m:rPr>
          <m:t>→</m:t>
        </m:r>
      </m:oMath>
      <w:r>
        <w:t xml:space="preserve"> </w:t>
      </w:r>
      <w:r>
        <w:t xml:space="preserve">Messidor-2 transfer failure is driven primarily by a</w:t>
      </w:r>
      <w:r>
        <w:t xml:space="preserve"> </w:t>
      </w:r>
      <m:oMath>
        <m:r>
          <m:t>K</m:t>
        </m:r>
        <m:r>
          <m:rPr>
            <m:sty m:val="p"/>
          </m:rPr>
          <m:t>−</m:t>
        </m:r>
        <m:r>
          <m:t>1</m:t>
        </m:r>
      </m:oMath>
      <w:r>
        <w:t xml:space="preserve">-threshold miscalibration, namely the</w:t>
      </w:r>
      <w:r>
        <w:t xml:space="preserve"> </w:t>
      </w:r>
      <m:oMath>
        <m:acc>
          <m:accPr>
            <m:chr m:val="‾"/>
          </m:accPr>
          <m:e>
            <m:r>
              <m:t>P</m:t>
            </m:r>
          </m:e>
        </m:acc>
        <m:r>
          <m:rPr>
            <m:sty m:val="p"/>
          </m:rPr>
          <m:t>(</m:t>
        </m:r>
        <m:r>
          <m:t>y</m:t>
        </m:r>
        <m:r>
          <m:rPr>
            <m:sty m:val="p"/>
          </m:rPr>
          <m:t>&gt;</m:t>
        </m:r>
        <m:r>
          <m:t>0</m:t>
        </m:r>
        <m:r>
          <m:rPr>
            <m:sty m:val="p"/>
          </m:rPr>
          <m:t>)</m:t>
        </m:r>
      </m:oMath>
      <w:r>
        <w:t xml:space="preserve"> </w:t>
      </w:r>
      <w:r>
        <w:t xml:space="preserve">distributional shift from</w:t>
      </w:r>
      <w:r>
        <w:t xml:space="preserve"> </w:t>
      </w:r>
      <m:oMath>
        <m:r>
          <m:t>0.51</m:t>
        </m:r>
      </m:oMath>
      <w:r>
        <w:t xml:space="preserve"> </w:t>
      </w:r>
      <w:r>
        <w:t xml:space="preserve">to</w:t>
      </w:r>
      <w:r>
        <w:t xml:space="preserve"> </w:t>
      </w:r>
      <m:oMath>
        <m:r>
          <m:t>0.087</m:t>
        </m:r>
      </m:oMath>
      <w:r>
        <w:t xml:space="preserve">. A source-prior intervention exposes this structure clearly but does not cross the clinical threshold. Genuine cross-dataset deployment requires either a stronger backbone (our within-Messidor-2 DINOv2</w:t>
      </w:r>
      <w:r>
        <w:t xml:space="preserve"> </w:t>
      </w:r>
      <m:oMath>
        <m:r>
          <m:rPr>
            <m:sty m:val="p"/>
          </m:rPr>
          <m:t>×</m:t>
        </m:r>
      </m:oMath>
      <w:r>
        <w:t xml:space="preserve"> </w:t>
      </w:r>
      <w:r>
        <w:t xml:space="preserve">MLP-K1 already reaches QWK</w:t>
      </w:r>
      <w:r>
        <w:t xml:space="preserve"> </w:t>
      </w:r>
      <m:oMath>
        <m:r>
          <m:t>0.76</m:t>
        </m:r>
      </m:oMath>
      <w:r>
        <w:t xml:space="preserve">, see Section </w:t>
      </w:r>
      <w:hyperlink w:anchor="sec:messidor-within">
        <w:r>
          <w:rPr>
            <w:rStyle w:val="Hyperlink"/>
          </w:rPr>
          <w:t xml:space="preserve">5.5</w:t>
        </w:r>
      </w:hyperlink>
      <w:r>
        <w:t xml:space="preserve">), label-shift estimation on the target domain</w:t>
      </w:r>
      <w:r>
        <w:t xml:space="preserve"> </w:t>
      </w:r>
      <w:r>
        <w:t xml:space="preserve">, or full unsupervised domain adaptation. We concur with Ahamed et al. </w:t>
      </w:r>
      <w:r>
        <w:t xml:space="preserve">, who observe that data-augmentation choices interact non-trivially with conformal coverage on DR grading; a similar data-level intervention on the source side is a natural complement to the head-level probe reported here.</w:t>
      </w:r>
    </w:p>
    <w:bookmarkEnd w:id="58"/>
    <w:bookmarkStart w:id="59" w:name="idrid"/>
    <w:p>
      <w:pPr>
        <w:pStyle w:val="Heading2"/>
      </w:pPr>
      <w:r>
        <w:t xml:space="preserve">IDRiD</w:t>
      </w:r>
    </w:p>
    <w:p>
      <w:pPr>
        <w:pStyle w:val="FirstParagraph"/>
      </w:pPr>
      <w:r>
        <w:t xml:space="preserve">On IDRiD, the Ordinal CapsNet reaches validation QWK</w:t>
      </w:r>
      <w:r>
        <w:t xml:space="preserve"> </w:t>
      </w:r>
      <m:oMath>
        <m:r>
          <m:t>0.7557</m:t>
        </m:r>
        <m:r>
          <m:rPr>
            <m:sty m:val="p"/>
          </m:rPr>
          <m:t>±</m:t>
        </m:r>
        <m:r>
          <m:t>0.045</m:t>
        </m:r>
      </m:oMath>
      <w:r>
        <w:t xml:space="preserve"> </w:t>
      </w:r>
      <w:r>
        <w:t xml:space="preserve">but only</w:t>
      </w:r>
      <w:r>
        <w:t xml:space="preserve"> </w:t>
      </w:r>
      <m:oMath>
        <m:r>
          <m:t>0.446</m:t>
        </m:r>
        <m:r>
          <m:rPr>
            <m:sty m:val="p"/>
          </m:rPr>
          <m:t>±</m:t>
        </m:r>
        <m:r>
          <m:t>0.036</m:t>
        </m:r>
      </m:oMath>
      <w:r>
        <w:t xml:space="preserve"> </w:t>
      </w:r>
      <w:r>
        <w:t xml:space="preserve">on the 103-image official test. Every baseline drops by roughly</w:t>
      </w:r>
      <w:r>
        <w:t xml:space="preserve"> </w:t>
      </w:r>
      <m:oMath>
        <m:r>
          <m:t>0.30</m:t>
        </m:r>
      </m:oMath>
      <w:r>
        <w:t xml:space="preserve"> </w:t>
      </w:r>
      <w:r>
        <w:t xml:space="preserve">QWK from val to test, indicating a dataset-wide distribution shift between the 413-image train set and the held-out test. APTOS</w:t>
      </w:r>
      <w:r>
        <w:t xml:space="preserve"> </w:t>
      </w:r>
      <m:oMath>
        <m:r>
          <m:rPr>
            <m:sty m:val="p"/>
          </m:rPr>
          <m:t>→</m:t>
        </m:r>
      </m:oMath>
      <w:r>
        <w:t xml:space="preserve"> </w:t>
      </w:r>
      <w:r>
        <w:t xml:space="preserve">IDRiD transfer reaches QWK</w:t>
      </w:r>
      <w:r>
        <w:t xml:space="preserve"> </w:t>
      </w:r>
      <m:oMath>
        <m:r>
          <m:t>0.273</m:t>
        </m:r>
        <m:r>
          <m:rPr>
            <m:sty m:val="p"/>
          </m:rPr>
          <m:t>±</m:t>
        </m:r>
        <m:r>
          <m:t>0.020</m:t>
        </m:r>
      </m:oMath>
      <w:r>
        <w:t xml:space="preserve">. We did not run a DINOv2 IDRiD ablation in this draft; given our APTOS and Messidor-2 findings we expect DINOv2 features to perform comparably or better.</w:t>
      </w:r>
    </w:p>
    <w:bookmarkEnd w:id="59"/>
    <w:bookmarkStart w:id="60" w:name="sec:compute"/>
    <w:p>
      <w:pPr>
        <w:pStyle w:val="Heading2"/>
      </w:pPr>
      <w:r>
        <w:t xml:space="preserve">Training dynamics and compute</w:t>
      </w:r>
    </w:p>
    <w:p>
      <w:pPr>
        <w:pStyle w:val="FirstParagraph"/>
      </w:pPr>
      <w:r>
        <w:t xml:space="preserve">Each frozen 5-fold run completes in roughly 115 seconds on an Apple M-series MacBook (MPS backend). The LoRA 5-fold run takes</w:t>
      </w:r>
      <w:r>
        <w:t xml:space="preserve"> </w:t>
      </w:r>
      <m:oMath>
        <m:r>
          <m:rPr>
            <m:sty m:val="p"/>
          </m:rPr>
          <m:t>∼</m:t>
        </m:r>
        <m:r>
          <m:t>​</m:t>
        </m:r>
        <m:r>
          <m:t>65</m:t>
        </m:r>
      </m:oMath>
      <w:r>
        <w:t xml:space="preserve">–</w:t>
      </w:r>
      <m:oMath>
        <m:r>
          <m:t>85</m:t>
        </m:r>
      </m:oMath>
      <w:r>
        <w:t xml:space="preserve"> </w:t>
      </w:r>
      <w:r>
        <w:t xml:space="preserve">min/fold, or</w:t>
      </w:r>
      <w:r>
        <w:t xml:space="preserve"> </w:t>
      </w:r>
      <m:oMath>
        <m:r>
          <m:rPr>
            <m:sty m:val="p"/>
          </m:rPr>
          <m:t>∼</m:t>
        </m:r>
        <m:r>
          <m:t>​</m:t>
        </m:r>
        <m:r>
          <m:t>16</m:t>
        </m:r>
      </m:oMath>
      <w:r>
        <w:t xml:space="preserve"> </w:t>
      </w:r>
      <w:r>
        <w:t xml:space="preserve">h for 3 seeds</w:t>
      </w:r>
      <w:r>
        <w:t xml:space="preserve"> </w:t>
      </w:r>
      <m:oMath>
        <m:r>
          <m:rPr>
            <m:sty m:val="p"/>
          </m:rPr>
          <m:t>×</m:t>
        </m:r>
      </m:oMath>
      <w:r>
        <w:t xml:space="preserve"> </w:t>
      </w:r>
      <w:r>
        <w:t xml:space="preserve">5 folds on the same laptop. DINOv2 feature extraction for both datasets took roughly 7 minutes on MPS.</w:t>
      </w:r>
    </w:p>
    <w:bookmarkEnd w:id="60"/>
    <w:bookmarkEnd w:id="61"/>
    <w:bookmarkStart w:id="62" w:name="sec:discussion"/>
    <w:p>
      <w:pPr>
        <w:pStyle w:val="Heading1"/>
      </w:pPr>
      <w:r>
        <w:t xml:space="preserve">Discussion</w:t>
      </w:r>
    </w:p>
    <w:p>
      <w:pPr>
        <w:pStyle w:val="FirstParagraph"/>
      </w:pPr>
      <w:r>
        <w:t xml:space="preserve">On APTOS the backbone contributes</w:t>
      </w:r>
      <w:r>
        <w:t xml:space="preserve"> </w:t>
      </w:r>
      <m:oMath>
        <m:r>
          <m:rPr>
            <m:sty m:val="p"/>
          </m:rPr>
          <m:t>+</m:t>
        </m:r>
        <m:r>
          <m:t>0.016</m:t>
        </m:r>
      </m:oMath>
      <w:r>
        <w:t xml:space="preserve"> </w:t>
      </w:r>
      <w:r>
        <w:t xml:space="preserve">QWK while the head contributes</w:t>
      </w:r>
      <w:r>
        <w:t xml:space="preserve"> </w:t>
      </w:r>
      <m:oMath>
        <m:r>
          <m:rPr>
            <m:sty m:val="p"/>
          </m:rPr>
          <m:t>≤</m:t>
        </m:r>
        <m:r>
          <m:t>0.007</m:t>
        </m:r>
      </m:oMath>
      <w:r>
        <w:t xml:space="preserve"> </w:t>
      </w:r>
      <w:r>
        <w:t xml:space="preserve">QWK. On Messidor-2 the gap widens to</w:t>
      </w:r>
      <w:r>
        <w:t xml:space="preserve"> </w:t>
      </w:r>
      <m:oMath>
        <m:r>
          <m:rPr>
            <m:sty m:val="p"/>
          </m:rPr>
          <m:t>+</m:t>
        </m:r>
        <m:r>
          <m:t>0.15</m:t>
        </m:r>
      </m:oMath>
      <w:r>
        <w:t xml:space="preserve"> </w:t>
      </w:r>
      <w:r>
        <w:t xml:space="preserve">vs. </w:t>
      </w:r>
      <m:oMath>
        <m:r>
          <m:rPr>
            <m:sty m:val="p"/>
          </m:rPr>
          <m:t>±</m:t>
        </m:r>
        <m:r>
          <m:t>0.02</m:t>
        </m:r>
      </m:oMath>
      <w:r>
        <w:t xml:space="preserve">, an order of magnitude. The practical implication for anyone assembling a frozen-feature DR pipeline is to pick the backbone first and treat the head as a second-order choice. Isztl et al. </w:t>
      </w:r>
      <w:r>
        <w:t xml:space="preserve"> </w:t>
      </w:r>
      <w:r>
        <w:t xml:space="preserve">reach a compatible conclusion from a different angle, reporting that RETFound’s 303M-parameter budget is justified only for the hardest ordinal retinal task (DR grading) and that compact general-purpose ViTs Pareto-dominate on every easier retinal task. Specialised retinal pretraining pays off only in narrow settings.</w:t>
      </w:r>
    </w:p>
    <w:p>
      <w:pPr>
        <w:pStyle w:val="BodyText"/>
      </w:pPr>
      <w:r>
        <w:t xml:space="preserve">The DINOv2-beats-RETFound result is consistent with the ocular half of Hou et al. </w:t>
      </w:r>
      <w:r>
        <w:t xml:space="preserve"> </w:t>
      </w:r>
      <w:r>
        <w:t xml:space="preserve">and Zoellin et al. </w:t>
      </w:r>
      <w:r>
        <w:t xml:space="preserve">, replicated here on ordinal DR grading across two datasets and two heads with per-fold paired Wilcoxon significance (</w:t>
      </w:r>
      <m:oMath>
        <m:r>
          <m:t>p</m:t>
        </m:r>
        <m:r>
          <m:rPr>
            <m:sty m:val="p"/>
          </m:rPr>
          <m:t>≤</m:t>
        </m:r>
        <m:r>
          <m:t>0.001</m:t>
        </m:r>
      </m:oMath>
      <w:r>
        <w:t xml:space="preserve"> </w:t>
      </w:r>
      <w:r>
        <w:t xml:space="preserve">on APTOS, 5/5 fold wins on Messidor-2). The qualifier is that Zhou et al.’s recent RETFound-DINOv2</w:t>
      </w:r>
      <w:r>
        <w:t xml:space="preserve"> </w:t>
      </w:r>
      <w:r>
        <w:t xml:space="preserve"> </w:t>
      </w:r>
      <w:r>
        <w:t xml:space="preserve">retrains the specialist backbone with the DINOv2 recipe and reports that the retrained specialist then beats generalist DINOv2 on ocular tasks with better data efficiency. What we are reporting is therefore a statement about the 2023 RETFound-MAE</w:t>
      </w:r>
      <w:r>
        <w:t xml:space="preserve"> </w:t>
      </w:r>
      <w:r>
        <w:t xml:space="preserve">, not a general indictment of domain-specific retinal pretraining. The mechanism most likely responsible is that the MAE objective on a narrow CFP distribution overfits to the pretraining cohort’s camera and population characteristics in a way that the 142M-image DINOv2 contrastive objective does not.</w:t>
      </w:r>
    </w:p>
    <w:p>
      <w:pPr>
        <w:pStyle w:val="BodyText"/>
      </w:pPr>
      <w:r>
        <w:t xml:space="preserve">The capsule margin is a discrimination loss, not a calibration loss. ECE is</w:t>
      </w:r>
      <w:r>
        <w:t xml:space="preserve"> </w:t>
      </w:r>
      <m:oMath>
        <m:r>
          <m:t>40</m:t>
        </m:r>
      </m:oMath>
      <w:r>
        <w:t xml:space="preserve"> </w:t>
      </w:r>
      <w:r>
        <w:t xml:space="preserve">to</w:t>
      </w:r>
      <w:r>
        <w:t xml:space="preserve"> </w:t>
      </w:r>
      <m:oMath>
        <m:r>
          <m:t>60</m:t>
        </m:r>
        <m:r>
          <m:rPr>
            <m:sty m:val="p"/>
          </m:rPr>
          <m:t>%</m:t>
        </m:r>
      </m:oMath>
      <w:r>
        <w:t xml:space="preserve"> </w:t>
      </w:r>
      <w:r>
        <w:t xml:space="preserve">worse than the MLP-K1 sigmoid head on APTOS, AURC is within</w:t>
      </w:r>
      <w:r>
        <w:t xml:space="preserve"> </w:t>
      </w:r>
      <m:oMath>
        <m:r>
          <m:t>0.004</m:t>
        </m:r>
      </m:oMath>
      <w:r>
        <w:t xml:space="preserve"> </w:t>
      </w:r>
      <w:r>
        <w:t xml:space="preserve">of MLP-K1, and temperature scaling recovers most of the ECE gap (post-TS</w:t>
      </w:r>
      <w:r>
        <w:t xml:space="preserve"> </w:t>
      </w:r>
      <m:oMath>
        <m:r>
          <m:t>0.016</m:t>
        </m:r>
      </m:oMath>
      <w:r>
        <w:t xml:space="preserve"> </w:t>
      </w:r>
      <w:r>
        <w:t xml:space="preserve">to</w:t>
      </w:r>
      <w:r>
        <w:t xml:space="preserve"> </w:t>
      </w:r>
      <m:oMath>
        <m:r>
          <m:t>0.025</m:t>
        </m:r>
      </m:oMath>
      <w:r>
        <w:t xml:space="preserve">). The capsule</w:t>
      </w:r>
      <w:r>
        <w:t xml:space="preserve"> </w:t>
      </w:r>
      <w:r>
        <w:rPr>
          <w:i/>
          <w:iCs/>
        </w:rPr>
        <w:t xml:space="preserve">prediction margin</w:t>
      </w:r>
      <w:r>
        <w:t xml:space="preserve"> </w:t>
      </w:r>
      <w:r>
        <w:t xml:space="preserve">claimed in prior work as a native UQ signal turns out to be duplicated by a vanilla MLP-K1 top-2 margin. What the capsule head does deliver is a clean QWK/MAE advantage of</w:t>
      </w:r>
      <w:r>
        <w:t xml:space="preserve"> </w:t>
      </w:r>
      <m:oMath>
        <m:r>
          <m:rPr>
            <m:sty m:val="p"/>
          </m:rPr>
          <m:t>+</m:t>
        </m:r>
        <m:r>
          <m:t>0.007</m:t>
        </m:r>
      </m:oMath>
      <w:r>
        <w:t xml:space="preserve"> </w:t>
      </w:r>
      <w:r>
        <w:t xml:space="preserve">and</w:t>
      </w:r>
      <w:r>
        <w:t xml:space="preserve"> </w:t>
      </w:r>
      <m:oMath>
        <m:r>
          <m:rPr>
            <m:sty m:val="p"/>
          </m:rPr>
          <m:t>−</m:t>
        </m:r>
        <m:r>
          <m:t>0.003</m:t>
        </m:r>
      </m:oMath>
      <w:r>
        <w:t xml:space="preserve"> </w:t>
      </w:r>
      <w:r>
        <w:t xml:space="preserve">over MLP-K1 on APTOS (</w:t>
      </w:r>
      <m:oMath>
        <m:r>
          <m:t>p</m:t>
        </m:r>
        <m:r>
          <m:rPr>
            <m:sty m:val="p"/>
          </m:rPr>
          <m:t>=</m:t>
        </m:r>
        <m:r>
          <m:t>0.002</m:t>
        </m:r>
      </m:oMath>
      <w:r>
        <w:t xml:space="preserve">, 13/15 paired folds on RETFound;</w:t>
      </w:r>
      <w:r>
        <w:t xml:space="preserve"> </w:t>
      </w:r>
      <m:oMath>
        <m:r>
          <m:t>p</m:t>
        </m:r>
        <m:r>
          <m:rPr>
            <m:sty m:val="p"/>
          </m:rPr>
          <m:t>=</m:t>
        </m:r>
        <m:r>
          <m:t>0.0001</m:t>
        </m:r>
      </m:oMath>
      <w:r>
        <w:t xml:space="preserve">, 15/15 on DINOv2). The advantage is outside seed noise but small in magnitude, and the sign flips on Messidor-2</w:t>
      </w:r>
      <w:r>
        <w:t xml:space="preserve"> </w:t>
      </w:r>
      <m:oMath>
        <m:r>
          <m:rPr>
            <m:sty m:val="p"/>
          </m:rPr>
          <m:t>×</m:t>
        </m:r>
      </m:oMath>
      <w:r>
        <w:t xml:space="preserve"> </w:t>
      </w:r>
      <w:r>
        <w:t xml:space="preserve">DINOv2 (MLP-K1 wins by</w:t>
      </w:r>
      <w:r>
        <w:t xml:space="preserve"> </w:t>
      </w:r>
      <m:oMath>
        <m:r>
          <m:rPr>
            <m:sty m:val="p"/>
          </m:rPr>
          <m:t>+</m:t>
        </m:r>
        <m:r>
          <m:t>0.012</m:t>
        </m:r>
      </m:oMath>
      <w:r>
        <w:t xml:space="preserve"> </w:t>
      </w:r>
      <w:r>
        <w:t xml:space="preserve">QWK). The capsule routing-and-squash machinery is a marginal QWK lever with a measurable calibration cost, not a UQ contribution.</w:t>
      </w:r>
    </w:p>
    <w:p>
      <w:pPr>
        <w:pStyle w:val="BodyText"/>
      </w:pPr>
      <w:r>
        <w:t xml:space="preserve">Split CP’s marginal coverage at</w:t>
      </w:r>
      <w:r>
        <w:t xml:space="preserve"> </w:t>
      </w:r>
      <m:oMath>
        <m:r>
          <m:t>α</m:t>
        </m:r>
        <m:r>
          <m:rPr>
            <m:sty m:val="p"/>
          </m:rPr>
          <m:t>=</m:t>
        </m:r>
        <m:r>
          <m:t>0.10</m:t>
        </m:r>
      </m:oMath>
      <w:r>
        <w:t xml:space="preserve"> </w:t>
      </w:r>
      <w:r>
        <w:t xml:space="preserve">holds by construction. Our contribution is the empirical characterisation of its class-conditional failure mode on clinical minority grades (C3/Severe, C4/PDR down to</w:t>
      </w:r>
      <w:r>
        <w:t xml:space="preserve"> </w:t>
      </w:r>
      <m:oMath>
        <m:r>
          <m:t>0.58</m:t>
        </m:r>
      </m:oMath>
      <w:r>
        <w:t xml:space="preserve"> </w:t>
      </w:r>
      <w:r>
        <w:t xml:space="preserve">to</w:t>
      </w:r>
      <w:r>
        <w:t xml:space="preserve"> </w:t>
      </w:r>
      <m:oMath>
        <m:r>
          <m:t>0.77</m:t>
        </m:r>
      </m:oMath>
      <w:r>
        <w:t xml:space="preserve"> </w:t>
      </w:r>
      <w:r>
        <w:t xml:space="preserve">under LAC/APS/RAPS). Mondrian CCP</w:t>
      </w:r>
      <w:r>
        <w:t xml:space="preserve"> </w:t>
      </w:r>
      <w:r>
        <w:t xml:space="preserve"> </w:t>
      </w:r>
      <w:r>
        <w:t xml:space="preserve">lifts worst-class coverage to</w:t>
      </w:r>
      <w:r>
        <w:t xml:space="preserve"> </w:t>
      </w:r>
      <m:oMath>
        <m:r>
          <m:t>0.82</m:t>
        </m:r>
      </m:oMath>
      <w:r>
        <w:t xml:space="preserve"> </w:t>
      </w:r>
      <w:r>
        <w:t xml:space="preserve">to</w:t>
      </w:r>
      <w:r>
        <w:t xml:space="preserve"> </w:t>
      </w:r>
      <m:oMath>
        <m:r>
          <m:t>0.90</m:t>
        </m:r>
      </m:oMath>
      <w:r>
        <w:t xml:space="preserve"> </w:t>
      </w:r>
      <w:r>
        <w:t xml:space="preserve">at a</w:t>
      </w:r>
      <w:r>
        <w:t xml:space="preserve"> </w:t>
      </w:r>
      <m:oMath>
        <m:r>
          <m:rPr>
            <m:sty m:val="p"/>
          </m:rPr>
          <m:t>+</m:t>
        </m:r>
        <m:r>
          <m:t>0.5</m:t>
        </m:r>
      </m:oMath>
      <w:r>
        <w:t xml:space="preserve"> </w:t>
      </w:r>
      <w:r>
        <w:t xml:space="preserve">to</w:t>
      </w:r>
      <w:r>
        <w:t xml:space="preserve"> </w:t>
      </w:r>
      <m:oMath>
        <m:r>
          <m:t>1.2</m:t>
        </m:r>
      </m:oMath>
      <w:r>
        <w:t xml:space="preserve"> </w:t>
      </w:r>
      <w:r>
        <w:t xml:space="preserve">set-size cost. This is acceptable for clinical triage where Severe/PDR under-coverage is a safety-critical failure, but still below the stricter guarantees of rank-calibrated RC3P</w:t>
      </w:r>
      <w:r>
        <w:t xml:space="preserve"> </w:t>
      </w:r>
      <w:r>
        <w:t xml:space="preserve">, which we flag as the natural deployment-grade next step. Ahamed et al. </w:t>
      </w:r>
      <w:r>
        <w:t xml:space="preserve"> </w:t>
      </w:r>
      <w:r>
        <w:t xml:space="preserve">recently showed that data augmentation choices interact non-trivially with CP coverage on DR grading, a complementary consideration for a production pipeline.</w:t>
      </w:r>
    </w:p>
    <w:p>
      <w:pPr>
        <w:pStyle w:val="BodyText"/>
      </w:pPr>
      <w:r>
        <w:t xml:space="preserve">Messidor-2 comes from different cameras, populations, and protocols. Under RETFound-MAE the</w:t>
      </w:r>
      <w:r>
        <w:t xml:space="preserve"> </w:t>
      </w:r>
      <m:oMath>
        <m:r>
          <m:t>P</m:t>
        </m:r>
        <m:r>
          <m:rPr>
            <m:sty m:val="p"/>
          </m:rPr>
          <m:t>(</m:t>
        </m:r>
        <m:r>
          <m:t>y</m:t>
        </m:r>
        <m:r>
          <m:rPr>
            <m:sty m:val="p"/>
          </m:rPr>
          <m:t>&gt;</m:t>
        </m:r>
        <m:r>
          <m:t>0</m:t>
        </m:r>
        <m:r>
          <m:rPr>
            <m:sty m:val="p"/>
          </m:rPr>
          <m:t>)</m:t>
        </m:r>
      </m:oMath>
      <w:r>
        <w:t xml:space="preserve"> </w:t>
      </w:r>
      <w:r>
        <w:t xml:space="preserve">mean shift is</w:t>
      </w:r>
      <w:r>
        <w:t xml:space="preserve"> </w:t>
      </w:r>
      <m:oMath>
        <m:r>
          <m:t>0.51</m:t>
        </m:r>
        <m:r>
          <m:rPr>
            <m:sty m:val="p"/>
          </m:rPr>
          <m:t>→</m:t>
        </m:r>
        <m:r>
          <m:t>0.087</m:t>
        </m:r>
      </m:oMath>
      <w:r>
        <w:t xml:space="preserve"> </w:t>
      </w:r>
      <w:r>
        <w:t xml:space="preserve">and</w:t>
      </w:r>
      <w:r>
        <w:t xml:space="preserve"> </w:t>
      </w:r>
      <m:oMath>
        <m:r>
          <m:t>99.4</m:t>
        </m:r>
        <m:r>
          <m:rPr>
            <m:sty m:val="p"/>
          </m:rPr>
          <m:t>%</m:t>
        </m:r>
      </m:oMath>
      <w:r>
        <w:t xml:space="preserve"> </w:t>
      </w:r>
      <w:r>
        <w:t xml:space="preserve">of predictions collapse to Grade 0. Under DINOv2 the within-Messidor-2 QWK of</w:t>
      </w:r>
      <w:r>
        <w:t xml:space="preserve"> </w:t>
      </w:r>
      <m:oMath>
        <m:r>
          <m:t>0.76</m:t>
        </m:r>
      </m:oMath>
      <w:r>
        <w:t xml:space="preserve"> </w:t>
      </w:r>
      <w:r>
        <w:t xml:space="preserve">suggests the features are more transferable, though we did not run cross-dataset DINOv2 in this draft (compute cut). The SLD prior correction demonstrates that the collapse is threshold-based and not representational, but the corrected QWK</w:t>
      </w:r>
      <w:r>
        <w:t xml:space="preserve"> </w:t>
      </w:r>
      <m:oMath>
        <m:r>
          <m:t>0.222</m:t>
        </m:r>
      </m:oMath>
      <w:r>
        <w:t xml:space="preserve"> </w:t>
      </w:r>
      <w:r>
        <w:t xml:space="preserve">is</w:t>
      </w:r>
      <w:r>
        <w:t xml:space="preserve"> </w:t>
      </w:r>
      <w:r>
        <w:rPr>
          <w:i/>
          <w:iCs/>
        </w:rPr>
        <w:t xml:space="preserve">fair</w:t>
      </w:r>
      <w:r>
        <w:t xml:space="preserve"> </w:t>
      </w:r>
      <w:r>
        <w:t xml:space="preserve">at best and we do not claim deployment viability. A principled deployment fix would combine a stronger backbone (DINOv2 or RETFound-DINOv2</w:t>
      </w:r>
      <w:r>
        <w:t xml:space="preserve"> </w:t>
      </w:r>
      <w:r>
        <w:t xml:space="preserve">) with target-prior estimation</w:t>
      </w:r>
      <w:r>
        <w:t xml:space="preserve"> </w:t>
      </w:r>
      <w:r>
        <w:t xml:space="preserve"> </w:t>
      </w:r>
      <w:r>
        <w:t xml:space="preserve">and class-conditional conformal bounds.</w:t>
      </w:r>
    </w:p>
    <w:p>
      <w:pPr>
        <w:pStyle w:val="BodyText"/>
      </w:pPr>
      <w:r>
        <w:t xml:space="preserve">A note on benchmark positioning. We do not target the SOTA APTOS QWK of MAFNet (</w:t>
      </w:r>
      <m:oMath>
        <m:r>
          <m:t>0.936</m:t>
        </m:r>
      </m:oMath>
      <w:r>
        <w:t xml:space="preserve">)</w:t>
      </w:r>
      <w:r>
        <w:t xml:space="preserve"> </w:t>
      </w:r>
      <w:r>
        <w:t xml:space="preserve"> </w:t>
      </w:r>
      <w:r>
        <w:t xml:space="preserve">or Dual-SwinOrd (</w:t>
      </w:r>
      <m:oMath>
        <m:r>
          <m:t>0.937</m:t>
        </m:r>
      </m:oMath>
      <w:r>
        <w:t xml:space="preserve">)</w:t>
      </w:r>
      <w:r>
        <w:t xml:space="preserve"> </w:t>
      </w:r>
      <w:r>
        <w:t xml:space="preserve">, which use larger models and different protocols. Our DINOv2</w:t>
      </w:r>
      <w:r>
        <w:t xml:space="preserve"> </w:t>
      </w:r>
      <m:oMath>
        <m:r>
          <m:rPr>
            <m:sty m:val="p"/>
          </m:rPr>
          <m:t>×</m:t>
        </m:r>
      </m:oMath>
      <w:r>
        <w:t xml:space="preserve"> </w:t>
      </w:r>
      <w:r>
        <w:t xml:space="preserve">MLP-K1 Messidor-2 QWK</w:t>
      </w:r>
      <w:r>
        <w:t xml:space="preserve"> </w:t>
      </w:r>
      <m:oMath>
        <m:r>
          <m:t>0.7643</m:t>
        </m:r>
      </m:oMath>
      <w:r>
        <w:t xml:space="preserve"> </w:t>
      </w:r>
      <w:r>
        <w:t xml:space="preserve">is, however, the highest frozen-feature Messidor-2 QWK we have seen reported at a 3-seed</w:t>
      </w:r>
      <w:r>
        <w:t xml:space="preserve"> </w:t>
      </w:r>
      <m:oMath>
        <m:r>
          <m:rPr>
            <m:sty m:val="p"/>
          </m:rPr>
          <m:t>×</m:t>
        </m:r>
      </m:oMath>
      <w:r>
        <w:t xml:space="preserve"> </w:t>
      </w:r>
      <w:r>
        <w:t xml:space="preserve">5-fold protocol.</w:t>
      </w:r>
    </w:p>
    <w:bookmarkEnd w:id="62"/>
    <w:bookmarkStart w:id="63" w:name="sec:limitations"/>
    <w:p>
      <w:pPr>
        <w:pStyle w:val="Heading1"/>
      </w:pPr>
      <w:r>
        <w:t xml:space="preserve">Limitations</w:t>
      </w:r>
    </w:p>
    <w:p>
      <w:pPr>
        <w:pStyle w:val="FirstParagraph"/>
      </w:pPr>
      <w:r>
        <w:t xml:space="preserve">We did not run a DINOv2 LoRA variant (compute budget, 16h/seed on MPS). We did not run a DINOv2 IDRiD ablation. We did not compare against rank-calibrated class-conditional conformal (RC3P,</w:t>
      </w:r>
      <w:r>
        <w:t xml:space="preserve"> </w:t>
      </w:r>
      <w:r>
        <w:t xml:space="preserve">), evidential ordinal heads</w:t>
      </w:r>
      <w:r>
        <w:t xml:space="preserve"> </w:t>
      </w:r>
      <w:r>
        <w:t xml:space="preserve">, or the MAFNet and Dual-SwinOrd families</w:t>
      </w:r>
      <w:r>
        <w:t xml:space="preserve"> </w:t>
      </w:r>
      <w:r>
        <w:t xml:space="preserve"> </w:t>
      </w:r>
      <w:r>
        <w:t xml:space="preserve">because these require non-trivial training budgets on a single laptop. We flag them as natural follow-ups. Our UQ analysis is single-split for conformal set-size distribution. Marginal coverage is averaged over five splits but per-class coverage is the single-split seed-42 run. The IDRiD val</w:t>
      </w:r>
      <m:oMath>
        <m:r>
          <m:rPr>
            <m:sty m:val="p"/>
          </m:rPr>
          <m:t>→</m:t>
        </m:r>
      </m:oMath>
      <w:r>
        <w:t xml:space="preserve">test gap of</w:t>
      </w:r>
      <w:r>
        <w:t xml:space="preserve"> </w:t>
      </w:r>
      <m:oMath>
        <m:r>
          <m:rPr>
            <m:sty m:val="p"/>
          </m:rPr>
          <m:t>∼</m:t>
        </m:r>
      </m:oMath>
      <w:r>
        <w:t xml:space="preserve">0.30 QWK is genuine, not an artefact of our protocol, and we did not attempt IDRiD-specific domain adaptation.</w:t>
      </w:r>
    </w:p>
    <w:bookmarkEnd w:id="63"/>
    <w:bookmarkStart w:id="64" w:name="sec:conclusion"/>
    <w:p>
      <w:pPr>
        <w:pStyle w:val="Heading1"/>
      </w:pPr>
      <w:r>
        <w:t xml:space="preserve">Conclusion</w:t>
      </w:r>
    </w:p>
    <w:p>
      <w:pPr>
        <w:pStyle w:val="FirstParagraph"/>
      </w:pPr>
      <w:r>
        <w:t xml:space="preserve">On frozen foundation features for ordinal DR grading, the backbone is a larger architectural lever than the head, and the head choice is a smaller second-order effect that comes at a calibration cost. The</w:t>
      </w:r>
      <w:r>
        <w:t xml:space="preserve"> </w:t>
      </w:r>
      <m:oMath>
        <m:r>
          <m:t>K</m:t>
        </m:r>
        <m:r>
          <m:rPr>
            <m:sty m:val="p"/>
          </m:rPr>
          <m:t>−</m:t>
        </m:r>
        <m:r>
          <m:t>1</m:t>
        </m:r>
      </m:oMath>
      <w:r>
        <w:t xml:space="preserve"> </w:t>
      </w:r>
      <w:r>
        <w:t xml:space="preserve">ordinal decomposition is the primary head-level contribution. Capsule routing on top is a marginal QWK improvement that does not improve calibration, and its native confidence signal is duplicated by a plain sigmoid head. Split conformal prediction is the uncertainty layer that ships a usable guarantee. Average coverage holds across every configuration, but per-grade reliability fails on rare grades and needs a class-conditional fix. Cross-dataset transfer is a threshold problem rather than a feature-space failure. A label-free prior-shift correction lifts agreement into the fair band of the standard kappa scale, but not to clinical-screening levels. Negative ablations and full results are in Appendix </w:t>
      </w:r>
      <w:hyperlink w:anchor="sec:negatives">
        <w:r>
          <w:rPr>
            <w:rStyle w:val="Hyperlink"/>
          </w:rPr>
          <w:t xml:space="preserve">9</w:t>
        </w:r>
      </w:hyperlink>
      <w:r>
        <w:t xml:space="preserve">. Code:</w:t>
      </w:r>
      <w:r>
        <w:t xml:space="preserve"> </w:t>
      </w:r>
      <w:hyperlink r:id="rId14">
        <w:r>
          <w:rPr>
            <w:rStyle w:val="Hyperlink"/>
          </w:rPr>
          <w:t xml:space="preserve">https://github.com/vineetkumar-sudo/retfound-capsnet</w:t>
        </w:r>
      </w:hyperlink>
      <w:r>
        <w:t xml:space="preserve">.</w:t>
      </w:r>
    </w:p>
    <w:bookmarkEnd w:id="64"/>
    <w:bookmarkStart w:id="65" w:name="sec:negatives"/>
    <w:p>
      <w:pPr>
        <w:pStyle w:val="Heading1"/>
      </w:pPr>
      <w:r>
        <w:t xml:space="preserve">Negative-result ablations</w:t>
      </w:r>
    </w:p>
    <w:p>
      <w:pPr>
        <w:pStyle w:val="FirstParagraph"/>
      </w:pPr>
      <w:r>
        <w:t xml:space="preserve">For completeness we report four negative results that did not appear in the main text; all use the RETFound</w:t>
      </w:r>
      <w:r>
        <w:t xml:space="preserve"> </w:t>
      </w:r>
      <m:oMath>
        <m:r>
          <m:rPr>
            <m:sty m:val="p"/>
          </m:rPr>
          <m:t>×</m:t>
        </m:r>
      </m:oMath>
      <w:r>
        <w:t xml:space="preserve"> </w:t>
      </w:r>
      <w:r>
        <w:t xml:space="preserve">Ordinal CapsNet baseline as the reference.</w:t>
      </w:r>
    </w:p>
    <w:p>
      <w:pPr>
        <w:pStyle w:val="BodyText"/>
      </w:pPr>
      <w:r>
        <w:rPr>
          <w:b/>
          <w:bCs/>
        </w:rPr>
        <w:t xml:space="preserve">Asymmetric ordinal loss</w:t>
      </w:r>
      <w:r>
        <w:t xml:space="preserve"> </w:t>
      </w:r>
      <w:r>
        <w:t xml:space="preserve">at</w:t>
      </w:r>
      <w:r>
        <w:t xml:space="preserve"> </w:t>
      </w:r>
      <m:oMath>
        <m:sSub>
          <m:e>
            <m:r>
              <m:t>λ</m:t>
            </m:r>
          </m:e>
          <m:sub>
            <m:r>
              <m:rPr>
                <m:nor/>
                <m:sty m:val="p"/>
              </m:rPr>
              <m:t>up</m:t>
            </m:r>
          </m:sub>
        </m:sSub>
        <m:r>
          <m:rPr>
            <m:sty m:val="p"/>
          </m:rPr>
          <m:t>=</m:t>
        </m:r>
        <m:sSub>
          <m:e>
            <m:r>
              <m:t>λ</m:t>
            </m:r>
          </m:e>
          <m:sub>
            <m:r>
              <m:rPr>
                <m:nor/>
                <m:sty m:val="p"/>
              </m:rPr>
              <m:t>down</m:t>
            </m:r>
          </m:sub>
        </m:sSub>
        <m:r>
          <m:rPr>
            <m:sty m:val="p"/>
          </m:rPr>
          <m:t>=</m:t>
        </m:r>
        <m:r>
          <m:t>1.0</m:t>
        </m:r>
      </m:oMath>
      <w:r>
        <w:t xml:space="preserve"> </w:t>
      </w:r>
      <w:r>
        <w:t xml:space="preserve">yields QWK</w:t>
      </w:r>
      <w:r>
        <w:t xml:space="preserve"> </w:t>
      </w:r>
      <m:oMath>
        <m:r>
          <m:t>0.8923</m:t>
        </m:r>
        <m:r>
          <m:rPr>
            <m:sty m:val="p"/>
          </m:rPr>
          <m:t>±</m:t>
        </m:r>
        <m:r>
          <m:t>0.0014</m:t>
        </m:r>
      </m:oMath>
      <w:r>
        <w:t xml:space="preserve"> </w:t>
      </w:r>
      <w:r>
        <w:t xml:space="preserve">vs. the symmetric baseline</w:t>
      </w:r>
      <w:r>
        <w:t xml:space="preserve"> </w:t>
      </w:r>
      <m:oMath>
        <m:r>
          <m:t>0.8932</m:t>
        </m:r>
        <m:r>
          <m:rPr>
            <m:sty m:val="p"/>
          </m:rPr>
          <m:t>±</m:t>
        </m:r>
        <m:r>
          <m:t>0.0004</m:t>
        </m:r>
      </m:oMath>
      <w:r>
        <w:t xml:space="preserve"> </w:t>
      </w:r>
      <w:r>
        <w:t xml:space="preserve">(</w:t>
      </w:r>
      <m:oMath>
        <m:r>
          <m:rPr>
            <m:sty m:val="p"/>
          </m:rPr>
          <m:t>−</m:t>
        </m:r>
        <m:r>
          <m:t>0.0009</m:t>
        </m:r>
      </m:oMath>
      <w:r>
        <w:t xml:space="preserve"> </w:t>
      </w:r>
      <w:r>
        <w:t xml:space="preserve">QWK, inside combined seed noise). The</w:t>
      </w:r>
      <w:r>
        <w:t xml:space="preserve"> </w:t>
      </w:r>
      <m:oMath>
        <m:r>
          <m:t>K</m:t>
        </m:r>
        <m:r>
          <m:rPr>
            <m:sty m:val="p"/>
          </m:rPr>
          <m:t>−</m:t>
        </m:r>
        <m:r>
          <m:t>1</m:t>
        </m:r>
      </m:oMath>
      <w:r>
        <w:t xml:space="preserve"> </w:t>
      </w:r>
      <w:r>
        <w:t xml:space="preserve">decomposition already produces a safety bias, so direction-aware weighting is redundant.</w:t>
      </w:r>
    </w:p>
    <w:p>
      <w:pPr>
        <w:pStyle w:val="BodyText"/>
      </w:pPr>
      <w:r>
        <w:rPr>
          <w:b/>
          <w:bCs/>
        </w:rPr>
        <w:t xml:space="preserve">KC Loss</w:t>
      </w:r>
      <w:r>
        <w:t xml:space="preserve"> </w:t>
      </w:r>
      <w:r>
        <w:t xml:space="preserve">(differentiable QWK surrogate at</w:t>
      </w:r>
      <w:r>
        <w:t xml:space="preserve"> </w:t>
      </w:r>
      <m:oMath>
        <m:r>
          <m:t>γ</m:t>
        </m:r>
        <m:r>
          <m:rPr>
            <m:sty m:val="p"/>
          </m:rPr>
          <m:t>=</m:t>
        </m:r>
        <m:r>
          <m:t>0.3</m:t>
        </m:r>
      </m:oMath>
      <w:r>
        <w:t xml:space="preserve">) yields QWK</w:t>
      </w:r>
      <w:r>
        <w:t xml:space="preserve"> </w:t>
      </w:r>
      <m:oMath>
        <m:r>
          <m:t>0.8914</m:t>
        </m:r>
        <m:r>
          <m:rPr>
            <m:sty m:val="p"/>
          </m:rPr>
          <m:t>±</m:t>
        </m:r>
        <m:r>
          <m:t>0.0006</m:t>
        </m:r>
      </m:oMath>
      <w:r>
        <w:t xml:space="preserve"> </w:t>
      </w:r>
      <w:r>
        <w:t xml:space="preserve">(</w:t>
      </w:r>
      <m:oMath>
        <m:r>
          <m:rPr>
            <m:sty m:val="p"/>
          </m:rPr>
          <m:t>−</m:t>
        </m:r>
        <m:r>
          <m:t>0.0018</m:t>
        </m:r>
      </m:oMath>
      <w:r>
        <w:t xml:space="preserve">, outside seed noise on the wrong side).</w:t>
      </w:r>
    </w:p>
    <w:p>
      <w:pPr>
        <w:pStyle w:val="BodyText"/>
      </w:pPr>
      <w:r>
        <w:rPr>
          <w:b/>
          <w:bCs/>
        </w:rPr>
        <w:t xml:space="preserve">Non-uniform squash</w:t>
      </w:r>
      <w:r>
        <w:t xml:space="preserve"> </w:t>
      </w:r>
      <w:r>
        <w:t xml:space="preserve"> </w:t>
      </w:r>
      <w:r>
        <w:t xml:space="preserve">(</w:t>
      </w:r>
      <m:oMath>
        <m:r>
          <m:t>v</m:t>
        </m:r>
        <m:r>
          <m:rPr>
            <m:sty m:val="p"/>
          </m:rPr>
          <m:t>=</m:t>
        </m:r>
        <m:r>
          <m:t>s</m:t>
        </m:r>
        <m:r>
          <m:rPr>
            <m:sty m:val="p"/>
          </m:rPr>
          <m:t>/</m:t>
        </m:r>
        <m:r>
          <m:rPr>
            <m:sty m:val="p"/>
          </m:rPr>
          <m:t>(</m:t>
        </m:r>
        <m:r>
          <m:t>1</m:t>
        </m:r>
        <m:r>
          <m:rPr>
            <m:sty m:val="p"/>
          </m:rPr>
          <m:t>+</m:t>
        </m:r>
        <m:r>
          <m:rPr>
            <m:sty m:val="p"/>
          </m:rPr>
          <m:t>∥</m:t>
        </m:r>
        <m:r>
          <m:t>s</m:t>
        </m:r>
        <m:r>
          <m:rPr>
            <m:sty m:val="p"/>
          </m:rPr>
          <m:t>∥</m:t>
        </m:r>
        <m:r>
          <m:rPr>
            <m:sty m:val="p"/>
          </m:rPr>
          <m:t>)</m:t>
        </m:r>
      </m:oMath>
      <w:r>
        <w:t xml:space="preserve">) yields QWK</w:t>
      </w:r>
      <w:r>
        <w:t xml:space="preserve"> </w:t>
      </w:r>
      <m:oMath>
        <m:r>
          <m:t>0.8894</m:t>
        </m:r>
        <m:r>
          <m:rPr>
            <m:sty m:val="p"/>
          </m:rPr>
          <m:t>±</m:t>
        </m:r>
        <m:r>
          <m:t>0.0006</m:t>
        </m:r>
      </m:oMath>
      <w:r>
        <w:t xml:space="preserve"> </w:t>
      </w:r>
      <w:r>
        <w:t xml:space="preserve">(</w:t>
      </w:r>
      <m:oMath>
        <m:r>
          <m:rPr>
            <m:sty m:val="p"/>
          </m:rPr>
          <m:t>−</m:t>
        </m:r>
        <m:r>
          <m:t>0.0038</m:t>
        </m:r>
      </m:oMath>
      <w:r>
        <w:t xml:space="preserve">, a clear negative reproduction); Gogulamudi’s reported gain on a custom 7-class dataset does not transfer to frozen RETFound +</w:t>
      </w:r>
      <w:r>
        <w:t xml:space="preserve"> </w:t>
      </w:r>
      <m:oMath>
        <m:r>
          <m:t>K</m:t>
        </m:r>
        <m:r>
          <m:rPr>
            <m:sty m:val="p"/>
          </m:rPr>
          <m:t>−</m:t>
        </m:r>
        <m:r>
          <m:t>1</m:t>
        </m:r>
      </m:oMath>
      <w:r>
        <w:t xml:space="preserve"> </w:t>
      </w:r>
      <w:r>
        <w:t xml:space="preserve">binary heads.</w:t>
      </w:r>
    </w:p>
    <w:p>
      <w:pPr>
        <w:pStyle w:val="BodyText"/>
      </w:pPr>
      <w:r>
        <w:rPr>
          <w:b/>
          <w:bCs/>
        </w:rPr>
        <w:t xml:space="preserve">Routing-agreement variance as UQ</w:t>
      </w:r>
      <w:r>
        <w:t xml:space="preserve"> </w:t>
      </w:r>
      <w:r>
        <w:t xml:space="preserve">produces an</w:t>
      </w:r>
      <w:r>
        <w:t xml:space="preserve"> </w:t>
      </w:r>
      <w:r>
        <w:rPr>
          <w:i/>
          <w:iCs/>
        </w:rPr>
        <w:t xml:space="preserve">inverted</w:t>
      </w:r>
      <w:r>
        <w:t xml:space="preserve"> </w:t>
      </w:r>
      <w:r>
        <w:t xml:space="preserve">accuracy-coverage curve on APTOS. Rejecting the most uncertain samples</w:t>
      </w:r>
      <w:r>
        <w:t xml:space="preserve"> </w:t>
      </w:r>
      <w:r>
        <w:rPr>
          <w:i/>
          <w:iCs/>
        </w:rPr>
        <w:t xml:space="preserve">reduces</w:t>
      </w:r>
      <w:r>
        <w:t xml:space="preserve"> </w:t>
      </w:r>
      <w:r>
        <w:t xml:space="preserve">accuracy on the retained set. This is a negative result for one specific capsule-internal UQ signal; the prediction-margin and max-probability selectors remain well-behaved.</w:t>
      </w:r>
    </w:p>
    <w:bookmarkEnd w:id="65"/>
    <w:bookmarkStart w:id="67" w:name="data-availability-and-acknowledgements"/>
    <w:p>
      <w:pPr>
        <w:pStyle w:val="Heading1"/>
      </w:pPr>
      <w:r>
        <w:t xml:space="preserve">Data Availability and Acknowledgements</w:t>
      </w:r>
    </w:p>
    <w:p>
      <w:pPr>
        <w:pStyle w:val="FirstParagraph"/>
      </w:pPr>
      <w:r>
        <w:t xml:space="preserve">The APTOS-2019 dataset is available through the Kaggle competition</w:t>
      </w:r>
      <w:r>
        <w:t xml:space="preserve"> </w:t>
      </w:r>
      <w:r>
        <w:t xml:space="preserve">“APTOS 2019 Blindness Detection”</w:t>
      </w:r>
      <w:r>
        <w:t xml:space="preserve"> </w:t>
      </w:r>
      <w:r>
        <w:t xml:space="preserve">. IDRiD is available from IEEE DataPort</w:t>
      </w:r>
      <w:r>
        <w:t xml:space="preserve"> </w:t>
      </w:r>
      <w:r>
        <w:t xml:space="preserve">. The Messidor-2 colour fundus photographs were kindly provided by the Messidor program partners via ADCIS under their research-use licence, and the adjudicated 5-class DR grades used for evaluation were released by Google Research’s Medical Brain team</w:t>
      </w:r>
      <w:r>
        <w:t xml:space="preserve"> </w:t>
      </w:r>
      <w:r>
        <w:t xml:space="preserve">. RETFound pretrained weights are distributed by the authors of</w:t>
      </w:r>
      <w:r>
        <w:t xml:space="preserve"> </w:t>
      </w:r>
      <w:r>
        <w:t xml:space="preserve">; DINOv2 weights are distributed by the authors of</w:t>
      </w:r>
      <w:r>
        <w:t xml:space="preserve"> </w:t>
      </w:r>
      <w:r>
        <w:t xml:space="preserve">. We thank all dataset providers and the authors of the above backbones for releasing pretrained weights.</w:t>
      </w:r>
    </w:p>
    <w:p>
      <w:pPr>
        <w:pStyle w:val="BodyText"/>
      </w:pPr>
      <w:r>
        <w:t xml:space="preserve">99</w:t>
      </w:r>
    </w:p>
    <w:p>
      <w:pPr>
        <w:pStyle w:val="BodyText"/>
      </w:pPr>
      <w:r>
        <w:t xml:space="preserve">S. Sabour, N. Frosst, and G. E. Hinton,</w:t>
      </w:r>
      <w:r>
        <w:t xml:space="preserve"> </w:t>
      </w:r>
      <w:r>
        <w:t xml:space="preserve">“Dynamic routing between capsules,”</w:t>
      </w:r>
      <w:r>
        <w:t xml:space="preserve"> </w:t>
      </w:r>
      <w:r>
        <w:t xml:space="preserve">in</w:t>
      </w:r>
      <w:r>
        <w:t xml:space="preserve"> </w:t>
      </w:r>
      <w:r>
        <w:rPr>
          <w:i/>
          <w:iCs/>
        </w:rPr>
        <w:t xml:space="preserve">Advances in Neural Information Processing Systems (NeurIPS)</w:t>
      </w:r>
      <w:r>
        <w:t xml:space="preserve">, vol. 30, 2017.</w:t>
      </w:r>
    </w:p>
    <w:p>
      <w:pPr>
        <w:pStyle w:val="BodyText"/>
      </w:pPr>
      <w:r>
        <w:t xml:space="preserve">Z. Niu, M. Zhou, L. Wang, X. Gao, and G. Hua,</w:t>
      </w:r>
      <w:r>
        <w:t xml:space="preserve"> </w:t>
      </w:r>
      <w:r>
        <w:t xml:space="preserve">“Ordinal regression with multiple output CNN for age estimation,”</w:t>
      </w:r>
      <w:r>
        <w:t xml:space="preserve"> </w:t>
      </w:r>
      <w:r>
        <w:t xml:space="preserve">in</w:t>
      </w:r>
      <w:r>
        <w:t xml:space="preserve"> </w:t>
      </w:r>
      <w:r>
        <w:rPr>
          <w:i/>
          <w:iCs/>
        </w:rPr>
        <w:t xml:space="preserve">Proc. IEEE Conf. on Computer Vision and Pattern Recognition (CVPR)</w:t>
      </w:r>
      <w:r>
        <w:t xml:space="preserve">, 2016, pp. 4920–4928.</w:t>
      </w:r>
    </w:p>
    <w:p>
      <w:pPr>
        <w:pStyle w:val="BodyText"/>
      </w:pPr>
      <w:r>
        <w:t xml:space="preserve">Y. Zhou, M. A. Chia, S. K. Wagner, M. S. Ayhan, D. J. Williamson, R. R. Struyven, T. Liu, M. Xu, M. G. Lozano, P. Woodward-Court</w:t>
      </w:r>
      <w:r>
        <w:t xml:space="preserve"> </w:t>
      </w:r>
      <w:r>
        <w:rPr>
          <w:i/>
          <w:iCs/>
        </w:rPr>
        <w:t xml:space="preserve">et al.</w:t>
      </w:r>
      <w:r>
        <w:t xml:space="preserve">,</w:t>
      </w:r>
      <w:r>
        <w:t xml:space="preserve"> </w:t>
      </w:r>
      <w:r>
        <w:t xml:space="preserve">“A foundation model for generalizable disease detection from retinal images,”</w:t>
      </w:r>
      <w:r>
        <w:t xml:space="preserve"> </w:t>
      </w:r>
      <w:r>
        <w:rPr>
          <w:i/>
          <w:iCs/>
        </w:rPr>
        <w:t xml:space="preserve">Nature</w:t>
      </w:r>
      <w:r>
        <w:t xml:space="preserve">, vol. 622, no. 7981, pp. 156–163, 2023.</w:t>
      </w:r>
    </w:p>
    <w:p>
      <w:pPr>
        <w:pStyle w:val="BodyText"/>
      </w:pPr>
      <w:r>
        <w:t xml:space="preserve">M. Oquab, T. Darcet, T. Moutakanni, H. Vo, M. Szafraniec, V. Khalidov, P. Fernandez, D. Haziza, F. Massa, A. El-Nouby</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arXiv preprint arXiv:2304.07193</w:t>
      </w:r>
      <w:r>
        <w:t xml:space="preserve">, 2023.</w:t>
      </w:r>
    </w:p>
    <w:p>
      <w:pPr>
        <w:pStyle w:val="BodyText"/>
      </w:pPr>
      <w:r>
        <w:t xml:space="preserve">Q. Hou, Y. Zhou, J. H. L. Goh, K. Zou, S. M. E. Yew, S. Srinivasan, M. Wang, T. W. S. Lo, X. Lei, S. K. Wagner</w:t>
      </w:r>
      <w:r>
        <w:t xml:space="preserve"> </w:t>
      </w:r>
      <w:r>
        <w:rPr>
          <w:i/>
          <w:iCs/>
        </w:rPr>
        <w:t xml:space="preserve">et al.</w:t>
      </w:r>
      <w:r>
        <w:t xml:space="preserve">,</w:t>
      </w:r>
      <w:r>
        <w:t xml:space="preserve"> </w:t>
      </w:r>
      <w:r>
        <w:t xml:space="preserve">“Can a natural image-based foundation model outperform a retina-specific model in detecting ocular and systemic diseases?,”</w:t>
      </w:r>
      <w:r>
        <w:t xml:space="preserve"> </w:t>
      </w:r>
      <w:r>
        <w:rPr>
          <w:i/>
          <w:iCs/>
        </w:rPr>
        <w:t xml:space="preserve">Ophthalmology Science</w:t>
      </w:r>
      <w:r>
        <w:t xml:space="preserve">, vol. 6, no. 1, art. 100923, 2026.</w:t>
      </w:r>
    </w:p>
    <w:p>
      <w:pPr>
        <w:pStyle w:val="BodyText"/>
      </w:pPr>
      <w:r>
        <w:t xml:space="preserve">M. Poyrazer, H. Yağc</w:t>
      </w:r>
      <w:r>
        <w:t xml:space="preserve">ı</w:t>
      </w:r>
      <w:r>
        <w:t xml:space="preserve">, and R. Erten,</w:t>
      </w:r>
      <w:r>
        <w:t xml:space="preserve"> </w:t>
      </w:r>
      <w:r>
        <w:t xml:space="preserve">“How well do frozen foundation models transfer? A calibration-focused benchmark for diabetic retinopathy grading,”</w:t>
      </w:r>
      <w:r>
        <w:t xml:space="preserve"> </w:t>
      </w:r>
      <w:r>
        <w:rPr>
          <w:i/>
          <w:iCs/>
        </w:rPr>
        <w:t xml:space="preserve">Frontiers in Medicine</w:t>
      </w:r>
      <w:r>
        <w:t xml:space="preserve">, vol. 13, art. 1815982, 2026.</w:t>
      </w:r>
    </w:p>
    <w:p>
      <w:pPr>
        <w:pStyle w:val="BodyText"/>
      </w:pPr>
      <w:r>
        <w:t xml:space="preserve">D. Isztl, T. Spitznagel, G. M. Somfai, and R. Santos,</w:t>
      </w:r>
      <w:r>
        <w:t xml:space="preserve"> </w:t>
      </w:r>
      <w:r>
        <w:t xml:space="preserve">“When do domain-specific foundation models justify their cost? A systematic evaluation across retinal imaging tasks,”</w:t>
      </w:r>
      <w:r>
        <w:t xml:space="preserve"> </w:t>
      </w:r>
      <w:r>
        <w:rPr>
          <w:i/>
          <w:iCs/>
        </w:rPr>
        <w:t xml:space="preserve">arXiv preprint arXiv:2511.22001</w:t>
      </w:r>
      <w:r>
        <w:t xml:space="preserve">, 2025.</w:t>
      </w:r>
    </w:p>
    <w:p>
      <w:pPr>
        <w:pStyle w:val="BodyText"/>
      </w:pPr>
      <w:r>
        <w:t xml:space="preserve">E. J. Hu, Y. Shen, P. Wallis, Z. Allen-Zhu, Y. Li, S. Wang, L. Wang, and W. Chen,</w:t>
      </w:r>
      <w:r>
        <w:t xml:space="preserve"> </w:t>
      </w:r>
      <w:r>
        <w:t xml:space="preserve">“LoRA: Low-rank adaptation of large language models,”</w:t>
      </w:r>
      <w:r>
        <w:t xml:space="preserve"> </w:t>
      </w:r>
      <w:r>
        <w:t xml:space="preserve">in</w:t>
      </w:r>
      <w:r>
        <w:t xml:space="preserve"> </w:t>
      </w:r>
      <w:r>
        <w:rPr>
          <w:i/>
          <w:iCs/>
        </w:rPr>
        <w:t xml:space="preserve">Int. Conf. on Learning Representations (ICLR)</w:t>
      </w:r>
      <w:r>
        <w:t xml:space="preserve">, 2022.</w:t>
      </w:r>
    </w:p>
    <w:p>
      <w:pPr>
        <w:pStyle w:val="BodyText"/>
      </w:pPr>
      <w:r>
        <w:t xml:space="preserve">S. Kumar, D. S. Aditya, T. L. Kumar, T. Bikku, S. Thota, and C. Kumar,</w:t>
      </w:r>
      <w:r>
        <w:t xml:space="preserve"> </w:t>
      </w:r>
      <w:r>
        <w:t xml:space="preserve">“Stage-aware diagnosis of diabetic retinopathy via ordinal regression,”</w:t>
      </w:r>
      <w:r>
        <w:t xml:space="preserve"> </w:t>
      </w:r>
      <w:r>
        <w:rPr>
          <w:i/>
          <w:iCs/>
        </w:rPr>
        <w:t xml:space="preserve">arXiv preprint arXiv:2511.14398</w:t>
      </w:r>
      <w:r>
        <w:t xml:space="preserve">, 2025.</w:t>
      </w:r>
    </w:p>
    <w:p>
      <w:pPr>
        <w:pStyle w:val="BodyText"/>
      </w:pPr>
      <w:r>
        <w:t xml:space="preserve">Q. Yu, W. Zhou, H. Liu, Y. Xu, M. Wang, Y. Zhao, H. Fu, X. Ye, Y. Zheng, and Y. Meng,</w:t>
      </w:r>
      <w:r>
        <w:t xml:space="preserve"> </w:t>
      </w:r>
      <w:r>
        <w:t xml:space="preserve">“Parameterized diffusion optimization enabled autoregressive ordinal regression for diabetic retinopathy grading,”</w:t>
      </w:r>
      <w:r>
        <w:t xml:space="preserve"> </w:t>
      </w:r>
      <w:r>
        <w:t xml:space="preserve">in</w:t>
      </w:r>
      <w:r>
        <w:t xml:space="preserve"> </w:t>
      </w:r>
      <w:r>
        <w:rPr>
          <w:i/>
          <w:iCs/>
        </w:rPr>
        <w:t xml:space="preserve">Int. Conf. on Medical Image Computing and Computer-Assisted Intervention (MICCAI)</w:t>
      </w:r>
      <w:r>
        <w:t xml:space="preserve">, 2025, pp. 450–460.</w:t>
      </w:r>
    </w:p>
    <w:p>
      <w:pPr>
        <w:pStyle w:val="BodyText"/>
      </w:pPr>
      <w:r>
        <w:t xml:space="preserve">A. El Bellaj, A. Benradi, S. El Youssoufi, T. El Marzouki, and M.-A. Cheddadi,</w:t>
      </w:r>
      <w:r>
        <w:t xml:space="preserve"> </w:t>
      </w:r>
      <w:r>
        <w:t xml:space="preserve">“Uncertainty-aware ordinal deep learning for cross-dataset diabetic retinopathy grading,”</w:t>
      </w:r>
      <w:r>
        <w:t xml:space="preserve"> </w:t>
      </w:r>
      <w:r>
        <w:rPr>
          <w:i/>
          <w:iCs/>
        </w:rPr>
        <w:t xml:space="preserve">arXiv preprint arXiv:2602.10315</w:t>
      </w:r>
      <w:r>
        <w:t xml:space="preserve">, 2026.</w:t>
      </w:r>
    </w:p>
    <w:p>
      <w:pPr>
        <w:pStyle w:val="BodyText"/>
      </w:pPr>
      <w:r>
        <w:t xml:space="preserve">L. Sun, Q. Peng, X. Xiao, J. Liu, Y. Li, D. Shu, and J. Xue,</w:t>
      </w:r>
      <w:r>
        <w:t xml:space="preserve"> </w:t>
      </w:r>
      <w:r>
        <w:t xml:space="preserve">“MAFNet: A novel adaptive multi-scale model for fine-grained grading of diabetic retinopathy,”</w:t>
      </w:r>
      <w:r>
        <w:t xml:space="preserve"> </w:t>
      </w:r>
      <w:r>
        <w:rPr>
          <w:i/>
          <w:iCs/>
        </w:rPr>
        <w:t xml:space="preserve">Scientific Reports</w:t>
      </w:r>
      <w:r>
        <w:t xml:space="preserve">, vol. 15, no. 1, art. 32280, 2025.</w:t>
      </w:r>
    </w:p>
    <w:p>
      <w:pPr>
        <w:pStyle w:val="BodyText"/>
      </w:pPr>
      <w:r>
        <w:t xml:space="preserve">W. Yu, X. Si, and J. Zhong,</w:t>
      </w:r>
      <w:r>
        <w:t xml:space="preserve"> </w:t>
      </w:r>
      <w:r>
        <w:t xml:space="preserve">“Dual-SwinOrd: A dual-head Swin Transformer with semantic prior injection for ordinal diabetic retinopathy grading,”</w:t>
      </w:r>
      <w:r>
        <w:t xml:space="preserve"> </w:t>
      </w:r>
      <w:r>
        <w:rPr>
          <w:i/>
          <w:iCs/>
        </w:rPr>
        <w:t xml:space="preserve">Bioengineering</w:t>
      </w:r>
      <w:r>
        <w:t xml:space="preserve">, vol. 13, no. 4, art. 374, 2026.</w:t>
      </w:r>
    </w:p>
    <w:p>
      <w:pPr>
        <w:pStyle w:val="BodyText"/>
      </w:pPr>
      <w:r>
        <w:t xml:space="preserve">N. Gogulamudi, M. Golla, S. Kautish, A. S. Almazyad, G. Xiong, A. W. Mohamed</w:t>
      </w:r>
      <w:r>
        <w:t xml:space="preserve"> </w:t>
      </w:r>
      <w:r>
        <w:rPr>
          <w:i/>
          <w:iCs/>
        </w:rPr>
        <w:t xml:space="preserve">et al.</w:t>
      </w:r>
      <w:r>
        <w:t xml:space="preserve">,</w:t>
      </w:r>
      <w:r>
        <w:t xml:space="preserve"> </w:t>
      </w:r>
      <w:r>
        <w:t xml:space="preserve">“Evaluating the performance of a non-uniform squash function in capsule networks for early diabetic retinopathy detection using fundus image analysis,”</w:t>
      </w:r>
      <w:r>
        <w:t xml:space="preserve"> </w:t>
      </w:r>
      <w:r>
        <w:rPr>
          <w:i/>
          <w:iCs/>
        </w:rPr>
        <w:t xml:space="preserve">Results in Engineering</w:t>
      </w:r>
      <w:r>
        <w:t xml:space="preserve">, vol. 23, art. 102820, 2024.</w:t>
      </w:r>
    </w:p>
    <w:p>
      <w:pPr>
        <w:pStyle w:val="BodyText"/>
      </w:pPr>
      <w:r>
        <w:t xml:space="preserve">Y. Lei, S. Lin, Z. Li, Y. Zhang, and T. Lai,</w:t>
      </w:r>
      <w:r>
        <w:t xml:space="preserve"> </w:t>
      </w:r>
      <w:r>
        <w:t xml:space="preserve">“GNN-fused CapsNet with multi-head prediction for diabetic retinopathy grading,”</w:t>
      </w:r>
      <w:r>
        <w:t xml:space="preserve"> </w:t>
      </w:r>
      <w:r>
        <w:rPr>
          <w:i/>
          <w:iCs/>
        </w:rPr>
        <w:t xml:space="preserve">Engineering Applications of Artificial Intelligence</w:t>
      </w:r>
      <w:r>
        <w:t xml:space="preserve">, vol. 133, art. 107994, 2024.</w:t>
      </w:r>
    </w:p>
    <w:p>
      <w:pPr>
        <w:pStyle w:val="BodyText"/>
      </w:pPr>
      <w:r>
        <w:t xml:space="preserve">J. D. Bodapati and B. B. Balaji,</w:t>
      </w:r>
      <w:r>
        <w:t xml:space="preserve"> </w:t>
      </w:r>
      <w:r>
        <w:t xml:space="preserve">“Self-adaptive stacking ensemble approach with attention based deep neural network models for diabetic retinopathy severity prediction,”</w:t>
      </w:r>
      <w:r>
        <w:t xml:space="preserve"> </w:t>
      </w:r>
      <w:r>
        <w:rPr>
          <w:i/>
          <w:iCs/>
        </w:rPr>
        <w:t xml:space="preserve">Multimedia Tools and Applications</w:t>
      </w:r>
      <w:r>
        <w:t xml:space="preserve">, vol. 83, no. 1, pp. 1083–1102, 2024.</w:t>
      </w:r>
    </w:p>
    <w:p>
      <w:pPr>
        <w:pStyle w:val="BodyText"/>
      </w:pPr>
      <w:r>
        <w:t xml:space="preserve">R. B. Dixit and C. K. Jha,</w:t>
      </w:r>
      <w:r>
        <w:t xml:space="preserve"> </w:t>
      </w:r>
      <w:r>
        <w:t xml:space="preserve">“Fundus image based diabetic retinopathy detection using EfficientNetB3 with squeeze and excitation block,”</w:t>
      </w:r>
      <w:r>
        <w:t xml:space="preserve"> </w:t>
      </w:r>
      <w:r>
        <w:rPr>
          <w:i/>
          <w:iCs/>
        </w:rPr>
        <w:t xml:space="preserve">Medical Engineering &amp; Physics</w:t>
      </w:r>
      <w:r>
        <w:t xml:space="preserve">, vol. 140, art. 104350, 2025.</w:t>
      </w:r>
    </w:p>
    <w:p>
      <w:pPr>
        <w:pStyle w:val="BodyText"/>
      </w:pPr>
      <w:r>
        <w:t xml:space="preserve">M. Oulhadj, J. Riffi, K. Chaimae, A. M. Mahraz, B. Ahmed, A. Yahyaouy, C. Fouad, A. Meriem, B. A. Idriss, and H. Tairi,</w:t>
      </w:r>
      <w:r>
        <w:t xml:space="preserve"> </w:t>
      </w:r>
      <w:r>
        <w:t xml:space="preserve">“Diabetic retinopathy prediction based on deep learning and deformable registration,”</w:t>
      </w:r>
      <w:r>
        <w:t xml:space="preserve"> </w:t>
      </w:r>
      <w:r>
        <w:rPr>
          <w:i/>
          <w:iCs/>
        </w:rPr>
        <w:t xml:space="preserve">Multimedia Tools and Applications</w:t>
      </w:r>
      <w:r>
        <w:t xml:space="preserve">, vol. 81, no. 20, pp. 28709–28727, 2022.</w:t>
      </w:r>
    </w:p>
    <w:p>
      <w:pPr>
        <w:pStyle w:val="BodyText"/>
      </w:pPr>
      <w:r>
        <w:t xml:space="preserve">J. R. Landis and G. G. Koch,</w:t>
      </w:r>
      <w:r>
        <w:t xml:space="preserve"> </w:t>
      </w:r>
      <w:r>
        <w:t xml:space="preserve">“The measurement of observer agreement for categorical data,”</w:t>
      </w:r>
      <w:r>
        <w:t xml:space="preserve"> </w:t>
      </w:r>
      <w:r>
        <w:rPr>
          <w:i/>
          <w:iCs/>
        </w:rPr>
        <w:t xml:space="preserve">Biometrics</w:t>
      </w:r>
      <w:r>
        <w:t xml:space="preserve">, vol. 33, no. 1, pp. 159–174, 1977.</w:t>
      </w:r>
    </w:p>
    <w:p>
      <w:pPr>
        <w:pStyle w:val="BodyText"/>
      </w:pP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Int. Conf. on Machine Learning (ICML)</w:t>
      </w:r>
      <w:r>
        <w:t xml:space="preserve">, 2017, pp. 1321–1330.</w:t>
      </w:r>
    </w:p>
    <w:p>
      <w:pPr>
        <w:pStyle w:val="BodyText"/>
      </w:pPr>
      <w:r>
        <w:t xml:space="preserve">V. Vovk, A. Gammerman, and G. Shafer,</w:t>
      </w:r>
      <w:r>
        <w:t xml:space="preserve"> </w:t>
      </w:r>
      <w:r>
        <w:rPr>
          <w:i/>
          <w:iCs/>
        </w:rPr>
        <w:t xml:space="preserve">Algorithmic Learning in a Random World</w:t>
      </w:r>
      <w:r>
        <w:t xml:space="preserve">.  Springer, 2005.</w:t>
      </w:r>
    </w:p>
    <w:p>
      <w:pPr>
        <w:pStyle w:val="BodyText"/>
      </w:pPr>
      <w:r>
        <w:t xml:space="preserve">G. Shafer and V. Vovk,</w:t>
      </w:r>
      <w:r>
        <w:t xml:space="preserve"> </w:t>
      </w:r>
      <w:r>
        <w:t xml:space="preserve">“A tutorial on conformal prediction,”</w:t>
      </w:r>
      <w:r>
        <w:t xml:space="preserve"> </w:t>
      </w:r>
      <w:r>
        <w:rPr>
          <w:i/>
          <w:iCs/>
        </w:rPr>
        <w:t xml:space="preserve">Journal of Machine Learning Research</w:t>
      </w:r>
      <w:r>
        <w:t xml:space="preserve">, vol. 9, no. 3, 2008.</w:t>
      </w:r>
    </w:p>
    <w:p>
      <w:pPr>
        <w:pStyle w:val="BodyText"/>
      </w:pPr>
      <w:r>
        <w:t xml:space="preserve">M. Sadinle, J. Lei, and L. Wasserman,</w:t>
      </w:r>
      <w:r>
        <w:t xml:space="preserve"> </w:t>
      </w:r>
      <w:r>
        <w:t xml:space="preserve">“Least ambiguous set-valued classifiers with bounded error levels,”</w:t>
      </w:r>
      <w:r>
        <w:t xml:space="preserve"> </w:t>
      </w:r>
      <w:r>
        <w:rPr>
          <w:i/>
          <w:iCs/>
        </w:rPr>
        <w:t xml:space="preserve">Journal of the American Statistical Association</w:t>
      </w:r>
      <w:r>
        <w:t xml:space="preserve">, vol. 114, no. 525, pp. 223–234, 2019.</w:t>
      </w:r>
    </w:p>
    <w:p>
      <w:pPr>
        <w:pStyle w:val="BodyText"/>
      </w:pPr>
      <w:r>
        <w:t xml:space="preserve">Y. Romano, M. Sesia, and E. J. Candès,</w:t>
      </w:r>
      <w:r>
        <w:t xml:space="preserve"> </w:t>
      </w:r>
      <w:r>
        <w:t xml:space="preserve">“Classification with valid and adaptive coverage,”</w:t>
      </w:r>
      <w:r>
        <w:t xml:space="preserve"> </w:t>
      </w:r>
      <w:r>
        <w:t xml:space="preserve">in</w:t>
      </w:r>
      <w:r>
        <w:t xml:space="preserve"> </w:t>
      </w:r>
      <w:r>
        <w:rPr>
          <w:i/>
          <w:iCs/>
        </w:rPr>
        <w:t xml:space="preserve">Advances in Neural Information Processing Systems (NeurIPS)</w:t>
      </w:r>
      <w:r>
        <w:t xml:space="preserve">, vol. 33, 2020, pp. 3581–3591.</w:t>
      </w:r>
    </w:p>
    <w:p>
      <w:pPr>
        <w:pStyle w:val="BodyText"/>
      </w:pPr>
      <w:r>
        <w:t xml:space="preserve">A. N. Angelopoulos, S. Bates, J. Malik, and M. I. Jordan,</w:t>
      </w:r>
      <w:r>
        <w:t xml:space="preserve"> </w:t>
      </w:r>
      <w:r>
        <w:t xml:space="preserve">“Uncertainty sets for image classifiers using conformal prediction,”</w:t>
      </w:r>
      <w:r>
        <w:t xml:space="preserve"> </w:t>
      </w:r>
      <w:r>
        <w:t xml:space="preserve">in</w:t>
      </w:r>
      <w:r>
        <w:t xml:space="preserve"> </w:t>
      </w:r>
      <w:r>
        <w:rPr>
          <w:i/>
          <w:iCs/>
        </w:rPr>
        <w:t xml:space="preserve">Int. Conf. on Learning Representations (ICLR)</w:t>
      </w:r>
      <w:r>
        <w:t xml:space="preserve">, 2021.  Also</w:t>
      </w:r>
      <w:r>
        <w:t xml:space="preserve"> </w:t>
      </w:r>
      <w:r>
        <w:rPr>
          <w:i/>
          <w:iCs/>
        </w:rPr>
        <w:t xml:space="preserve">arXiv:2009.14193</w:t>
      </w:r>
      <w:r>
        <w:t xml:space="preserve">, 2020.</w:t>
      </w:r>
    </w:p>
    <w:p>
      <w:pPr>
        <w:pStyle w:val="BodyText"/>
      </w:pPr>
      <w:r>
        <w:t xml:space="preserve">V. Vovk,</w:t>
      </w:r>
      <w:r>
        <w:t xml:space="preserve"> </w:t>
      </w:r>
      <w:r>
        <w:t xml:space="preserve">“Conditional validity of inductive conformal predictors,”</w:t>
      </w:r>
      <w:r>
        <w:t xml:space="preserve"> </w:t>
      </w:r>
      <w:r>
        <w:t xml:space="preserve">in</w:t>
      </w:r>
      <w:r>
        <w:t xml:space="preserve"> </w:t>
      </w:r>
      <w:r>
        <w:rPr>
          <w:i/>
          <w:iCs/>
        </w:rPr>
        <w:t xml:space="preserve">Asian Conf. on Machine Learning (ACML)</w:t>
      </w:r>
      <w:r>
        <w:t xml:space="preserve">, 2012, pp. 475–490.</w:t>
      </w:r>
    </w:p>
    <w:p>
      <w:pPr>
        <w:pStyle w:val="BodyText"/>
      </w:pPr>
      <w:r>
        <w:t xml:space="preserve">M. Sadinle, J. Lei, and L. Wasserman,</w:t>
      </w:r>
      <w:r>
        <w:t xml:space="preserve"> </w:t>
      </w:r>
      <w:r>
        <w:t xml:space="preserve">“Least ambiguous set-valued classifiers with bounded error levels (Mondrian / CCP per-class quantile variant),”</w:t>
      </w:r>
      <w:r>
        <w:t xml:space="preserve"> </w:t>
      </w:r>
      <w:r>
        <w:rPr>
          <w:i/>
          <w:iCs/>
        </w:rPr>
        <w:t xml:space="preserve">Journal of the American Statistical Association</w:t>
      </w:r>
      <w:r>
        <w:t xml:space="preserve">, vol. 114, no. 525, pp. 223–234, 2019.</w:t>
      </w:r>
    </w:p>
    <w:p>
      <w:pPr>
        <w:pStyle w:val="BodyText"/>
      </w:pPr>
      <w:r>
        <w:t xml:space="preserve">Y. Shi, S. Ghosh, T. Belkhouja, J. R. Doppa, and Y. Yan,</w:t>
      </w:r>
      <w:r>
        <w:t xml:space="preserve"> </w:t>
      </w:r>
      <w:r>
        <w:t xml:space="preserve">“Conformal prediction for class-wise coverage via augmented label rank calibration (RC3P),”</w:t>
      </w:r>
      <w:r>
        <w:t xml:space="preserve"> </w:t>
      </w:r>
      <w:r>
        <w:t xml:space="preserve">in</w:t>
      </w:r>
      <w:r>
        <w:t xml:space="preserve"> </w:t>
      </w:r>
      <w:r>
        <w:rPr>
          <w:i/>
          <w:iCs/>
        </w:rPr>
        <w:t xml:space="preserve">Advances in Neural Information Processing Systems (NeurIPS)</w:t>
      </w:r>
      <w:r>
        <w:t xml:space="preserve">, vol. 37, 2024, pp. 132</w:t>
      </w:r>
      <w:r>
        <w:t xml:space="preserve">,</w:t>
      </w:r>
      <w:r>
        <w:t xml:space="preserve">133–132</w:t>
      </w:r>
      <w:r>
        <w:t xml:space="preserve">,</w:t>
      </w:r>
      <w:r>
        <w:t xml:space="preserve">178.</w:t>
      </w:r>
    </w:p>
    <w:p>
      <w:pPr>
        <w:pStyle w:val="BodyText"/>
      </w:pPr>
      <w:r>
        <w:t xml:space="preserve">R. Ahamed, A. Amireskandari, J. Palko, C. Laxson, B. Bhattarai, and P. Gyawali,</w:t>
      </w:r>
      <w:r>
        <w:t xml:space="preserve"> </w:t>
      </w:r>
      <w:r>
        <w:t xml:space="preserve">“Effect of data augmentation on conformal prediction for diabetic retinopathy,”</w:t>
      </w:r>
      <w:r>
        <w:t xml:space="preserve"> </w:t>
      </w:r>
      <w:r>
        <w:t xml:space="preserve">in</w:t>
      </w:r>
      <w:r>
        <w:t xml:space="preserve"> </w:t>
      </w:r>
      <w:r>
        <w:rPr>
          <w:i/>
          <w:iCs/>
        </w:rPr>
        <w:t xml:space="preserve">MICCAI Workshop on Data Engineering in Medical Imaging</w:t>
      </w:r>
      <w:r>
        <w:t xml:space="preserve">, 2025, pp. 223–232.  Also</w:t>
      </w:r>
      <w:r>
        <w:t xml:space="preserve"> </w:t>
      </w:r>
      <w:r>
        <w:rPr>
          <w:i/>
          <w:iCs/>
        </w:rPr>
        <w:t xml:space="preserve">arXiv:2508.14266</w:t>
      </w:r>
      <w:r>
        <w:t xml:space="preserve">.</w:t>
      </w:r>
    </w:p>
    <w:p>
      <w:pPr>
        <w:pStyle w:val="BodyText"/>
      </w:pPr>
      <w:r>
        <w:t xml:space="preserve">M. Saerens, P. Latinne, and C. Decaestecker,</w:t>
      </w:r>
      <w:r>
        <w:t xml:space="preserve"> </w:t>
      </w:r>
      <w:r>
        <w:t xml:space="preserve">“Adjusting the outputs of a classifier to new a priori probabilities: a simple procedure,”</w:t>
      </w:r>
      <w:r>
        <w:t xml:space="preserve"> </w:t>
      </w:r>
      <w:r>
        <w:rPr>
          <w:i/>
          <w:iCs/>
        </w:rPr>
        <w:t xml:space="preserve">Neural Computation</w:t>
      </w:r>
      <w:r>
        <w:t xml:space="preserve">, vol. 14, no. 1, pp. 21–41, 2002.</w:t>
      </w:r>
    </w:p>
    <w:p>
      <w:pPr>
        <w:pStyle w:val="BodyText"/>
      </w:pPr>
      <w:r>
        <w:t xml:space="preserve">Z. Lipton, Y.-X. Wang, and A. Smola,</w:t>
      </w:r>
      <w:r>
        <w:t xml:space="preserve"> </w:t>
      </w:r>
      <w:r>
        <w:t xml:space="preserve">“Detecting and correcting for label shift with black box predictors (BBSE),”</w:t>
      </w:r>
      <w:r>
        <w:t xml:space="preserve"> </w:t>
      </w:r>
      <w:r>
        <w:t xml:space="preserve">in</w:t>
      </w:r>
      <w:r>
        <w:t xml:space="preserve"> </w:t>
      </w:r>
      <w:r>
        <w:rPr>
          <w:i/>
          <w:iCs/>
        </w:rPr>
        <w:t xml:space="preserve">Proc. Int. Conf. on Machine Learning (ICML)</w:t>
      </w:r>
      <w:r>
        <w:t xml:space="preserve">, 2018, pp. 3122–3130.</w:t>
      </w:r>
    </w:p>
    <w:p>
      <w:pPr>
        <w:pStyle w:val="BodyText"/>
      </w:pPr>
      <w:r>
        <w:t xml:space="preserve">A. Alexandari, A. Kundaje, and A. Shrikumar,</w:t>
      </w:r>
      <w:r>
        <w:t xml:space="preserve"> </w:t>
      </w:r>
      <w:r>
        <w:t xml:space="preserve">“Maximum likelihood with bias-corrected calibration is hard-to-beat at label shift adaptation (MLLS / BCTS),”</w:t>
      </w:r>
      <w:r>
        <w:t xml:space="preserve"> </w:t>
      </w:r>
      <w:r>
        <w:t xml:space="preserve">in</w:t>
      </w:r>
      <w:r>
        <w:t xml:space="preserve"> </w:t>
      </w:r>
      <w:r>
        <w:rPr>
          <w:i/>
          <w:iCs/>
        </w:rPr>
        <w:t xml:space="preserve">Proc. Int. Conf. on Machine Learning (ICML)</w:t>
      </w:r>
      <w:r>
        <w:t xml:space="preserve">, 2020, pp. 222–232.</w:t>
      </w:r>
    </w:p>
    <w:p>
      <w:pPr>
        <w:pStyle w:val="BodyText"/>
      </w:pPr>
      <w:r>
        <w:t xml:space="preserve">T. Popordanoska, G. Radevski, T. Tuytelaars, and M. B. Blaschko,</w:t>
      </w:r>
      <w:r>
        <w:t xml:space="preserve"> </w:t>
      </w:r>
      <w:r>
        <w:t xml:space="preserve">“LaSCal: Label-shift calibration without target labels,”</w:t>
      </w:r>
      <w:r>
        <w:t xml:space="preserve"> </w:t>
      </w:r>
      <w:r>
        <w:t xml:space="preserve">in</w:t>
      </w:r>
      <w:r>
        <w:t xml:space="preserve"> </w:t>
      </w:r>
      <w:r>
        <w:rPr>
          <w:i/>
          <w:iCs/>
        </w:rPr>
        <w:t xml:space="preserve">Advances in Neural Information Processing Systems (NeurIPS)</w:t>
      </w:r>
      <w:r>
        <w:t xml:space="preserve">, vol. 37, 2024, pp. 65</w:t>
      </w:r>
      <w:r>
        <w:t xml:space="preserve">,</w:t>
      </w:r>
      <w:r>
        <w:t xml:space="preserve">386–65</w:t>
      </w:r>
      <w:r>
        <w:t xml:space="preserve">,</w:t>
      </w:r>
      <w:r>
        <w:t xml:space="preserve">414.</w:t>
      </w:r>
    </w:p>
    <w:p>
      <w:pPr>
        <w:pStyle w:val="BodyText"/>
      </w:pPr>
      <w:r>
        <w:t xml:space="preserve">J. R. T. Zoellin, C. Merk, M. Buob, S. Giesser, A. Saad, T. Spitznagel, F. Turgut, M. Becker, and G. Somfai,</w:t>
      </w:r>
      <w:r>
        <w:t xml:space="preserve"> </w:t>
      </w:r>
      <w:r>
        <w:t xml:space="preserve">“Advancing diabetic retinopathy staging with DINOv2: Novel approaches in transformer architecture and performance benchmarking,”</w:t>
      </w:r>
      <w:r>
        <w:t xml:space="preserve"> </w:t>
      </w:r>
      <w:r>
        <w:rPr>
          <w:i/>
          <w:iCs/>
        </w:rPr>
        <w:t xml:space="preserve">Investigative Ophthalmology &amp; Visual Science (ARVO Imaging in the Eye Conference)</w:t>
      </w:r>
      <w:r>
        <w:t xml:space="preserve">, vol. 65, no. 9, art. PB0059, 2024.</w:t>
      </w:r>
    </w:p>
    <w:p>
      <w:pPr>
        <w:pStyle w:val="BodyText"/>
      </w:pPr>
      <w:r>
        <w:t xml:space="preserve">Y. Zhou, P. Nderitu, J. H. L. Goh, J. Engelmann, S. K. Wagner, A. Ran, H. Jiang, L. Ju, K. Zou, S. Srinivasan</w:t>
      </w:r>
      <w:r>
        <w:t xml:space="preserve"> </w:t>
      </w:r>
      <w:r>
        <w:rPr>
          <w:i/>
          <w:iCs/>
        </w:rPr>
        <w:t xml:space="preserve">et al.</w:t>
      </w:r>
      <w:r>
        <w:t xml:space="preserve">,</w:t>
      </w:r>
      <w:r>
        <w:t xml:space="preserve"> </w:t>
      </w:r>
      <w:r>
        <w:t xml:space="preserve">“Generalist versus specialist vision foundation models for ocular disease and oculomics,”</w:t>
      </w:r>
      <w:r>
        <w:t xml:space="preserve"> </w:t>
      </w:r>
      <w:r>
        <w:rPr>
          <w:i/>
          <w:iCs/>
        </w:rPr>
        <w:t xml:space="preserve">arXiv preprint arXiv:2509.03421</w:t>
      </w:r>
      <w:r>
        <w:t xml:space="preserve">, 2025.</w:t>
      </w:r>
    </w:p>
    <w:p>
      <w:pPr>
        <w:pStyle w:val="BodyText"/>
      </w:pPr>
      <w:r>
        <w:t xml:space="preserve">APTOS,</w:t>
      </w:r>
      <w:r>
        <w:t xml:space="preserve"> </w:t>
      </w:r>
      <w:r>
        <w:t xml:space="preserve">“APTOS 2019 blindness detection,”</w:t>
      </w:r>
      <w:r>
        <w:t xml:space="preserve"> </w:t>
      </w:r>
      <w:r>
        <w:t xml:space="preserve">Kaggle competition, 2019.  [Online].  Available:</w:t>
      </w:r>
      <w:r>
        <w:t xml:space="preserve"> </w:t>
      </w:r>
      <w:hyperlink r:id="rId66">
        <w:r>
          <w:rPr>
            <w:rStyle w:val="Hyperlink"/>
          </w:rPr>
          <w:t xml:space="preserve">https://www.kaggle.com/c/aptos2019-blindness-detection</w:t>
        </w:r>
      </w:hyperlink>
    </w:p>
    <w:p>
      <w:pPr>
        <w:pStyle w:val="BodyText"/>
      </w:pPr>
      <w:r>
        <w:t xml:space="preserve">P. Porwal, S. Pachade, R. Kamble, M. Kokare, G. Deshmukh, V. Sahasrabuddhe, and F. Meriaudeau,</w:t>
      </w:r>
      <w:r>
        <w:t xml:space="preserve"> </w:t>
      </w:r>
      <w:r>
        <w:t xml:space="preserve">“Indian diabetic retinopathy image dataset (IDRiD): a database for diabetic retinopathy screening research,”</w:t>
      </w:r>
      <w:r>
        <w:t xml:space="preserve"> </w:t>
      </w:r>
      <w:r>
        <w:rPr>
          <w:i/>
          <w:iCs/>
        </w:rPr>
        <w:t xml:space="preserve">Data</w:t>
      </w:r>
      <w:r>
        <w:t xml:space="preserve">, vol. 3, no. 3, art. 25, 2018.</w:t>
      </w:r>
    </w:p>
    <w:p>
      <w:pPr>
        <w:pStyle w:val="BodyText"/>
      </w:pPr>
      <w:r>
        <w:t xml:space="preserve">E. Decencière, X. Zhang, G. Cazuguel, B. Lay, B. Cochener, C. Trone, P. Gain, J.-R. Ordóñez-Varela, P. Massin, A. Erginay</w:t>
      </w:r>
      <w:r>
        <w:t xml:space="preserve"> </w:t>
      </w:r>
      <w:r>
        <w:rPr>
          <w:i/>
          <w:iCs/>
        </w:rPr>
        <w:t xml:space="preserve">et al.</w:t>
      </w:r>
      <w:r>
        <w:t xml:space="preserve">,</w:t>
      </w:r>
      <w:r>
        <w:t xml:space="preserve"> </w:t>
      </w:r>
      <w:r>
        <w:t xml:space="preserve">“Feedback on a publicly distributed image database: the Messidor database,”</w:t>
      </w:r>
      <w:r>
        <w:t xml:space="preserve"> </w:t>
      </w:r>
      <w:r>
        <w:rPr>
          <w:i/>
          <w:iCs/>
        </w:rPr>
        <w:t xml:space="preserve">Image Analysis &amp; Stereology</w:t>
      </w:r>
      <w:r>
        <w:t xml:space="preserve">, vol. 33, no. 3, pp. 231–234, 2014.</w:t>
      </w:r>
    </w:p>
    <w:p>
      <w:pPr>
        <w:pStyle w:val="BodyText"/>
      </w:pPr>
      <w:r>
        <w:t xml:space="preserve">M. D. Abràmoff, J. C. Folk, D. P. Han, J. D. Walker, D. F. Williams, S. R. Russell, P. Massin, B. Cochener, P. Gain, L. Tang</w:t>
      </w:r>
      <w:r>
        <w:t xml:space="preserve"> </w:t>
      </w:r>
      <w:r>
        <w:rPr>
          <w:i/>
          <w:iCs/>
        </w:rPr>
        <w:t xml:space="preserve">et al.</w:t>
      </w:r>
      <w:r>
        <w:t xml:space="preserve">,</w:t>
      </w:r>
      <w:r>
        <w:t xml:space="preserve"> </w:t>
      </w:r>
      <w:r>
        <w:t xml:space="preserve">“Automated analysis of retinal images for detection of referable diabetic retinopathy,”</w:t>
      </w:r>
      <w:r>
        <w:t xml:space="preserve"> </w:t>
      </w:r>
      <w:r>
        <w:rPr>
          <w:i/>
          <w:iCs/>
        </w:rPr>
        <w:t xml:space="preserve">JAMA Ophthalmology</w:t>
      </w:r>
      <w:r>
        <w:t xml:space="preserve">, vol. 131, no. 3, pp. 351–357, 2013.</w:t>
      </w:r>
    </w:p>
    <w:p>
      <w:pPr>
        <w:pStyle w:val="BodyText"/>
      </w:pPr>
      <w:r>
        <w:t xml:space="preserve">J. Krause, V. Gulshan, E. Rahimy, P. Karth, K. Widner, G. S. Corrado, L. Peng, and D. R. Webster,</w:t>
      </w:r>
      <w:r>
        <w:t xml:space="preserve"> </w:t>
      </w:r>
      <w:r>
        <w:t xml:space="preserve">“Grader variability and the importance of reference standards for evaluating machine learning models for diabetic retinopathy,”</w:t>
      </w:r>
      <w:r>
        <w:t xml:space="preserve"> </w:t>
      </w:r>
      <w:r>
        <w:rPr>
          <w:i/>
          <w:iCs/>
        </w:rPr>
        <w:t xml:space="preserve">Ophthalmology</w:t>
      </w:r>
      <w:r>
        <w:t xml:space="preserve">, vol. 125, no. 8, pp. 1264–1272, 2018.</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Vineet Kumar is with the Deep Learning Research Group.</w:t>
      </w:r>
      <w:r>
        <w:t xml:space="preserve"> </w:t>
      </w:r>
      <w:r>
        <w:t xml:space="preserve">Contact: vineet.kumar@polymathai.co. Draft, April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45" Target="media/rId45.pdf" /><Relationship Type="http://schemas.openxmlformats.org/officeDocument/2006/relationships/image" Id="rId54" Target="media/rId54.pdf" /><Relationship Type="http://schemas.openxmlformats.org/officeDocument/2006/relationships/image" Id="rId34" Target="media/rId34.pdf" /><Relationship Type="http://schemas.openxmlformats.org/officeDocument/2006/relationships/image" Id="rId49" Target="media/rId49.pdf" /><Relationship Type="http://schemas.openxmlformats.org/officeDocument/2006/relationships/image" Id="rId38" Target="media/rId38.pdf" /><Relationship Type="http://schemas.openxmlformats.org/officeDocument/2006/relationships/hyperlink" Id="rId14" Target="https://github.com/vineetkumar-sudo/retfound-capsnet" TargetMode="External" /><Relationship Type="http://schemas.openxmlformats.org/officeDocument/2006/relationships/hyperlink" Id="rId66" Target="https://www.kaggle.com/c/aptos2019-blindness-detection" TargetMode="External" /></Relationships>
</file>

<file path=word/_rels/footnotes.xml.rels><?xml version="1.0" encoding="UTF-8"?><Relationships xmlns="http://schemas.openxmlformats.org/package/2006/relationships"><Relationship Type="http://schemas.openxmlformats.org/officeDocument/2006/relationships/hyperlink" Id="rId14" Target="https://github.com/vineetkumar-sudo/retfound-capsnet" TargetMode="External" /><Relationship Type="http://schemas.openxmlformats.org/officeDocument/2006/relationships/hyperlink" Id="rId66" Target="https://www.kaggle.com/c/aptos2019-blindness-de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Foundation Features for Ordinal Diabetic Retinopathy Grading: A Head \times Backbone Analysis with Calibrated Conformal Uncertainty</dc:title>
  <dc:creator>Vineet Kumar </dc:creator>
  <cp:keywords/>
  <dcterms:created xsi:type="dcterms:W3CDTF">2026-04-26T06:46:20Z</dcterms:created>
  <dcterms:modified xsi:type="dcterms:W3CDTF">2026-04-26T06:46:20Z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Automated diabetic retinopathy (DR) grading needs both accuracy and trustworthy uncertainty, but it is unclear which design choices actually drive either. The three candidates are the pretrained backbone, the prediction head on top, and the uncertainty layer wrapped around it. We run a fully-crossed ablation that varies all three on APTOS-2019 and Messidor-2, comparing a domain-specific backbone (RETFound-MAE) against a generalist one (DINOv2), a capsule-network head against a plain MLP with K{-}1 ordinal sigmoid thresholds, and capsule-native confidence against temperature scaling and split conformal prediction. Features are extracted once and frozen, so only the head trains, on consumer hardware, with three seeds and five-fold cross-validation. The backbone is the dominant lever. Swapping RETFound-MAE for DINOv2 lifts QWK by an order of magnitude more than swapping the head, while capsule routing adds little over the much simpler MLP+K{-}1 baseline and produces an over-confident confidence signal that a single-parameter temperature rescaling fixes. Split conformal prediction is the uncertainty layer that holds up. It delivers the requested coverage on average, but coverage collapses on rare grades unless a per-class quantile is used. Out of distribution, transfer from APTOS to Messidor-2 collapses to a single predicted grade until a prior-shift correction is applied, after which performance recovers part-way but stays well below clinical agreement. The contribution is a calibrated map of what helps frozen-feature DR grading, what does not, and where the in-domain numbers stop being trustworthy.</vt:lpwstr>
  </property>
</Properties>
</file>