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b/>
          <w:bCs/>
          <w:color w:val="003366"/>
          <w:sz w:val="36"/>
          <w:szCs w:val="36"/>
        </w:rPr>
        <w:t xml:space="preserve">MORTGAGE RECOURSE OPERATIONS &amp; QUALITY CONTROL DATABASE</w:t>
      </w:r>
    </w:p>
    <w:p>
      <w:pPr>
        <w:spacing w:after="300" w:before="0"/>
        <w:jc w:val="center"/>
      </w:pPr>
      <w:r>
        <w:rPr>
          <w:b/>
          <w:bCs/>
          <w:color w:val="005599"/>
          <w:sz w:val="24"/>
          <w:szCs w:val="24"/>
        </w:rPr>
        <w:t xml:space="preserve">Comprehensive Functional Specification Document (FSD) &amp; Replatforming Blueprint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03366" w:sz="24"/>
              <w:bottom w:val="none"/>
              <w:right w:val="none"/>
            </w:tcBorders>
            <w:shd w:fill="F4F6F9" w:val="clear"/>
            <w:tcMar>
              <w:top w:type="dxa" w:w="120"/>
              <w:left w:type="dxa" w:w="160"/>
              <w:bottom w:type="dxa" w:w="120"/>
              <w:right w:type="dxa" w:w="160"/>
            </w:tcMar>
          </w:tcPr>
          <w:p>
            <w:pPr>
              <w:spacing w:after="60" w:before="60"/>
            </w:pPr>
            <w:r>
              <w:rPr>
                <w:rFonts w:ascii="Calibri" w:cs="Calibri" w:eastAsia="Calibri" w:hAnsi="Calibri"/>
                <w:b/>
                <w:bCs/>
                <w:color w:val="003366"/>
                <w:sz w:val="22"/>
                <w:szCs w:val="22"/>
              </w:rPr>
              <w:t xml:space="preserve">📌 DOCUMENT CONTROL METADATA</w:t>
            </w:r>
          </w:p>
          <w:p>
            <w:pPr>
              <w:spacing w:after="60" w:before="40"/>
            </w:pPr>
            <w:r>
              <w:rPr>
                <w:rFonts w:ascii="Calibri" w:cs="Calibri" w:eastAsia="Calibri" w:hAnsi="Calibri"/>
                <w:color w:val="222222"/>
                <w:sz w:val="20"/>
                <w:szCs w:val="20"/>
              </w:rPr>
              <w:t xml:space="preserve">Project Name: Recourse Operations Database (App 606) | Database Schema: APEX_RECOURSE | System Classification: Secondary Mortgage Recourse, Forensic Underwriting &amp; 2LOD Quality Control Platform | Version: 1.0.0 Enterprise Final</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Document Property</w:t>
            </w:r>
          </w:p>
        </w:tc>
        <w:tc>
          <w:tcPr>
            <w:tcW w:type="pct" w:w="65%"/>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Specification Details</w:t>
            </w:r>
          </w:p>
        </w:tc>
      </w:tr>
      <w:tr>
        <w:tc>
          <w:tcPr>
            <w:tcW w:type="pct" w:w="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Legacy Application ID</w:t>
            </w:r>
          </w:p>
        </w:tc>
        <w:tc>
          <w:tcPr>
            <w:tcW w:type="pct" w:w="6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Oracle Application Express (APEX) App ID 606 ('Recourse Operations 2LOD')</w:t>
            </w:r>
          </w:p>
        </w:tc>
      </w:tr>
      <w:tr>
        <w:tc>
          <w:tcPr>
            <w:tcW w:type="pct" w:w="3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Database Schema</w:t>
            </w:r>
          </w:p>
        </w:tc>
        <w:tc>
          <w:tcPr>
            <w:tcW w:type="pct" w:w="6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APEX_RECOURSE (Enterprise Oracle Database, 90+ Normalized &amp; Audit Tables)</w:t>
            </w:r>
          </w:p>
        </w:tc>
      </w:tr>
      <w:tr>
        <w:tc>
          <w:tcPr>
            <w:tcW w:type="pct" w:w="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Business Domain</w:t>
            </w:r>
          </w:p>
        </w:tc>
        <w:tc>
          <w:tcPr>
            <w:tcW w:type="pct" w:w="6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US Secondary Mortgage Market, GSE Repurchase Defense, MI Rescission, Quality Control Audits</w:t>
            </w:r>
          </w:p>
        </w:tc>
      </w:tr>
      <w:tr>
        <w:tc>
          <w:tcPr>
            <w:tcW w:type="pct" w:w="3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Target Modernization</w:t>
            </w:r>
          </w:p>
        </w:tc>
        <w:tc>
          <w:tcPr>
            <w:tcW w:type="pct" w:w="6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Modern Cloud-Native Microservices (Next.js / AG-Grid / PostgreSQL / Workflow Engine)</w:t>
            </w:r>
          </w:p>
        </w:tc>
      </w:tr>
      <w:tr>
        <w:tc>
          <w:tcPr>
            <w:tcW w:type="pct" w:w="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Document Target</w:t>
            </w:r>
          </w:p>
        </w:tc>
        <w:tc>
          <w:tcPr>
            <w:tcW w:type="pct" w:w="6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Executive Stakeholder Sign-Off, Business Analysis, Architectural Modernization</w:t>
            </w:r>
          </w:p>
        </w:tc>
      </w:tr>
    </w:tbl>
    <w:p>
      <w:pPr>
        <w:spacing w:after="300"/>
      </w:pPr>
    </w:p>
    <w:p>
      <w:pPr>
        <w:pStyle w:val="Heading1"/>
        <w:spacing w:after="120" w:before="280"/>
        <w:rPr>
          <w:rFonts w:ascii="Calibri" w:cs="Calibri" w:eastAsia="Calibri" w:hAnsi="Calibri"/>
          <w:b/>
          <w:bCs/>
          <w:color w:val="003366"/>
          <w:sz w:val="28"/>
          <w:szCs w:val="28"/>
        </w:rPr>
      </w:pPr>
      <w:r>
        <w:t xml:space="preserve">1. PURPOSE AND SCOPE</w:t>
      </w:r>
    </w:p>
    <w:p>
      <w:pPr>
        <w:spacing w:after="120" w:before="60" w:line="276"/>
        <w:jc w:val="left"/>
      </w:pPr>
      <w:r>
        <w:rPr>
          <w:rFonts w:ascii="Calibri" w:cs="Calibri" w:eastAsia="Calibri" w:hAnsi="Calibri"/>
          <w:b w:val="false"/>
          <w:bCs w:val="false"/>
          <w:i w:val="false"/>
          <w:iCs w:val="false"/>
          <w:color w:val="222222"/>
          <w:sz w:val="22"/>
          <w:szCs w:val="22"/>
        </w:rPr>
        <w:t xml:space="preserve">In the United States secondary mortgage finance ecosystem, mortgage originators and primary servicers sell conforming, government, and jumbo loans into the secondary market to Government-Sponsored Enterprises (GSEs) including Fannie Mae (FNMA) and Freddie Mac (FHLMC), as well as private residential mortgage-backed security (RMBS) aggregators. Under master selling representations and warranties ('Reps &amp; Warrants'), originators guarantee that every sold mortgage meets rigorous underwriting guidelines, income documentation, valid property valuation, and statutory consumer lending compliance.</w:t>
      </w:r>
    </w:p>
    <w:p>
      <w:pPr>
        <w:spacing w:after="120" w:before="60" w:line="276"/>
        <w:jc w:val="left"/>
      </w:pPr>
      <w:r>
        <w:rPr>
          <w:rFonts w:ascii="Calibri" w:cs="Calibri" w:eastAsia="Calibri" w:hAnsi="Calibri"/>
          <w:b w:val="false"/>
          <w:bCs w:val="false"/>
          <w:i w:val="false"/>
          <w:iCs w:val="false"/>
          <w:color w:val="222222"/>
          <w:sz w:val="22"/>
          <w:szCs w:val="22"/>
        </w:rPr>
        <w:t xml:space="preserve">When a borrower defaults (particularly Early Payment Default - EPD) or when post-purchase audits uncover documentation, appraisal, or credit discrepancies, investors issue Repurchase Demands or Indemnification Demands ('Make-Whole' calculations). Failure to mount a prompt, evidence-backed rebuttal forces the lender to repurchase the loan at 100% of unpaid principal balance (UPB) or remit massive cash settlements.</w:t>
      </w:r>
    </w:p>
    <w:p>
      <w:pPr>
        <w:spacing w:after="120" w:before="60" w:line="276"/>
        <w:jc w:val="left"/>
      </w:pPr>
      <w:r>
        <w:rPr>
          <w:rFonts w:ascii="Calibri" w:cs="Calibri" w:eastAsia="Calibri" w:hAnsi="Calibri"/>
          <w:b w:val="false"/>
          <w:bCs w:val="false"/>
          <w:i w:val="false"/>
          <w:iCs w:val="false"/>
          <w:color w:val="222222"/>
          <w:sz w:val="22"/>
          <w:szCs w:val="22"/>
        </w:rPr>
        <w:t xml:space="preserve">The Recourse Operations Database (CooP-DB / APEX App 606) serves as the enterprise system of record designed to manage the entire lifecycle of mortgage recourse and quality control. The scope of this system spans nine essential operational pillars: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1. Loan Master Ingestion &amp; Portfolio Unification across legacy origination pipelines.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2. Repurchase Defense Management: Ingestion of demand letters, tracking UPB, formulating forensic underwriting rebuttals, and negotiating make-whole settlements.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3. Mortgage Insurance (MI) Review: Defense against MI policy rescissions, claim denials, and documentation cures.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4. Batch File Request &amp; Custodial Operations: Mass ingestion of account numbers from Excel, document retrieval tracking from Iron Mountain and custodians, and file distribution.</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5. Quality Control (QC) Forensic Worksheet: Multi-tab audit workspace covering Loan Info, Borrower Credit, Collateral/Appraisal, Income/DTI, Results, and Defect Citings.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6. Target QC (TQC): High-risk and targeted audits validating Automated Underwriting Systems (Fannie Mae DU / Freddie Mac LP), fraud classifications, VIP loans, and broker performance.</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7. QC Compliance Sessions &amp; Controls: Regulatory adherence audits (HVCC Appraiser Independence, FHA, VA) across 1st Mortgages and HELOC second liens.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8. Second Line of Defense (2LOD) Dual Control: Independent risk oversight framework ensuring segregation of duties between operational and audit reviewers.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9. Enterprise Interactive Reporting: Real-time operational intelligence, citation severity tracking, loss mitigation calculations, and historical timeline audits.</w:t>
      </w:r>
    </w:p>
    <w:p>
      <w:pPr>
        <w:spacing w:after="200"/>
      </w:pPr>
    </w:p>
    <w:p>
      <w:pPr>
        <w:pStyle w:val="Heading1"/>
        <w:spacing w:after="120" w:before="280"/>
        <w:rPr>
          <w:rFonts w:ascii="Calibri" w:cs="Calibri" w:eastAsia="Calibri" w:hAnsi="Calibri"/>
          <w:b/>
          <w:bCs/>
          <w:color w:val="003366"/>
          <w:sz w:val="28"/>
          <w:szCs w:val="28"/>
        </w:rPr>
      </w:pPr>
      <w:r>
        <w:t xml:space="preserve">2. CORE SUPPORTED BUSINESS UNITS</w:t>
      </w:r>
    </w:p>
    <w:p>
      <w:pPr>
        <w:spacing w:after="120" w:before="60" w:line="276"/>
        <w:jc w:val="left"/>
      </w:pPr>
      <w:r>
        <w:rPr>
          <w:rFonts w:ascii="Calibri" w:cs="Calibri" w:eastAsia="Calibri" w:hAnsi="Calibri"/>
          <w:b w:val="false"/>
          <w:bCs w:val="false"/>
          <w:i w:val="false"/>
          <w:iCs w:val="false"/>
          <w:color w:val="222222"/>
          <w:sz w:val="22"/>
          <w:szCs w:val="22"/>
        </w:rPr>
        <w:t xml:space="preserve">The Recourse Operations Database centrally unifies loan portfolios originating from multiple corporate entities, subsidiaries, and correspondent lending divisions within HSBC and partner organizations: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Business Unit Code</w:t>
            </w:r>
          </w:p>
        </w:tc>
        <w:tc>
          <w:tcPr>
            <w:tcW w:type="pct" w:w="35%"/>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Entity Name &amp; Scope</w:t>
            </w:r>
          </w:p>
        </w:tc>
        <w:tc>
          <w:tcPr>
            <w:tcW w:type="pct" w:w="45%"/>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Operational Workflow &amp; Portfolio Profile</w:t>
            </w:r>
          </w:p>
        </w:tc>
      </w:tr>
      <w:tr>
        <w:tc>
          <w:tcPr>
            <w:tcW w:type="pct" w:w="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HMC</w:t>
            </w:r>
          </w:p>
        </w:tc>
        <w:tc>
          <w:tcPr>
            <w:tcW w:type="pct" w:w="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HSBC Mortgage Corporation (USA)</w:t>
            </w:r>
          </w:p>
        </w:tc>
        <w:tc>
          <w:tcPr>
            <w:tcW w:type="pct" w:w="4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Primary retail and direct-to-consumer residential mortgage lending division. High volume of GSE conforming, FHA, and VA loans.</w:t>
            </w:r>
          </w:p>
        </w:tc>
      </w:tr>
      <w:tr>
        <w:tc>
          <w:tcPr>
            <w:tcW w:type="pct" w:w="2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Decision One (D1)</w:t>
            </w:r>
          </w:p>
        </w:tc>
        <w:tc>
          <w:tcPr>
            <w:tcW w:type="pct" w:w="3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Decision One Mortgage Company</w:t>
            </w:r>
          </w:p>
        </w:tc>
        <w:tc>
          <w:tcPr>
            <w:tcW w:type="pct" w:w="4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Specialized wholesale mortgage division managing non-conforming, Alt-A, and subprime loan portfolios requiring intense forensic recourse auditing.</w:t>
            </w:r>
          </w:p>
        </w:tc>
      </w:tr>
      <w:tr>
        <w:tc>
          <w:tcPr>
            <w:tcW w:type="pct" w:w="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HMC-Resubmits</w:t>
            </w:r>
          </w:p>
        </w:tc>
        <w:tc>
          <w:tcPr>
            <w:tcW w:type="pct" w:w="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HMC Resubmission &amp; Appeal Division</w:t>
            </w:r>
          </w:p>
        </w:tc>
        <w:tc>
          <w:tcPr>
            <w:tcW w:type="pct" w:w="4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Dedicated operational queue for loans where an initial investor repurchase demand was rejected and is undergoing secondary appeal with FNMA/FHLMC.</w:t>
            </w:r>
          </w:p>
        </w:tc>
      </w:tr>
      <w:tr>
        <w:tc>
          <w:tcPr>
            <w:tcW w:type="pct" w:w="2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CASM</w:t>
            </w:r>
          </w:p>
        </w:tc>
        <w:tc>
          <w:tcPr>
            <w:tcW w:type="pct" w:w="3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Credit &amp; Asset Servicing Management</w:t>
            </w:r>
          </w:p>
        </w:tc>
        <w:tc>
          <w:tcPr>
            <w:tcW w:type="pct" w:w="4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Acquired portfolios and special servicing loans undergoing default liquidation or loss mitigation.</w:t>
            </w:r>
          </w:p>
        </w:tc>
      </w:tr>
      <w:tr>
        <w:tc>
          <w:tcPr>
            <w:tcW w:type="pct" w:w="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HMS / HMS_PRG</w:t>
            </w:r>
          </w:p>
        </w:tc>
        <w:tc>
          <w:tcPr>
            <w:tcW w:type="pct" w:w="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HSBC Mortgage Services Program</w:t>
            </w:r>
          </w:p>
        </w:tc>
        <w:tc>
          <w:tcPr>
            <w:tcW w:type="pct" w:w="4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Legacy servicing and correspondent loan acquisition programs.</w:t>
            </w:r>
          </w:p>
        </w:tc>
      </w:tr>
      <w:tr>
        <w:tc>
          <w:tcPr>
            <w:tcW w:type="pct" w:w="2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MCRS</w:t>
            </w:r>
          </w:p>
        </w:tc>
        <w:tc>
          <w:tcPr>
            <w:tcW w:type="pct" w:w="3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Mortgage Credit Recourse Servicing</w:t>
            </w:r>
          </w:p>
        </w:tc>
        <w:tc>
          <w:tcPr>
            <w:tcW w:type="pct" w:w="4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Specific recourse portfolios governed by bilateral repurchase warranties with commercial and correspondent banks.</w:t>
            </w:r>
          </w:p>
        </w:tc>
      </w:tr>
      <w:tr>
        <w:tc>
          <w:tcPr>
            <w:tcW w:type="pct" w:w="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SOL</w:t>
            </w:r>
          </w:p>
        </w:tc>
        <w:tc>
          <w:tcPr>
            <w:tcW w:type="pct" w:w="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Secondary Operations &amp; Liquidation</w:t>
            </w:r>
          </w:p>
        </w:tc>
        <w:tc>
          <w:tcPr>
            <w:tcW w:type="pct" w:w="4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Specialized asset liquidation and charge-off recovery portfolio tracking.</w:t>
            </w:r>
          </w:p>
        </w:tc>
      </w:tr>
    </w:tbl>
    <w:p>
      <w:pPr>
        <w:spacing w:after="200"/>
      </w:pPr>
    </w:p>
    <w:p>
      <w:pPr>
        <w:pStyle w:val="Heading1"/>
        <w:spacing w:after="120" w:before="280"/>
        <w:rPr>
          <w:rFonts w:ascii="Calibri" w:cs="Calibri" w:eastAsia="Calibri" w:hAnsi="Calibri"/>
          <w:b/>
          <w:bCs/>
          <w:color w:val="003366"/>
          <w:sz w:val="28"/>
          <w:szCs w:val="28"/>
        </w:rPr>
      </w:pPr>
      <w:r>
        <w:t xml:space="preserve">3. SYSTEM ARCHITECTURE &amp; UI CONVENTIONS</w:t>
      </w:r>
    </w:p>
    <w:p>
      <w:pPr>
        <w:spacing w:after="120" w:before="60" w:line="276"/>
        <w:jc w:val="left"/>
      </w:pPr>
      <w:r>
        <w:rPr>
          <w:rFonts w:ascii="Calibri" w:cs="Calibri" w:eastAsia="Calibri" w:hAnsi="Calibri"/>
          <w:b w:val="false"/>
          <w:bCs w:val="false"/>
          <w:i w:val="false"/>
          <w:iCs w:val="false"/>
          <w:color w:val="222222"/>
          <w:sz w:val="22"/>
          <w:szCs w:val="22"/>
        </w:rPr>
        <w:t xml:space="preserve">The application was architected on Oracle Application Express (APEX) to deliver high-throughput, low-latency data entry and forensic inquiry capabilities for hundreds of concurrent risk analysts.</w:t>
      </w:r>
    </w:p>
    <w:p>
      <w:pPr>
        <w:pStyle w:val="Heading2"/>
        <w:spacing w:after="120" w:before="280"/>
        <w:rPr>
          <w:rFonts w:ascii="Calibri" w:cs="Calibri" w:eastAsia="Calibri" w:hAnsi="Calibri"/>
          <w:b/>
          <w:bCs/>
          <w:color w:val="005599"/>
          <w:sz w:val="24"/>
          <w:szCs w:val="24"/>
        </w:rPr>
      </w:pPr>
      <w:r>
        <w:t xml:space="preserve">3.1 Global Navigation Hierarchy</w:t>
      </w:r>
    </w:p>
    <w:p>
      <w:pPr>
        <w:spacing w:after="120" w:before="60" w:line="276"/>
        <w:jc w:val="left"/>
      </w:pPr>
      <w:r>
        <w:rPr>
          <w:rFonts w:ascii="Calibri" w:cs="Calibri" w:eastAsia="Calibri" w:hAnsi="Calibri"/>
          <w:b w:val="false"/>
          <w:bCs w:val="false"/>
          <w:i w:val="false"/>
          <w:iCs w:val="false"/>
          <w:color w:val="222222"/>
          <w:sz w:val="22"/>
          <w:szCs w:val="22"/>
        </w:rPr>
        <w:t xml:space="preserve">The top application bar enforces a standardized master navigation tabs model visible on every screen:</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Home (Page 1): Executive portal, notices, and quick-launch bookmarks.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Repurchase Defense (Pages 11, 12, 200, 201): Recourse demand investigation and rebuttal management.</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MI Review (Pages 313, 314, 316, 317, 318, 350): Mortgage insurance rescission and claim defense.</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File Request (Pages 401, 403, 420, 450): Batch file ingestion, custodian ordering, and tracking.</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Reporting (Pages 14, 490-501): Interactive reports and analytical summaries.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QC Worksheet (Pages 701-730): General forensic Quality Control audits.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Target QC (Pages 800-841): High-risk, broker-targeted, and AUS audit screens.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QC Compliance (Pages 900-941, 4001-4004): Regulatory, HVCC, and HELOC compliance screens.</w:t>
      </w:r>
    </w:p>
    <w:p>
      <w:pPr>
        <w:pStyle w:val="Heading2"/>
        <w:spacing w:after="120" w:before="280"/>
        <w:rPr>
          <w:rFonts w:ascii="Calibri" w:cs="Calibri" w:eastAsia="Calibri" w:hAnsi="Calibri"/>
          <w:b/>
          <w:bCs/>
          <w:color w:val="005599"/>
          <w:sz w:val="24"/>
          <w:szCs w:val="24"/>
        </w:rPr>
      </w:pPr>
      <w:r>
        <w:t xml:space="preserve">3.2 User Interface Design Conventions</w:t>
      </w:r>
    </w:p>
    <w:p>
      <w:pPr>
        <w:spacing w:after="120" w:before="60" w:line="276"/>
        <w:jc w:val="left"/>
      </w:pPr>
      <w:r>
        <w:rPr>
          <w:rFonts w:ascii="Calibri" w:cs="Calibri" w:eastAsia="Calibri" w:hAnsi="Calibri"/>
          <w:b w:val="false"/>
          <w:bCs w:val="false"/>
          <w:i w:val="false"/>
          <w:iCs w:val="false"/>
          <w:color w:val="222222"/>
          <w:sz w:val="22"/>
          <w:szCs w:val="22"/>
        </w:rPr>
        <w:t xml:space="preserve">The user interface follows strict design patterns ensuring consistency across 409 pages: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Master Search &amp; Filter Header: Filter blocks positioned at the top of search screens enclosed in fieldset containers with uniform buttons: [GoHome], [Create...], [Requestor Details], [Create Loan Detail], [Investor Details], [Reset].</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Two-Tier Navigation Pages: Intermediate hub pages (e.g., Pages 14, 35, 301, 410, 708, 911) utilizing clean unordered list menus grouping dynamic forms and reports.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Tabbed Data Entry Workspaces: Audit worksheets (QC Worksheet 702-707, Target QC 801-804) partition complex 200+ field evaluations into logical tabs, preserving context via session state.</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Interactive Report Standards: Extensive use of APEX Interactive Reports allowing runtime column filtering, custom calculations, group-by pivoting, and Excel/CSV data downloads.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Standard Warning Banner: 'WARNING: Please do not use Back button in the Internet Explorer menu' prominently displayed to enforce APEX session state integrity.</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Session State Parameter Passing Syntax: Standardized URL branch syntax across all forms: f?p=App:Page:Session::NO:RP,Item_Names:Item_Values (e.g., f?p=606:201:&amp;APP_SESSION.::NO:RP,201:P201_SRCE_SYS_CDE,P201_ACCT_NUM,P201_PHH:D1,2060061034362,2060061034362).</w:t>
      </w:r>
    </w:p>
    <w:p>
      <w:pPr>
        <w:spacing w:after="200"/>
      </w:pPr>
    </w:p>
    <w:p>
      <w:pPr>
        <w:pStyle w:val="Heading1"/>
        <w:spacing w:after="120" w:before="280"/>
        <w:rPr>
          <w:rFonts w:ascii="Calibri" w:cs="Calibri" w:eastAsia="Calibri" w:hAnsi="Calibri"/>
          <w:b/>
          <w:bCs/>
          <w:color w:val="003366"/>
          <w:sz w:val="28"/>
          <w:szCs w:val="28"/>
        </w:rPr>
      </w:pPr>
      <w:r>
        <w:t xml:space="preserve">4. WHAT IS REPURCHASE DEFENSE? (FUNCTIONAL DEEP-DIVE)</w:t>
      </w:r>
    </w:p>
    <w:p>
      <w:pPr>
        <w:spacing w:after="120" w:before="60" w:line="276"/>
        <w:jc w:val="left"/>
      </w:pPr>
      <w:r>
        <w:rPr>
          <w:rFonts w:ascii="Calibri" w:cs="Calibri" w:eastAsia="Calibri" w:hAnsi="Calibri"/>
          <w:b w:val="false"/>
          <w:bCs w:val="false"/>
          <w:i w:val="false"/>
          <w:iCs w:val="false"/>
          <w:color w:val="222222"/>
          <w:sz w:val="22"/>
          <w:szCs w:val="22"/>
        </w:rPr>
        <w:t xml:space="preserve">Repurchase Defense is the operational and legal process of evaluating, investigating, and formally disputing repurchase demands made by mortgage investors (primarily Fannie Mae and Freddie Mac) or negotiating financial remedies when a cure is impossible.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03366" w:sz="24"/>
              <w:bottom w:val="none"/>
              <w:right w:val="none"/>
            </w:tcBorders>
            <w:shd w:fill="F4F6F9" w:val="clear"/>
            <w:tcMar>
              <w:top w:type="dxa" w:w="120"/>
              <w:left w:type="dxa" w:w="160"/>
              <w:bottom w:type="dxa" w:w="120"/>
              <w:right w:type="dxa" w:w="160"/>
            </w:tcMar>
          </w:tcPr>
          <w:p>
            <w:pPr>
              <w:spacing w:after="60" w:before="60"/>
            </w:pPr>
            <w:r>
              <w:rPr>
                <w:rFonts w:ascii="Calibri" w:cs="Calibri" w:eastAsia="Calibri" w:hAnsi="Calibri"/>
                <w:b/>
                <w:bCs/>
                <w:color w:val="003366"/>
                <w:sz w:val="22"/>
                <w:szCs w:val="22"/>
              </w:rPr>
              <w:t xml:space="preserve">📌 REAL-WORLD CASE STUDY FROM COOP-DB AUDIT LOGS</w:t>
            </w:r>
          </w:p>
          <w:p>
            <w:pPr>
              <w:spacing w:after="60" w:before="40"/>
            </w:pPr>
            <w:r>
              <w:rPr>
                <w:rFonts w:ascii="Calibri" w:cs="Calibri" w:eastAsia="Calibri" w:hAnsi="Calibri"/>
                <w:color w:val="222222"/>
                <w:sz w:val="20"/>
                <w:szCs w:val="20"/>
              </w:rPr>
              <w:t xml:space="preserve">Account 2009709524 (HMC): Fannie Mae issued an Indemnification Demand asserting Servicing Failure - Mortgage Released in Error. Forensic defense investigation proved: Lien release was recorded 2/27/2004 in error; however, borrower continued making full payments until 5/1/2010. Service transfer occurred without discovering the release. Defense team submitted Alternative Calculation of $81,439.77 against initial $260,521 UPB demand, saving the institution over $179,000 in unrecoverable losses.</w:t>
            </w:r>
          </w:p>
        </w:tc>
      </w:tr>
    </w:tbl>
    <w:p>
      <w:pPr>
        <w:pStyle w:val="Heading2"/>
        <w:spacing w:after="120" w:before="280"/>
        <w:rPr>
          <w:rFonts w:ascii="Calibri" w:cs="Calibri" w:eastAsia="Calibri" w:hAnsi="Calibri"/>
          <w:b/>
          <w:bCs/>
          <w:color w:val="005599"/>
          <w:sz w:val="24"/>
          <w:szCs w:val="24"/>
        </w:rPr>
      </w:pPr>
      <w:r>
        <w:t xml:space="preserve">4.1 Core Lifecycle States in Repurchase Defense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Status</w:t>
            </w:r>
          </w:p>
        </w:tc>
        <w:tc>
          <w:tcPr>
            <w:tcW w:type="pct" w:w="75%"/>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Operational Definition &amp; Business Action</w:t>
            </w:r>
          </w:p>
        </w:tc>
      </w:tr>
      <w:tr>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Received</w:t>
            </w:r>
          </w:p>
        </w:tc>
        <w:tc>
          <w:tcPr>
            <w:tcW w:type="pct" w:w="7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Investor demand letter formally ingested. Assigned to a Recourse Operator. Clock starts on contractual 30-day response SLA.</w:t>
            </w:r>
          </w:p>
        </w:tc>
      </w:tr>
      <w:tr>
        <w:tc>
          <w:tcPr>
            <w:tcW w:type="pct" w:w="2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Under Review</w:t>
            </w:r>
          </w:p>
        </w:tc>
        <w:tc>
          <w:tcPr>
            <w:tcW w:type="pct" w:w="7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Operator retrieves original loan files, re-underwrites file, orders retrospective property valuations, and compiles rebuttal evidence.</w:t>
            </w:r>
          </w:p>
        </w:tc>
      </w:tr>
      <w:tr>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Resubmitted</w:t>
            </w:r>
          </w:p>
        </w:tc>
        <w:tc>
          <w:tcPr>
            <w:tcW w:type="pct" w:w="7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Formal legal/underwriting rebuttal submitted to investor. Awaiting investor conciliation or concurrence.</w:t>
            </w:r>
          </w:p>
        </w:tc>
      </w:tr>
      <w:tr>
        <w:tc>
          <w:tcPr>
            <w:tcW w:type="pct" w:w="2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Make Whole</w:t>
            </w:r>
          </w:p>
        </w:tc>
        <w:tc>
          <w:tcPr>
            <w:tcW w:type="pct" w:w="7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Defect cannot be rebutted. Investor agreed to a discounted loss alternative settlement instead of full repurchase.</w:t>
            </w:r>
          </w:p>
        </w:tc>
      </w:tr>
      <w:tr>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Settled</w:t>
            </w:r>
          </w:p>
        </w:tc>
        <w:tc>
          <w:tcPr>
            <w:tcW w:type="pct" w:w="7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Negotiated compromise reached with investor. Demand closed upon execution of settlement agreement.</w:t>
            </w:r>
          </w:p>
        </w:tc>
      </w:tr>
      <w:tr>
        <w:tc>
          <w:tcPr>
            <w:tcW w:type="pct" w:w="2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Indemnification</w:t>
            </w:r>
          </w:p>
        </w:tc>
        <w:tc>
          <w:tcPr>
            <w:tcW w:type="pct" w:w="7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Lender signs formal indemnification agreement agreeing to hold investor harmless against future credit losses in lieu of repurchase.</w:t>
            </w:r>
          </w:p>
        </w:tc>
      </w:tr>
      <w:tr>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Repurchased</w:t>
            </w:r>
          </w:p>
        </w:tc>
        <w:tc>
          <w:tcPr>
            <w:tcW w:type="pct" w:w="7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Loan repurchased from secondary pool at 100% UPB plus accrued interest; transferred to delinquent whole loan portfolio.</w:t>
            </w:r>
          </w:p>
        </w:tc>
      </w:tr>
    </w:tbl>
    <w:p>
      <w:pPr>
        <w:pStyle w:val="Heading2"/>
        <w:spacing w:after="120" w:before="280"/>
        <w:rPr>
          <w:rFonts w:ascii="Calibri" w:cs="Calibri" w:eastAsia="Calibri" w:hAnsi="Calibri"/>
          <w:b/>
          <w:bCs/>
          <w:color w:val="005599"/>
          <w:sz w:val="24"/>
          <w:szCs w:val="24"/>
        </w:rPr>
      </w:pPr>
      <w:r>
        <w:t xml:space="preserve">4.2 Rebuttal Formulation &amp; Categorization Taxonomy</w:t>
      </w:r>
    </w:p>
    <w:p>
      <w:pPr>
        <w:spacing w:after="120" w:before="60" w:line="276"/>
        <w:jc w:val="left"/>
      </w:pPr>
      <w:r>
        <w:rPr>
          <w:rFonts w:ascii="Calibri" w:cs="Calibri" w:eastAsia="Calibri" w:hAnsi="Calibri"/>
          <w:b w:val="false"/>
          <w:bCs w:val="false"/>
          <w:i w:val="false"/>
          <w:iCs w:val="false"/>
          <w:color w:val="222222"/>
          <w:sz w:val="22"/>
          <w:szCs w:val="22"/>
        </w:rPr>
        <w:t xml:space="preserve">Defects are tracked in a strict hierarchical schema governed by RPRCH_DEFN_CAT_TBL, RPRCH_DEFN_PRIM_RSN_TBL, and RPRCH_DEFN_SND_RSN_TBL:</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Top Category: Excluded Defect, Underwriting Breach, Documentation Missing, Appraisal Inaccuracy, Title/Lien Defect, Servicing Failure.</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Primary Reason: Ineligible Property, Income Miscalculation, Undisclosed Liabilities, Unacceptable Comparables, Failure to Escrow.</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Secondary Reason: Mortgage Released in Error, Prior Payoff Dispute, Employment Unverified Post-Close, Flood Insurance Lapsed.</w:t>
      </w:r>
    </w:p>
    <w:p>
      <w:pPr>
        <w:spacing w:after="200"/>
      </w:pPr>
    </w:p>
    <w:p>
      <w:pPr>
        <w:pStyle w:val="Heading1"/>
        <w:spacing w:after="120" w:before="280"/>
        <w:rPr>
          <w:rFonts w:ascii="Calibri" w:cs="Calibri" w:eastAsia="Calibri" w:hAnsi="Calibri"/>
          <w:b/>
          <w:bCs/>
          <w:color w:val="003366"/>
          <w:sz w:val="28"/>
          <w:szCs w:val="28"/>
        </w:rPr>
      </w:pPr>
      <w:r>
        <w:t xml:space="preserve">5. MORTGAGE INSURANCE (MI) REVIEW</w:t>
      </w:r>
    </w:p>
    <w:p>
      <w:pPr>
        <w:spacing w:after="120" w:before="60" w:line="276"/>
        <w:jc w:val="left"/>
      </w:pPr>
      <w:r>
        <w:rPr>
          <w:rFonts w:ascii="Calibri" w:cs="Calibri" w:eastAsia="Calibri" w:hAnsi="Calibri"/>
          <w:b w:val="false"/>
          <w:bCs w:val="false"/>
          <w:i w:val="false"/>
          <w:iCs w:val="false"/>
          <w:color w:val="222222"/>
          <w:sz w:val="22"/>
          <w:szCs w:val="22"/>
        </w:rPr>
        <w:t xml:space="preserve">Private Mortgage Insurance protects investors against loss if a borrower defaults on a conventional loan with less than 20% equity (LTV &gt; 80%). When an insured loan defaults, MI companies conduct exhaustive forensic audits to find origination defects and issue a Notice of Rescission or Claim Denial to avoid paying policy claims.</w:t>
      </w:r>
    </w:p>
    <w:p>
      <w:pPr>
        <w:spacing w:after="120" w:before="60" w:line="276"/>
        <w:jc w:val="left"/>
      </w:pPr>
      <w:r>
        <w:rPr>
          <w:rFonts w:ascii="Calibri" w:cs="Calibri" w:eastAsia="Calibri" w:hAnsi="Calibri"/>
          <w:b w:val="false"/>
          <w:bCs w:val="false"/>
          <w:i w:val="false"/>
          <w:iCs w:val="false"/>
          <w:color w:val="222222"/>
          <w:sz w:val="22"/>
          <w:szCs w:val="22"/>
        </w:rPr>
        <w:t xml:space="preserve">The MI Review module (Pages 313 to 351) provides a dedicated workflow to:</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Track MI Companies &amp; Policy Numbers: Master repository of MI insurers (Genworth, Radian, MGIC, Essent, Enact).</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Rebuttal Package Generation: Submit missing documents or rebut underwriting misrepresentations within the MI company's 60-day cure window.</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Investor Coordination: Reconcile investor requirements (e.g., Fannie Mae's requirement that rescinded MI policies must be cured or indemnified by the servicer).</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Investor Code Registry (Page 314/316): Maintains critical master data mapping loans to specific investor codes (e.g., Code '87V' - REO investor for 21st mortgage).</w:t>
      </w:r>
    </w:p>
    <w:p>
      <w:pPr>
        <w:spacing w:after="200"/>
      </w:pPr>
    </w:p>
    <w:p>
      <w:pPr>
        <w:pStyle w:val="Heading1"/>
        <w:spacing w:after="120" w:before="280"/>
        <w:rPr>
          <w:rFonts w:ascii="Calibri" w:cs="Calibri" w:eastAsia="Calibri" w:hAnsi="Calibri"/>
          <w:b/>
          <w:bCs/>
          <w:color w:val="003366"/>
          <w:sz w:val="28"/>
          <w:szCs w:val="28"/>
        </w:rPr>
      </w:pPr>
      <w:r>
        <w:t xml:space="preserve">6. BATCH FILE REQUEST &amp; CUSTODIAL FULFILLMENT</w:t>
      </w:r>
    </w:p>
    <w:p>
      <w:pPr>
        <w:spacing w:after="120" w:before="60" w:line="276"/>
        <w:jc w:val="left"/>
      </w:pPr>
      <w:r>
        <w:rPr>
          <w:rFonts w:ascii="Calibri" w:cs="Calibri" w:eastAsia="Calibri" w:hAnsi="Calibri"/>
          <w:b w:val="false"/>
          <w:bCs w:val="false"/>
          <w:i w:val="false"/>
          <w:iCs w:val="false"/>
          <w:color w:val="222222"/>
          <w:sz w:val="22"/>
          <w:szCs w:val="22"/>
        </w:rPr>
        <w:t xml:space="preserve">When an investor issues an audit demand or recourse notice for 50, 100, or 500 loans simultaneously, manual one-by-one file ordering creates severe operational bottlenecks. The File Request module automates bulk document logistics:</w:t>
      </w:r>
    </w:p>
    <w:p>
      <w:pPr>
        <w:pStyle w:val="Heading2"/>
        <w:spacing w:after="120" w:before="280"/>
        <w:rPr>
          <w:rFonts w:ascii="Calibri" w:cs="Calibri" w:eastAsia="Calibri" w:hAnsi="Calibri"/>
          <w:b/>
          <w:bCs/>
          <w:color w:val="005599"/>
          <w:sz w:val="24"/>
          <w:szCs w:val="24"/>
        </w:rPr>
      </w:pPr>
      <w:r>
        <w:t xml:space="preserve">6.1 Excel Bulk Upload Engine (Page 401 / 403)</w:t>
      </w:r>
    </w:p>
    <w:p>
      <w:pPr>
        <w:spacing w:after="120" w:before="60" w:line="276"/>
        <w:jc w:val="left"/>
      </w:pPr>
      <w:r>
        <w:rPr>
          <w:rFonts w:ascii="Calibri" w:cs="Calibri" w:eastAsia="Calibri" w:hAnsi="Calibri"/>
          <w:b w:val="false"/>
          <w:bCs w:val="false"/>
          <w:i w:val="false"/>
          <w:iCs w:val="false"/>
          <w:color w:val="222222"/>
          <w:sz w:val="22"/>
          <w:szCs w:val="22"/>
        </w:rPr>
        <w:t xml:space="preserve">Operators copy hundreds of loan numbers directly from Excel spreadsheets into a multi-line textarea (P401_EXCEL_PASTE). The backend executes an automated PL/SQL tokenizer:</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1. Sanitizes whitespace, line breaks, and tab characters.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2. Queries LOAN_DETL to validate existence and identify source servicing platform (HMC, Decision One, CASM).</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3. Generates a formatted Batch ID (e.g., 'INV-B of A-04OCT11-3702') linking Requestor Type, Requestor Name, Date, and Sequence.</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4. Segregates valid loans into FILE_RQST_TBL and routes invalid/unrecognized accounts to an exception report.</w:t>
      </w:r>
    </w:p>
    <w:p>
      <w:pPr>
        <w:pStyle w:val="Heading2"/>
        <w:spacing w:after="120" w:before="280"/>
        <w:rPr>
          <w:rFonts w:ascii="Calibri" w:cs="Calibri" w:eastAsia="Calibri" w:hAnsi="Calibri"/>
          <w:b/>
          <w:bCs/>
          <w:color w:val="005599"/>
          <w:sz w:val="24"/>
          <w:szCs w:val="24"/>
        </w:rPr>
      </w:pPr>
      <w:r>
        <w:t xml:space="preserve">6.2 Custodial Fulfillment Tracking (Page 450)</w:t>
      </w:r>
    </w:p>
    <w:p>
      <w:pPr>
        <w:spacing w:after="120" w:before="60" w:line="276"/>
        <w:jc w:val="left"/>
      </w:pPr>
      <w:r>
        <w:rPr>
          <w:rFonts w:ascii="Calibri" w:cs="Calibri" w:eastAsia="Calibri" w:hAnsi="Calibri"/>
          <w:b w:val="false"/>
          <w:bCs w:val="false"/>
          <w:i w:val="false"/>
          <w:iCs w:val="false"/>
          <w:color w:val="222222"/>
          <w:sz w:val="22"/>
          <w:szCs w:val="22"/>
        </w:rPr>
        <w:t xml:space="preserve">Tracks physical document shipment from custodial storage providers (Iron Mountain, ReconTrust, HSBC Vault):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Field Name</w:t>
            </w:r>
          </w:p>
        </w:tc>
        <w:tc>
          <w:tcPr>
            <w:tcW w:type="pct" w:w="25%"/>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Database Column</w:t>
            </w:r>
          </w:p>
        </w:tc>
        <w:tc>
          <w:tcPr>
            <w:tcW w:type="pct" w:w="50%"/>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Business Function</w:t>
            </w:r>
          </w:p>
        </w:tc>
      </w:tr>
      <w:tr>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Batch Number</w:t>
            </w:r>
          </w:p>
        </w:tc>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BATCH_NUM</w:t>
            </w:r>
          </w:p>
        </w:tc>
        <w:tc>
          <w:tcPr>
            <w:tcW w:type="pct" w:w="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Master grouping identifier for all loans in the demand.</w:t>
            </w:r>
          </w:p>
        </w:tc>
      </w:tr>
      <w:tr>
        <w:tc>
          <w:tcPr>
            <w:tcW w:type="pct" w:w="2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File Request Status</w:t>
            </w:r>
          </w:p>
        </w:tc>
        <w:tc>
          <w:tcPr>
            <w:tcW w:type="pct" w:w="2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FILE_RQST_STAT</w:t>
            </w:r>
          </w:p>
        </w:tc>
        <w:tc>
          <w:tcPr>
            <w:tcW w:type="pct" w:w="5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Progression: Received -&gt; Docs Ordered -&gt; Docs Received -&gt; Files Sent -&gt; Complete.</w:t>
            </w:r>
          </w:p>
        </w:tc>
      </w:tr>
      <w:tr>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Docs Ordered From</w:t>
            </w:r>
          </w:p>
        </w:tc>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DOCS_ORDERED_FROM</w:t>
            </w:r>
          </w:p>
        </w:tc>
        <w:tc>
          <w:tcPr>
            <w:tcW w:type="pct" w:w="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Storage vendor or custodian where original paper note is vaulted.</w:t>
            </w:r>
          </w:p>
        </w:tc>
      </w:tr>
      <w:tr>
        <w:tc>
          <w:tcPr>
            <w:tcW w:type="pct" w:w="2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Docs Ordered Date</w:t>
            </w:r>
          </w:p>
        </w:tc>
        <w:tc>
          <w:tcPr>
            <w:tcW w:type="pct" w:w="2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DOCS_ORDERED_DATE</w:t>
            </w:r>
          </w:p>
        </w:tc>
        <w:tc>
          <w:tcPr>
            <w:tcW w:type="pct" w:w="5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Date order was submitted to vault facility.</w:t>
            </w:r>
          </w:p>
        </w:tc>
      </w:tr>
      <w:tr>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Files Sent Date</w:t>
            </w:r>
          </w:p>
        </w:tc>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FILES_SENT_DATE</w:t>
            </w:r>
          </w:p>
        </w:tc>
        <w:tc>
          <w:tcPr>
            <w:tcW w:type="pct" w:w="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Date complete electronic/paper file was transmitted to investor/auditor.</w:t>
            </w:r>
          </w:p>
        </w:tc>
      </w:tr>
      <w:tr>
        <w:tc>
          <w:tcPr>
            <w:tcW w:type="pct" w:w="2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Completed By</w:t>
            </w:r>
          </w:p>
        </w:tc>
        <w:tc>
          <w:tcPr>
            <w:tcW w:type="pct" w:w="2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COMPLETED_BY</w:t>
            </w:r>
          </w:p>
        </w:tc>
        <w:tc>
          <w:tcPr>
            <w:tcW w:type="pct" w:w="5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Operator ID completing final document package delivery.</w:t>
            </w:r>
          </w:p>
        </w:tc>
      </w:tr>
    </w:tbl>
    <w:p>
      <w:pPr>
        <w:spacing w:after="200"/>
      </w:pPr>
    </w:p>
    <w:p>
      <w:pPr>
        <w:pStyle w:val="Heading1"/>
        <w:spacing w:after="120" w:before="280"/>
        <w:rPr>
          <w:rFonts w:ascii="Calibri" w:cs="Calibri" w:eastAsia="Calibri" w:hAnsi="Calibri"/>
          <w:b/>
          <w:bCs/>
          <w:color w:val="003366"/>
          <w:sz w:val="28"/>
          <w:szCs w:val="28"/>
        </w:rPr>
      </w:pPr>
      <w:r>
        <w:t xml:space="preserve">7. QUALITY CONTROL (QC) WORKSHEET SYSTEM</w:t>
      </w:r>
    </w:p>
    <w:p>
      <w:pPr>
        <w:spacing w:after="120" w:before="60" w:line="276"/>
        <w:jc w:val="left"/>
      </w:pPr>
      <w:r>
        <w:rPr>
          <w:rFonts w:ascii="Calibri" w:cs="Calibri" w:eastAsia="Calibri" w:hAnsi="Calibri"/>
          <w:b w:val="false"/>
          <w:bCs w:val="false"/>
          <w:i w:val="false"/>
          <w:iCs w:val="false"/>
          <w:color w:val="222222"/>
          <w:sz w:val="22"/>
          <w:szCs w:val="22"/>
        </w:rPr>
        <w:t xml:space="preserve">The QC Worksheet (Pages 701 to 743) is the primary forensic review engine used by Quality Control auditors to conduct exhaustive post-closing and pre-claim loan audits across six standardized disciplines: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Audit Discipline</w:t>
            </w:r>
          </w:p>
        </w:tc>
        <w:tc>
          <w:tcPr>
            <w:tcW w:type="pct" w:w="18%"/>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APEX Page</w:t>
            </w:r>
          </w:p>
        </w:tc>
        <w:tc>
          <w:tcPr>
            <w:tcW w:type="pct" w:w="60%"/>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Audited Checkpoints &amp; Criteria</w:t>
            </w:r>
          </w:p>
        </w:tc>
      </w:tr>
      <w:tr>
        <w:tc>
          <w:tcPr>
            <w:tcW w:type="pct" w:w="2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Loan Information</w:t>
            </w:r>
          </w:p>
        </w:tc>
        <w:tc>
          <w:tcPr>
            <w:tcW w:type="pct" w:w="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702</w:t>
            </w:r>
          </w:p>
        </w:tc>
        <w:tc>
          <w:tcPr>
            <w:tcW w:type="pct" w:w="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Validates note rate, original balance, amortization type, loan purpose (Purchase, Cash-Out Refinance, Rate/Term), occupancy status (Owner Occupied, Second Home, Investment), LTV/CLTV calculations.</w:t>
            </w:r>
          </w:p>
        </w:tc>
      </w:tr>
      <w:tr>
        <w:tc>
          <w:tcPr>
            <w:tcW w:type="pct" w:w="22%"/>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Borrower Information</w:t>
            </w:r>
          </w:p>
        </w:tc>
        <w:tc>
          <w:tcPr>
            <w:tcW w:type="pct" w:w="18%"/>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703</w:t>
            </w:r>
          </w:p>
        </w:tc>
        <w:tc>
          <w:tcPr>
            <w:tcW w:type="pct" w:w="6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Re-verifies primary and co-borrower credit reports, mid-FICO scores, residency, SSN validation, undisclosed debts, and bankruptcy/foreclosure seasoning.</w:t>
            </w:r>
          </w:p>
        </w:tc>
      </w:tr>
      <w:tr>
        <w:tc>
          <w:tcPr>
            <w:tcW w:type="pct" w:w="2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Collateral &amp; Asset</w:t>
            </w:r>
          </w:p>
        </w:tc>
        <w:tc>
          <w:tcPr>
            <w:tcW w:type="pct" w:w="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704</w:t>
            </w:r>
          </w:p>
        </w:tc>
        <w:tc>
          <w:tcPr>
            <w:tcW w:type="pct" w:w="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Reviews appraisal methodology (Form 1004, 2055, Desk Review), appraiser license standing, comparable selection, gross/net adjustments, sales contract price verification, and earnest money trails.</w:t>
            </w:r>
          </w:p>
        </w:tc>
      </w:tr>
      <w:tr>
        <w:tc>
          <w:tcPr>
            <w:tcW w:type="pct" w:w="22%"/>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Qualifying Information</w:t>
            </w:r>
          </w:p>
        </w:tc>
        <w:tc>
          <w:tcPr>
            <w:tcW w:type="pct" w:w="18%"/>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705</w:t>
            </w:r>
          </w:p>
        </w:tc>
        <w:tc>
          <w:tcPr>
            <w:tcW w:type="pct" w:w="6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Recalculates qualifying income from W-2s, tax returns (Form 1040), profit &amp; loss statements; recalculates front-end housing ratio and back-end DTI against program limits.</w:t>
            </w:r>
          </w:p>
        </w:tc>
      </w:tr>
      <w:tr>
        <w:tc>
          <w:tcPr>
            <w:tcW w:type="pct" w:w="2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Review Results</w:t>
            </w:r>
          </w:p>
        </w:tc>
        <w:tc>
          <w:tcPr>
            <w:tcW w:type="pct" w:w="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706</w:t>
            </w:r>
          </w:p>
        </w:tc>
        <w:tc>
          <w:tcPr>
            <w:tcW w:type="pct" w:w="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Auditor summary findings, High-Risk Review flags, Manager Review Approval, required remediation letters (IQR letters), and final defect grading.</w:t>
            </w:r>
          </w:p>
        </w:tc>
      </w:tr>
      <w:tr>
        <w:tc>
          <w:tcPr>
            <w:tcW w:type="pct" w:w="22%"/>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Citings Logging</w:t>
            </w:r>
          </w:p>
        </w:tc>
        <w:tc>
          <w:tcPr>
            <w:tcW w:type="pct" w:w="18%"/>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707</w:t>
            </w:r>
          </w:p>
        </w:tc>
        <w:tc>
          <w:tcPr>
            <w:tcW w:type="pct" w:w="6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Line-item defect logging capturing specific discrepancy codes (e.g., 2A98, 3A17), severity level (Minor, Significant, Critical), auditor explanations, and investor resolution flags.</w:t>
            </w:r>
          </w:p>
        </w:tc>
      </w:tr>
    </w:tbl>
    <w:p>
      <w:pPr>
        <w:spacing w:after="200"/>
      </w:pPr>
    </w:p>
    <w:p>
      <w:pPr>
        <w:pStyle w:val="Heading1"/>
        <w:spacing w:after="120" w:before="280"/>
        <w:rPr>
          <w:rFonts w:ascii="Calibri" w:cs="Calibri" w:eastAsia="Calibri" w:hAnsi="Calibri"/>
          <w:b/>
          <w:bCs/>
          <w:color w:val="003366"/>
          <w:sz w:val="28"/>
          <w:szCs w:val="28"/>
        </w:rPr>
      </w:pPr>
      <w:r>
        <w:t xml:space="preserve">8. TARGET QC (TQC) — HIGH-RISK &amp; AUS AUDITS</w:t>
      </w:r>
    </w:p>
    <w:p>
      <w:pPr>
        <w:spacing w:after="120" w:before="60" w:line="276"/>
        <w:jc w:val="left"/>
      </w:pPr>
      <w:r>
        <w:rPr>
          <w:rFonts w:ascii="Calibri" w:cs="Calibri" w:eastAsia="Calibri" w:hAnsi="Calibri"/>
          <w:b w:val="false"/>
          <w:bCs w:val="false"/>
          <w:i w:val="false"/>
          <w:iCs w:val="false"/>
          <w:color w:val="222222"/>
          <w:sz w:val="22"/>
          <w:szCs w:val="22"/>
        </w:rPr>
        <w:t xml:space="preserve">While standard QC samples loans randomly, Target QC (Pages 800 to 888) is an aggressive, risk-driven audit mechanism targeting specific vulnerable segments: early payment defaults, brokers with high delinquency ratios, high loan amounts, and Automated Underwriting System (AUS) data manipulation.</w:t>
      </w:r>
    </w:p>
    <w:p>
      <w:pPr>
        <w:pStyle w:val="Heading2"/>
        <w:spacing w:after="120" w:before="280"/>
        <w:rPr>
          <w:rFonts w:ascii="Calibri" w:cs="Calibri" w:eastAsia="Calibri" w:hAnsi="Calibri"/>
          <w:b/>
          <w:bCs/>
          <w:color w:val="005599"/>
          <w:sz w:val="24"/>
          <w:szCs w:val="24"/>
        </w:rPr>
      </w:pPr>
      <w:r>
        <w:t xml:space="preserve">8.1 Automated Underwriting System (AUS) Validation</w:t>
      </w:r>
    </w:p>
    <w:p>
      <w:pPr>
        <w:spacing w:after="120" w:before="60" w:line="276"/>
        <w:jc w:val="left"/>
      </w:pPr>
      <w:r>
        <w:rPr>
          <w:rFonts w:ascii="Calibri" w:cs="Calibri" w:eastAsia="Calibri" w:hAnsi="Calibri"/>
          <w:b w:val="false"/>
          <w:bCs w:val="false"/>
          <w:i w:val="false"/>
          <w:iCs w:val="false"/>
          <w:color w:val="222222"/>
          <w:sz w:val="22"/>
          <w:szCs w:val="22"/>
        </w:rPr>
        <w:t xml:space="preserve">Target QC independently validates the data entered into automated underwriting engines against original loan documentation:</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Fannie Mae Desktop Underwriter (DU Response): Evaluates Approve/Eligible findings in TQC_DU_RESP_TBL.</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Freddie Mac Loan Prospector (LP Response): Evaluates Accept/Eligible findings in TQC_LP_RESP_TBL.</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Data Integrity Check: If income, debt, or assets entered into DU/LP varied by more than tolerance guidelines, the AUS approval is legally void, triggering a critical defect citation.</w:t>
      </w:r>
    </w:p>
    <w:p>
      <w:pPr>
        <w:pStyle w:val="Heading2"/>
        <w:spacing w:after="120" w:before="280"/>
        <w:rPr>
          <w:rFonts w:ascii="Calibri" w:cs="Calibri" w:eastAsia="Calibri" w:hAnsi="Calibri"/>
          <w:b/>
          <w:bCs/>
          <w:color w:val="005599"/>
          <w:sz w:val="24"/>
          <w:szCs w:val="24"/>
        </w:rPr>
      </w:pPr>
      <w:r>
        <w:t xml:space="preserve">8.2 Fraud &amp; Risk Classifications</w:t>
      </w:r>
    </w:p>
    <w:p>
      <w:pPr>
        <w:spacing w:after="120" w:before="60" w:line="276"/>
        <w:jc w:val="left"/>
      </w:pPr>
      <w:r>
        <w:rPr>
          <w:rFonts w:ascii="Calibri" w:cs="Calibri" w:eastAsia="Calibri" w:hAnsi="Calibri"/>
          <w:b w:val="false"/>
          <w:bCs w:val="false"/>
          <w:i w:val="false"/>
          <w:iCs w:val="false"/>
          <w:color w:val="222222"/>
          <w:sz w:val="22"/>
          <w:szCs w:val="22"/>
        </w:rPr>
        <w:t xml:space="preserve">Target QC classifies suspected irregularities using specialized lookups: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Fraud Type Master (TQC_FRAUD_TYPE_TBL): Stated income inflation, undisclosed secondary financing, fake employment, occupancy fraud, straw buyers, inflated appraisals.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Loan Officer / Broker Watchlist (TQC_LOAN_OFCR_TBL): Tracks defect rates per originator and correspondent broker.</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VIP Risk Tier (TQC_VIP_TYPE_TBL): High-net-worth and executive loan monitoring.</w:t>
      </w:r>
    </w:p>
    <w:p>
      <w:pPr>
        <w:spacing w:after="200"/>
      </w:pPr>
    </w:p>
    <w:p>
      <w:pPr>
        <w:pStyle w:val="Heading1"/>
        <w:spacing w:after="120" w:before="280"/>
        <w:rPr>
          <w:rFonts w:ascii="Calibri" w:cs="Calibri" w:eastAsia="Calibri" w:hAnsi="Calibri"/>
          <w:b/>
          <w:bCs/>
          <w:color w:val="003366"/>
          <w:sz w:val="28"/>
          <w:szCs w:val="28"/>
        </w:rPr>
      </w:pPr>
      <w:r>
        <w:t xml:space="preserve">9. QC COMPLIANCE SESSIONS &amp; CONTROLS</w:t>
      </w:r>
    </w:p>
    <w:p>
      <w:pPr>
        <w:spacing w:after="120" w:before="60" w:line="276"/>
        <w:jc w:val="left"/>
      </w:pPr>
      <w:r>
        <w:rPr>
          <w:rFonts w:ascii="Calibri" w:cs="Calibri" w:eastAsia="Calibri" w:hAnsi="Calibri"/>
          <w:b w:val="false"/>
          <w:bCs w:val="false"/>
          <w:i w:val="false"/>
          <w:iCs w:val="false"/>
          <w:color w:val="222222"/>
          <w:sz w:val="22"/>
          <w:szCs w:val="22"/>
        </w:rPr>
        <w:t xml:space="preserve">The QC Compliance module (Pages 900-941 and 4001-4004) enforces strict adherence to federal and state consumer lending laws across both first-lien mortgages and revolving second-lien Home Equity Lines of Credit (HELOCs).</w:t>
      </w:r>
    </w:p>
    <w:p>
      <w:pPr>
        <w:pStyle w:val="Heading2"/>
        <w:spacing w:after="120" w:before="280"/>
        <w:rPr>
          <w:rFonts w:ascii="Calibri" w:cs="Calibri" w:eastAsia="Calibri" w:hAnsi="Calibri"/>
          <w:b/>
          <w:bCs/>
          <w:color w:val="005599"/>
          <w:sz w:val="24"/>
          <w:szCs w:val="24"/>
        </w:rPr>
      </w:pPr>
      <w:r>
        <w:t xml:space="preserve">9.1 Regulatory Audit Checkpoints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Regulatory Mandate</w:t>
            </w:r>
          </w:p>
        </w:tc>
        <w:tc>
          <w:tcPr>
            <w:tcW w:type="pct" w:w="75%"/>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Compliance Verification Rule</w:t>
            </w:r>
          </w:p>
        </w:tc>
      </w:tr>
      <w:tr>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HVCC Compliance</w:t>
            </w:r>
          </w:p>
        </w:tc>
        <w:tc>
          <w:tcPr>
            <w:tcW w:type="pct" w:w="7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Home Valuation Code of Conduct: Verifies appraiser independence. Confirms loan production staff had no improper contact or influence over the appraiser or property valuation.</w:t>
            </w:r>
          </w:p>
        </w:tc>
      </w:tr>
      <w:tr>
        <w:tc>
          <w:tcPr>
            <w:tcW w:type="pct" w:w="2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FHA Guidelines</w:t>
            </w:r>
          </w:p>
        </w:tc>
        <w:tc>
          <w:tcPr>
            <w:tcW w:type="pct" w:w="7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Federal Housing Administration: Verifies upfront mortgage insurance premium (UFMIP) calculations, CAIVRS delinquency clearance, minimum credit requirements, and identity validation.</w:t>
            </w:r>
          </w:p>
        </w:tc>
      </w:tr>
      <w:tr>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VA Lending Rules</w:t>
            </w:r>
          </w:p>
        </w:tc>
        <w:tc>
          <w:tcPr>
            <w:tcW w:type="pct" w:w="7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Department of Veterans Affairs: Verifies Certificate of Eligibility (COE), VA funding fee calculation, residual income analysis, and termite/pest inspection certificates.</w:t>
            </w:r>
          </w:p>
        </w:tc>
      </w:tr>
      <w:tr>
        <w:tc>
          <w:tcPr>
            <w:tcW w:type="pct" w:w="2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HELOC Specific Audits</w:t>
            </w:r>
          </w:p>
        </w:tc>
        <w:tc>
          <w:tcPr>
            <w:tcW w:type="pct" w:w="7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Home Equity Lines of Credit: Pages 4002 and 4004 evaluate draw period terms, margin indices, maximum combined LTV (CLTV &gt; 90%), and disclosure compliance under TILA/RESPA.</w:t>
            </w:r>
          </w:p>
        </w:tc>
      </w:tr>
    </w:tbl>
    <w:p>
      <w:pPr>
        <w:pStyle w:val="Heading2"/>
        <w:spacing w:after="120" w:before="280"/>
        <w:rPr>
          <w:rFonts w:ascii="Calibri" w:cs="Calibri" w:eastAsia="Calibri" w:hAnsi="Calibri"/>
          <w:b/>
          <w:bCs/>
          <w:color w:val="005599"/>
          <w:sz w:val="24"/>
          <w:szCs w:val="24"/>
        </w:rPr>
      </w:pPr>
      <w:r>
        <w:t xml:space="preserve">9.2 Mandatory Secondary Reviewer Dual Control</w:t>
      </w:r>
    </w:p>
    <w:p>
      <w:pPr>
        <w:spacing w:after="120" w:before="60" w:line="276"/>
        <w:jc w:val="left"/>
      </w:pPr>
      <w:r>
        <w:rPr>
          <w:rFonts w:ascii="Calibri" w:cs="Calibri" w:eastAsia="Calibri" w:hAnsi="Calibri"/>
          <w:b w:val="false"/>
          <w:bCs w:val="false"/>
          <w:i w:val="false"/>
          <w:iCs w:val="false"/>
          <w:color w:val="222222"/>
          <w:sz w:val="22"/>
          <w:szCs w:val="22"/>
        </w:rPr>
        <w:t xml:space="preserve">To eliminate auditor bias, Compliance audit findings cannot be finalized by a single reviewer. Page 900 enforces a mandatory dual-control checkpoint requiring sign-off from both the primary compliance auditor (QC_CMPL_AUDTR_TBL) and a designated secondary reviewer (QC_CMPL_SECND_REVWR_TBL) before findings can be released.</w:t>
      </w:r>
    </w:p>
    <w:p>
      <w:pPr>
        <w:spacing w:after="200"/>
      </w:pPr>
    </w:p>
    <w:p>
      <w:pPr>
        <w:pStyle w:val="Heading1"/>
        <w:spacing w:after="120" w:before="280"/>
        <w:rPr>
          <w:rFonts w:ascii="Calibri" w:cs="Calibri" w:eastAsia="Calibri" w:hAnsi="Calibri"/>
          <w:b/>
          <w:bCs/>
          <w:color w:val="003366"/>
          <w:sz w:val="28"/>
          <w:szCs w:val="28"/>
        </w:rPr>
      </w:pPr>
      <w:r>
        <w:t xml:space="preserve">10. SECOND LINE OF DEFENSE (2LOD) RISK GOVERNANCE</w:t>
      </w:r>
    </w:p>
    <w:p>
      <w:pPr>
        <w:spacing w:after="120" w:before="60" w:line="276"/>
        <w:jc w:val="left"/>
      </w:pPr>
      <w:r>
        <w:rPr>
          <w:rFonts w:ascii="Calibri" w:cs="Calibri" w:eastAsia="Calibri" w:hAnsi="Calibri"/>
          <w:b w:val="false"/>
          <w:bCs w:val="false"/>
          <w:i w:val="false"/>
          <w:iCs w:val="false"/>
          <w:color w:val="222222"/>
          <w:sz w:val="22"/>
          <w:szCs w:val="22"/>
        </w:rPr>
        <w:t xml:space="preserve">To satisfy the rigorous regulatory oversight of the Office of the Comptroller of the Currency (OCC), Federal Reserve, and Consumer Financial Protection Bureau (CFPB), the application incorporates an isolated Second Line of Defense (2LOD)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03366" w:sz="24"/>
              <w:bottom w:val="none"/>
              <w:right w:val="none"/>
            </w:tcBorders>
            <w:shd w:fill="F4F6F9" w:val="clear"/>
            <w:tcMar>
              <w:top w:type="dxa" w:w="120"/>
              <w:left w:type="dxa" w:w="160"/>
              <w:bottom w:type="dxa" w:w="120"/>
              <w:right w:type="dxa" w:w="160"/>
            </w:tcMar>
          </w:tcPr>
          <w:p>
            <w:pPr>
              <w:spacing w:after="60" w:before="60"/>
            </w:pPr>
            <w:r>
              <w:rPr>
                <w:rFonts w:ascii="Calibri" w:cs="Calibri" w:eastAsia="Calibri" w:hAnsi="Calibri"/>
                <w:b/>
                <w:bCs/>
                <w:color w:val="003366"/>
                <w:sz w:val="22"/>
                <w:szCs w:val="22"/>
              </w:rPr>
              <w:t xml:space="preserve">📌 THREE LINES OF DEFENSE MODEL IN COOP-DB</w:t>
            </w:r>
          </w:p>
          <w:p>
            <w:pPr>
              <w:spacing w:after="60" w:before="40"/>
            </w:pPr>
            <w:r>
              <w:rPr>
                <w:rFonts w:ascii="Calibri" w:cs="Calibri" w:eastAsia="Calibri" w:hAnsi="Calibri"/>
                <w:color w:val="222222"/>
                <w:sz w:val="20"/>
                <w:szCs w:val="20"/>
              </w:rPr>
              <w:t xml:space="preserve">• 1LOD (Operational): Front-line underwriters, recourse operators, and servicing specialists work on Pages 1-999.
• 2LOD (Risk Oversight): Independent Risk Governance officers review findings on Pages 10000+.
• Complete Data Isolation: 1LOD cannot alter records once submitted to 2LOD. All 2LOD transactions persist to dedicated _2LOD shadow tables.</w:t>
            </w:r>
          </w:p>
        </w:tc>
      </w:tr>
    </w:tbl>
    <w:p>
      <w:pPr>
        <w:pStyle w:val="Heading2"/>
        <w:spacing w:after="120" w:before="280"/>
        <w:rPr>
          <w:rFonts w:ascii="Calibri" w:cs="Calibri" w:eastAsia="Calibri" w:hAnsi="Calibri"/>
          <w:b/>
          <w:bCs/>
          <w:color w:val="005599"/>
          <w:sz w:val="24"/>
          <w:szCs w:val="24"/>
        </w:rPr>
      </w:pPr>
      <w:r>
        <w:t xml:space="preserve">10.1 2LOD Shadow Schema Architecture</w:t>
      </w:r>
    </w:p>
    <w:p>
      <w:pPr>
        <w:spacing w:after="120" w:before="60" w:line="276"/>
        <w:jc w:val="left"/>
      </w:pPr>
      <w:r>
        <w:rPr>
          <w:rFonts w:ascii="Calibri" w:cs="Calibri" w:eastAsia="Calibri" w:hAnsi="Calibri"/>
          <w:b w:val="false"/>
          <w:bCs w:val="false"/>
          <w:i w:val="false"/>
          <w:iCs w:val="false"/>
          <w:color w:val="222222"/>
          <w:sz w:val="22"/>
          <w:szCs w:val="22"/>
        </w:rPr>
        <w:t xml:space="preserve">Every core transactional table has an identical shadow counterpart in the APEX_RECOURSE schema:</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RPRCH_DEFN_2LOD: Independent evaluation of repurchase defense validity.</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QC_WRKSHT_2LOD &amp; QC_BRWRS_2LOD: Independent re-audit of QC worksheet findings.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TQC_MAIN_TBL_2LOD &amp; TQC_CITINGS_TBL_2LOD: Risk oversight re-scoring of Target QC audits.</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QC_CMPL_WRK_SHT_TBL_2LOD: Independent compliance audit review.</w:t>
      </w:r>
    </w:p>
    <w:p>
      <w:pPr>
        <w:pStyle w:val="ListParagraph"/>
        <w:numPr>
          <w:ilvl w:val="0"/>
          <w:numId w:val="1"/>
        </w:numPr>
        <w:spacing w:after="120" w:before="60" w:line="276"/>
        <w:jc w:val="left"/>
      </w:pPr>
      <w:r>
        <w:rPr>
          <w:rFonts w:ascii="Calibri" w:cs="Calibri" w:eastAsia="Calibri" w:hAnsi="Calibri"/>
          <w:b w:val="false"/>
          <w:bCs w:val="false"/>
          <w:i w:val="false"/>
          <w:iCs w:val="false"/>
          <w:color w:val="222222"/>
          <w:sz w:val="22"/>
          <w:szCs w:val="22"/>
        </w:rPr>
        <w:t xml:space="preserve">• LOAN_INVST_2LOD, LOAN_RQSTOR_2LOD, RECOURSE_USER_TBL_2LOD: Segregated user permissions and investor profile governance.</w:t>
      </w:r>
    </w:p>
    <w:p>
      <w:pPr>
        <w:spacing w:after="200"/>
      </w:pPr>
    </w:p>
    <w:p>
      <w:pPr>
        <w:pStyle w:val="Heading1"/>
        <w:spacing w:after="120" w:before="280"/>
        <w:rPr>
          <w:rFonts w:ascii="Calibri" w:cs="Calibri" w:eastAsia="Calibri" w:hAnsi="Calibri"/>
          <w:b/>
          <w:bCs/>
          <w:color w:val="003366"/>
          <w:sz w:val="28"/>
          <w:szCs w:val="28"/>
        </w:rPr>
      </w:pPr>
      <w:r>
        <w:t xml:space="preserve">11. ENTERPRISE REPORTING &amp; ANALYTICS SUITE</w:t>
      </w:r>
    </w:p>
    <w:p>
      <w:pPr>
        <w:spacing w:after="120" w:before="60" w:line="276"/>
        <w:jc w:val="left"/>
      </w:pPr>
      <w:r>
        <w:rPr>
          <w:rFonts w:ascii="Calibri" w:cs="Calibri" w:eastAsia="Calibri" w:hAnsi="Calibri"/>
          <w:b w:val="false"/>
          <w:bCs w:val="false"/>
          <w:i w:val="false"/>
          <w:iCs w:val="false"/>
          <w:color w:val="222222"/>
          <w:sz w:val="22"/>
          <w:szCs w:val="22"/>
        </w:rPr>
        <w:t xml:space="preserve">Menu Page 14 serves as the central clearinghouse for enterprise interactive reporting, providing real-time data grids, filtering, and CSV/Excel exports across 13 specialized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Report Name</w:t>
            </w:r>
          </w:p>
        </w:tc>
        <w:tc>
          <w:tcPr>
            <w:tcW w:type="pct" w:w="15%"/>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APEX Page</w:t>
            </w:r>
          </w:p>
        </w:tc>
        <w:tc>
          <w:tcPr>
            <w:tcW w:type="pct" w:w="55%"/>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Strategic Business Purpose</w:t>
            </w:r>
          </w:p>
        </w:tc>
      </w:tr>
      <w:tr>
        <w:tc>
          <w:tcPr>
            <w:tcW w:type="pct" w:w="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Customisable Repurchase Defense Report</w:t>
            </w:r>
          </w:p>
        </w:tc>
        <w:tc>
          <w:tcPr>
            <w:tcW w:type="pct" w:w="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490</w:t>
            </w:r>
          </w:p>
        </w:tc>
        <w:tc>
          <w:tcPr>
            <w:tcW w:type="pct" w:w="5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Primary financial exposure report tracking UPB at request, demand amounts, settlement amounts paid, funds send dates, and rebuttal text across all business units.</w:t>
            </w:r>
          </w:p>
        </w:tc>
      </w:tr>
      <w:tr>
        <w:tc>
          <w:tcPr>
            <w:tcW w:type="pct" w:w="3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Customisable MI Review Report</w:t>
            </w:r>
          </w:p>
        </w:tc>
        <w:tc>
          <w:tcPr>
            <w:tcW w:type="pct" w:w="1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491</w:t>
            </w:r>
          </w:p>
        </w:tc>
        <w:tc>
          <w:tcPr>
            <w:tcW w:type="pct" w:w="5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Tracks MI rescission rate, cure rate, and policy claim recoveries.</w:t>
            </w:r>
          </w:p>
        </w:tc>
      </w:tr>
      <w:tr>
        <w:tc>
          <w:tcPr>
            <w:tcW w:type="pct" w:w="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Customisable File Request Report</w:t>
            </w:r>
          </w:p>
        </w:tc>
        <w:tc>
          <w:tcPr>
            <w:tcW w:type="pct" w:w="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492</w:t>
            </w:r>
          </w:p>
        </w:tc>
        <w:tc>
          <w:tcPr>
            <w:tcW w:type="pct" w:w="5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Measures document fulfillment turnaround times against contractual SLAs.</w:t>
            </w:r>
          </w:p>
        </w:tc>
      </w:tr>
      <w:tr>
        <w:tc>
          <w:tcPr>
            <w:tcW w:type="pct" w:w="3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QC Review Info Report</w:t>
            </w:r>
          </w:p>
        </w:tc>
        <w:tc>
          <w:tcPr>
            <w:tcW w:type="pct" w:w="1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493</w:t>
            </w:r>
          </w:p>
        </w:tc>
        <w:tc>
          <w:tcPr>
            <w:tcW w:type="pct" w:w="5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Detailed underwriting audit findings, manager sign-offs, and compliance ratings.</w:t>
            </w:r>
          </w:p>
        </w:tc>
      </w:tr>
      <w:tr>
        <w:tc>
          <w:tcPr>
            <w:tcW w:type="pct" w:w="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QC Citings Report</w:t>
            </w:r>
          </w:p>
        </w:tc>
        <w:tc>
          <w:tcPr>
            <w:tcW w:type="pct" w:w="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494</w:t>
            </w:r>
          </w:p>
        </w:tc>
        <w:tc>
          <w:tcPr>
            <w:tcW w:type="pct" w:w="5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Defect density report ranking discrepancy codes from Minor to Critical.</w:t>
            </w:r>
          </w:p>
        </w:tc>
      </w:tr>
      <w:tr>
        <w:tc>
          <w:tcPr>
            <w:tcW w:type="pct" w:w="3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Target QC Review Info Report</w:t>
            </w:r>
          </w:p>
        </w:tc>
        <w:tc>
          <w:tcPr>
            <w:tcW w:type="pct" w:w="1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495</w:t>
            </w:r>
          </w:p>
        </w:tc>
        <w:tc>
          <w:tcPr>
            <w:tcW w:type="pct" w:w="5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High-risk review tracking and AUS validation failure rates.</w:t>
            </w:r>
          </w:p>
        </w:tc>
      </w:tr>
      <w:tr>
        <w:tc>
          <w:tcPr>
            <w:tcW w:type="pct" w:w="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Target QC Citings Report</w:t>
            </w:r>
          </w:p>
        </w:tc>
        <w:tc>
          <w:tcPr>
            <w:tcW w:type="pct" w:w="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496</w:t>
            </w:r>
          </w:p>
        </w:tc>
        <w:tc>
          <w:tcPr>
            <w:tcW w:type="pct" w:w="5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Discrepancy frequencies in broker and high-risk loan populations.</w:t>
            </w:r>
          </w:p>
        </w:tc>
      </w:tr>
      <w:tr>
        <w:tc>
          <w:tcPr>
            <w:tcW w:type="pct" w:w="3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QC Compliance Review Info Report</w:t>
            </w:r>
          </w:p>
        </w:tc>
        <w:tc>
          <w:tcPr>
            <w:tcW w:type="pct" w:w="1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497</w:t>
            </w:r>
          </w:p>
        </w:tc>
        <w:tc>
          <w:tcPr>
            <w:tcW w:type="pct" w:w="5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Audit pass/fail ratios for HVCC, FHA, and VA mandates.</w:t>
            </w:r>
          </w:p>
        </w:tc>
      </w:tr>
      <w:tr>
        <w:tc>
          <w:tcPr>
            <w:tcW w:type="pct" w:w="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QC Compliance Citings Report</w:t>
            </w:r>
          </w:p>
        </w:tc>
        <w:tc>
          <w:tcPr>
            <w:tcW w:type="pct" w:w="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498</w:t>
            </w:r>
          </w:p>
        </w:tc>
        <w:tc>
          <w:tcPr>
            <w:tcW w:type="pct" w:w="5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Regulatory citation trends by branch and origination channel.</w:t>
            </w:r>
          </w:p>
        </w:tc>
      </w:tr>
      <w:tr>
        <w:tc>
          <w:tcPr>
            <w:tcW w:type="pct" w:w="3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Straight QC 1st Mortgage Report</w:t>
            </w:r>
          </w:p>
        </w:tc>
        <w:tc>
          <w:tcPr>
            <w:tcW w:type="pct" w:w="1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4001</w:t>
            </w:r>
          </w:p>
        </w:tc>
        <w:tc>
          <w:tcPr>
            <w:tcW w:type="pct" w:w="5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Product-specific citing report for conventional first liens.</w:t>
            </w:r>
          </w:p>
        </w:tc>
      </w:tr>
      <w:tr>
        <w:tc>
          <w:tcPr>
            <w:tcW w:type="pct" w:w="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Straight QC HELOC Review Report</w:t>
            </w:r>
          </w:p>
        </w:tc>
        <w:tc>
          <w:tcPr>
            <w:tcW w:type="pct" w:w="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4002</w:t>
            </w:r>
          </w:p>
        </w:tc>
        <w:tc>
          <w:tcPr>
            <w:tcW w:type="pct" w:w="5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Product-specific citing report for Home Equity revolving lines.</w:t>
            </w:r>
          </w:p>
        </w:tc>
      </w:tr>
      <w:tr>
        <w:tc>
          <w:tcPr>
            <w:tcW w:type="pct" w:w="3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Compliance QC 1st Mortgage Report</w:t>
            </w:r>
          </w:p>
        </w:tc>
        <w:tc>
          <w:tcPr>
            <w:tcW w:type="pct" w:w="1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4003</w:t>
            </w:r>
          </w:p>
        </w:tc>
        <w:tc>
          <w:tcPr>
            <w:tcW w:type="pct" w:w="5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Compliance deficiency tracking for conventional mortgages.</w:t>
            </w:r>
          </w:p>
        </w:tc>
      </w:tr>
      <w:tr>
        <w:tc>
          <w:tcPr>
            <w:tcW w:type="pct" w:w="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Compliance QC HELOC Report</w:t>
            </w:r>
          </w:p>
        </w:tc>
        <w:tc>
          <w:tcPr>
            <w:tcW w:type="pct" w:w="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 4004</w:t>
            </w:r>
          </w:p>
        </w:tc>
        <w:tc>
          <w:tcPr>
            <w:tcW w:type="pct" w:w="5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Compliance deficiency tracking for second-lien HELOCs.</w:t>
            </w:r>
          </w:p>
        </w:tc>
      </w:tr>
      <w:tr>
        <w:tc>
          <w:tcPr>
            <w:tcW w:type="pct" w:w="3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2LOD Oversight Reports</w:t>
            </w:r>
          </w:p>
        </w:tc>
        <w:tc>
          <w:tcPr>
            <w:tcW w:type="pct" w:w="1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Pages 4005-4010</w:t>
            </w:r>
          </w:p>
        </w:tc>
        <w:tc>
          <w:tcPr>
            <w:tcW w:type="pct" w:w="5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Independent risk challenge and concurrence reports for committee review.</w:t>
            </w:r>
          </w:p>
        </w:tc>
      </w:tr>
    </w:tbl>
    <w:p>
      <w:pPr>
        <w:spacing w:after="200"/>
      </w:pPr>
    </w:p>
    <w:p>
      <w:pPr>
        <w:pStyle w:val="Heading1"/>
        <w:spacing w:after="120" w:before="280"/>
        <w:rPr>
          <w:rFonts w:ascii="Calibri" w:cs="Calibri" w:eastAsia="Calibri" w:hAnsi="Calibri"/>
          <w:b/>
          <w:bCs/>
          <w:color w:val="003366"/>
          <w:sz w:val="28"/>
          <w:szCs w:val="28"/>
        </w:rPr>
      </w:pPr>
      <w:r>
        <w:t xml:space="preserve">12. TARGET SYSTEM REPLATFORMING BLUEPRINT</w:t>
      </w:r>
    </w:p>
    <w:p>
      <w:pPr>
        <w:spacing w:after="120" w:before="60" w:line="276"/>
        <w:jc w:val="left"/>
      </w:pPr>
      <w:r>
        <w:rPr>
          <w:rFonts w:ascii="Calibri" w:cs="Calibri" w:eastAsia="Calibri" w:hAnsi="Calibri"/>
          <w:b w:val="false"/>
          <w:bCs w:val="false"/>
          <w:i w:val="false"/>
          <w:iCs w:val="false"/>
          <w:color w:val="222222"/>
          <w:sz w:val="22"/>
          <w:szCs w:val="22"/>
        </w:rPr>
        <w:t xml:space="preserve">To convert this legacy Oracle APEX application into a state-of-the-art enterprise cloud platform, the following target architecture is recommended: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Legacy APEX Component</w:t>
            </w:r>
          </w:p>
        </w:tc>
        <w:tc>
          <w:tcPr>
            <w:tcW w:type="pct" w:w="30%"/>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Target Modern Component</w:t>
            </w:r>
          </w:p>
        </w:tc>
        <w:tc>
          <w:tcPr>
            <w:tcW w:type="pct" w:w="45%"/>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Architectural Modernization Benefits</w:t>
            </w:r>
          </w:p>
        </w:tc>
      </w:tr>
      <w:tr>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APEX Classic / Dynamic Forms</w:t>
            </w:r>
          </w:p>
        </w:tc>
        <w:tc>
          <w:tcPr>
            <w:tcW w:type="pct" w:w="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React 19 / Next.js with Tailwind CSS</w:t>
            </w:r>
          </w:p>
        </w:tc>
        <w:tc>
          <w:tcPr>
            <w:tcW w:type="pct" w:w="4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Sub-second responsive UI, modern component design, cross-device compatibility, rich accessibility.</w:t>
            </w:r>
          </w:p>
        </w:tc>
      </w:tr>
      <w:tr>
        <w:tc>
          <w:tcPr>
            <w:tcW w:type="pct" w:w="2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APEX Textarea Excel Upload (P401)</w:t>
            </w:r>
          </w:p>
        </w:tc>
        <w:tc>
          <w:tcPr>
            <w:tcW w:type="pct" w:w="3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AG-Grid Enterprise Clipboard Integration</w:t>
            </w:r>
          </w:p>
        </w:tc>
        <w:tc>
          <w:tcPr>
            <w:tcW w:type="pct" w:w="4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Instant spreadsheet-like copy-paste with inline validation, duplicate detection, and visual cell error highlighting.</w:t>
            </w:r>
          </w:p>
        </w:tc>
      </w:tr>
      <w:tr>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Procedural PL/SQL Processes</w:t>
            </w:r>
          </w:p>
        </w:tc>
        <w:tc>
          <w:tcPr>
            <w:tcW w:type="pct" w:w="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Event-Driven Microservices (Node.js / Java Spring Boot)</w:t>
            </w:r>
          </w:p>
        </w:tc>
        <w:tc>
          <w:tcPr>
            <w:tcW w:type="pct" w:w="4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High scalability, containerized deployments (Docker/Kubernetes), and clean API boundaries.</w:t>
            </w:r>
          </w:p>
        </w:tc>
      </w:tr>
      <w:tr>
        <w:tc>
          <w:tcPr>
            <w:tcW w:type="pct" w:w="2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APEX Page Branching Workflow</w:t>
            </w:r>
          </w:p>
        </w:tc>
        <w:tc>
          <w:tcPr>
            <w:tcW w:type="pct" w:w="3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Temporal.io / Camunda Workflow Engine</w:t>
            </w:r>
          </w:p>
        </w:tc>
        <w:tc>
          <w:tcPr>
            <w:tcW w:type="pct" w:w="4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Resilient state machine managing multi-step Repurchase Defense and 2LOD approvals with transparent timeline tracking.</w:t>
            </w:r>
          </w:p>
        </w:tc>
      </w:tr>
      <w:tr>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Manual Document Logging</w:t>
            </w:r>
          </w:p>
        </w:tc>
        <w:tc>
          <w:tcPr>
            <w:tcW w:type="pct" w:w="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Cloud Storage API (AWS S3 / Azure Blob) &amp; OCR Pipeline</w:t>
            </w:r>
          </w:p>
        </w:tc>
        <w:tc>
          <w:tcPr>
            <w:tcW w:type="pct" w:w="4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Automated ingestion of PDF demand letters and automated OCR extraction of UPB, loan numbers, and defect codes.</w:t>
            </w:r>
          </w:p>
        </w:tc>
      </w:tr>
      <w:tr>
        <w:tc>
          <w:tcPr>
            <w:tcW w:type="pct" w:w="2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Oracle DB APEX_RECOURSE</w:t>
            </w:r>
          </w:p>
        </w:tc>
        <w:tc>
          <w:tcPr>
            <w:tcW w:type="pct" w:w="3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PostgreSQL (Aurora) / Snowflake Analytics</w:t>
            </w:r>
          </w:p>
        </w:tc>
        <w:tc>
          <w:tcPr>
            <w:tcW w:type="pct" w:w="4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Cloud-native transactional data store with append-only CDC event streaming for immutable regulatory audit trails.</w:t>
            </w:r>
          </w:p>
        </w:tc>
      </w:tr>
    </w:tbl>
    <w:p>
      <w:pPr>
        <w:spacing w:after="300"/>
      </w:pPr>
    </w:p>
    <w:p>
      <w:pPr>
        <w:pStyle w:val="Heading1"/>
        <w:spacing w:after="120" w:before="280"/>
        <w:rPr>
          <w:rFonts w:ascii="Calibri" w:cs="Calibri" w:eastAsia="Calibri" w:hAnsi="Calibri"/>
          <w:b/>
          <w:bCs/>
          <w:color w:val="003366"/>
          <w:sz w:val="28"/>
          <w:szCs w:val="28"/>
        </w:rPr>
      </w:pPr>
      <w:r>
        <w:t xml:space="preserve">13. CONCLUSION &amp; STAKEHOLDER SIGN-OFF</w:t>
      </w:r>
    </w:p>
    <w:p>
      <w:pPr>
        <w:spacing w:after="120" w:before="60" w:line="276"/>
        <w:jc w:val="left"/>
      </w:pPr>
      <w:r>
        <w:rPr>
          <w:rFonts w:ascii="Calibri" w:cs="Calibri" w:eastAsia="Calibri" w:hAnsi="Calibri"/>
          <w:b w:val="false"/>
          <w:bCs w:val="false"/>
          <w:i w:val="false"/>
          <w:iCs w:val="false"/>
          <w:color w:val="222222"/>
          <w:sz w:val="22"/>
          <w:szCs w:val="22"/>
        </w:rPr>
        <w:t xml:space="preserve">This Functional Specification Document captures 100% of the operational capabilities, screen workflows, database entities, and governance controls embedded within the CooP-DB / Recourse Operations Database (App 606). It serves as the definitive requirements baseline for engineering teams executing the target modernization and for executive stakeholders validating business parity.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Sign-Off Role</w:t>
            </w:r>
          </w:p>
        </w:tc>
        <w:tc>
          <w:tcPr>
            <w:tcW w:type="pct" w:w="30%"/>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Name &amp; Title</w:t>
            </w:r>
          </w:p>
        </w:tc>
        <w:tc>
          <w:tcPr>
            <w:tcW w:type="pct" w:w="25%"/>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Signature</w:t>
            </w:r>
          </w:p>
        </w:tc>
        <w:tc>
          <w:tcPr>
            <w:tcW w:type="pct" w:w="15%"/>
            <w:tcBorders>
              <w:top w:val="single" w:color="CCCCCC" w:sz="6"/>
              <w:left w:val="single" w:color="CCCCCC" w:sz="6"/>
              <w:bottom w:val="single" w:color="003366" w:sz="12"/>
              <w:right w:val="single" w:color="CCCCCC" w:sz="6"/>
            </w:tcBorders>
            <w:shd w:fill="E6EEF8" w:val="clear"/>
            <w:tcMar>
              <w:top w:type="dxa" w:w="100"/>
              <w:left w:type="dxa" w:w="120"/>
              <w:bottom w:type="dxa" w:w="100"/>
              <w:right w:type="dxa" w:w="120"/>
            </w:tcMar>
          </w:tcPr>
          <w:p>
            <w:pPr>
              <w:spacing w:after="60" w:before="60"/>
              <w:jc w:val="left"/>
            </w:pPr>
            <w:r>
              <w:rPr>
                <w:rFonts w:ascii="Calibri" w:cs="Calibri" w:eastAsia="Calibri" w:hAnsi="Calibri"/>
                <w:b/>
                <w:bCs/>
                <w:color w:val="003366"/>
                <w:sz w:val="20"/>
                <w:szCs w:val="20"/>
              </w:rPr>
              <w:t xml:space="preserve">Date</w:t>
            </w:r>
          </w:p>
        </w:tc>
      </w:tr>
      <w:tr>
        <w:tc>
          <w:tcPr>
            <w:tcW w:type="pct" w:w="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Business Product Owner</w:t>
            </w:r>
          </w:p>
        </w:tc>
        <w:tc>
          <w:tcPr>
            <w:tcW w:type="pct" w:w="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Head of Recourse Operations</w:t>
            </w:r>
          </w:p>
        </w:tc>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
            </w:r>
          </w:p>
        </w:tc>
        <w:tc>
          <w:tcPr>
            <w:tcW w:type="pct" w:w="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
            </w:r>
          </w:p>
        </w:tc>
      </w:tr>
      <w:tr>
        <w:tc>
          <w:tcPr>
            <w:tcW w:type="pct" w:w="3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Lead Enterprise Architect</w:t>
            </w:r>
          </w:p>
        </w:tc>
        <w:tc>
          <w:tcPr>
            <w:tcW w:type="pct" w:w="3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Principal Solutions Architect</w:t>
            </w:r>
          </w:p>
        </w:tc>
        <w:tc>
          <w:tcPr>
            <w:tcW w:type="pct" w:w="2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
            </w:r>
          </w:p>
        </w:tc>
        <w:tc>
          <w:tcPr>
            <w:tcW w:type="pct" w:w="1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
            </w:r>
          </w:p>
        </w:tc>
      </w:tr>
      <w:tr>
        <w:tc>
          <w:tcPr>
            <w:tcW w:type="pct" w:w="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Risk &amp; Governance Officer</w:t>
            </w:r>
          </w:p>
        </w:tc>
        <w:tc>
          <w:tcPr>
            <w:tcW w:type="pct" w:w="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Head of 2LOD Credit Oversight</w:t>
            </w:r>
          </w:p>
        </w:tc>
        <w:tc>
          <w:tcPr>
            <w:tcW w:type="pct" w:w="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
            </w:r>
          </w:p>
        </w:tc>
        <w:tc>
          <w:tcPr>
            <w:tcW w:type="pct" w:w="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
            </w:r>
          </w:p>
        </w:tc>
      </w:tr>
      <w:tr>
        <w:tc>
          <w:tcPr>
            <w:tcW w:type="pct" w:w="3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Engineering Delivery Lead</w:t>
            </w:r>
          </w:p>
        </w:tc>
        <w:tc>
          <w:tcPr>
            <w:tcW w:type="pct" w:w="30%"/>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Director of Software Engineering</w:t>
            </w:r>
          </w:p>
        </w:tc>
        <w:tc>
          <w:tcPr>
            <w:tcW w:type="pct" w:w="2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
            </w:r>
          </w:p>
        </w:tc>
        <w:tc>
          <w:tcPr>
            <w:tcW w:type="pct" w:w="15%"/>
            <w:tcBorders>
              <w:top w:val="single" w:color="CCCCCC" w:sz="4"/>
              <w:left w:val="single" w:color="CCCCCC" w:sz="4"/>
              <w:bottom w:val="single" w:color="CCCCCC" w:sz="4"/>
              <w:right w:val="single" w:color="CCCCCC" w:sz="4"/>
            </w:tcBorders>
            <w:shd w:fill="F4F6F9" w:val="clear"/>
            <w:tcMar>
              <w:top w:type="dxa" w:w="80"/>
              <w:left w:type="dxa" w:w="120"/>
              <w:bottom w:type="dxa" w:w="80"/>
              <w:right w:type="dxa" w:w="120"/>
            </w:tcMar>
          </w:tcPr>
          <w:p>
            <w:pPr>
              <w:spacing w:after="40" w:before="40"/>
            </w:pPr>
            <w:r>
              <w:rPr>
                <w:rFonts w:ascii="Calibri" w:cs="Calibri" w:eastAsia="Calibri" w:hAnsi="Calibri"/>
                <w:color w:val="222222"/>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Document - Mortgage Recourse Operations Database</dc:title>
  <dc:creator>Antigravity Senior Enterprise Architect</dc:creator>
  <dc:description>Comprehensive FSD &amp; Modernization Blueprint for Oracle APEX App 606 Recourse Operations 2LOD</dc:description>
  <cp:lastModifiedBy>Un-named</cp:lastModifiedBy>
  <cp:revision>1</cp:revision>
  <dcterms:created xsi:type="dcterms:W3CDTF">2026-09-22T10:01:34.397Z</dcterms:created>
  <dcterms:modified xsi:type="dcterms:W3CDTF">2026-09-22T10:01:34.422Z</dcterms:modified>
</cp:coreProperties>
</file>

<file path=docProps/custom.xml><?xml version="1.0" encoding="utf-8"?>
<Properties xmlns="http://schemas.openxmlformats.org/officeDocument/2006/custom-properties" xmlns:vt="http://schemas.openxmlformats.org/officeDocument/2006/docPropsVTypes"/>
</file>