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5F9A7" w14:textId="77777777" w:rsidR="004B1568" w:rsidRPr="007277DE" w:rsidRDefault="0058291D" w:rsidP="004B1568">
      <w:pPr>
        <w:rPr>
          <w:rFonts w:ascii="Arial" w:hAnsi="Arial" w:cs="Arial"/>
          <w:noProof/>
          <w:sz w:val="22"/>
        </w:rPr>
      </w:pPr>
      <w:r w:rsidRPr="007277DE">
        <w:rPr>
          <w:rFonts w:ascii="Arial" w:hAnsi="Arial" w:cs="Arial"/>
          <w:sz w:val="22"/>
        </w:rPr>
        <w:t>February 26, 2021</w:t>
      </w:r>
    </w:p>
    <w:p w14:paraId="0EB730F2" w14:textId="77777777" w:rsidR="000152AC" w:rsidRPr="007277DE" w:rsidRDefault="0058291D" w:rsidP="000152AC">
      <w:pPr>
        <w:rPr>
          <w:rFonts w:ascii="Arial" w:hAnsi="Arial" w:cs="Arial"/>
          <w:sz w:val="22"/>
        </w:rPr>
      </w:pPr>
    </w:p>
    <w:p w14:paraId="24DD6D03" w14:textId="77777777" w:rsidR="000152AC" w:rsidRPr="007277DE" w:rsidRDefault="0058291D" w:rsidP="000152AC">
      <w:pPr>
        <w:spacing w:before="240" w:after="2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color w:val="4472C4" w:themeColor="accent5"/>
          <w:sz w:val="22"/>
        </w:rPr>
        <w:pict w14:anchorId="1909BA1E">
          <v:rect id="_x0000_i1029" alt="" style="width:6in;height:.05pt;mso-width-percent:0;mso-height-percent:0;mso-width-percent:0;mso-height-percent:0" o:hralign="center" o:hrstd="t" o:hr="t" fillcolor="#a0a0a0" stroked="f"/>
        </w:pict>
      </w:r>
    </w:p>
    <w:p w14:paraId="5DABDACD" w14:textId="77777777" w:rsidR="00C077EE" w:rsidRDefault="0058291D" w:rsidP="00D200A6">
      <w:pPr>
        <w:spacing w:before="240" w:after="240"/>
        <w:jc w:val="center"/>
        <w:rPr>
          <w:rFonts w:ascii="Arial" w:hAnsi="Arial" w:cs="Arial"/>
          <w:b/>
        </w:rPr>
      </w:pPr>
      <w:r w:rsidRPr="00C077EE">
        <w:rPr>
          <w:rFonts w:ascii="Arial" w:hAnsi="Arial" w:cs="Arial"/>
          <w:b/>
        </w:rPr>
        <w:t xml:space="preserve">EXEMPTION DETERMINATION </w:t>
      </w:r>
    </w:p>
    <w:p w14:paraId="24F5D057" w14:textId="77777777" w:rsidR="00D200A6" w:rsidRPr="007277DE" w:rsidRDefault="0058291D" w:rsidP="00D200A6">
      <w:pPr>
        <w:spacing w:before="240" w:after="2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Determination </w:t>
      </w:r>
      <w:r w:rsidRPr="007277DE">
        <w:rPr>
          <w:rFonts w:ascii="Arial" w:hAnsi="Arial" w:cs="Arial"/>
          <w:b/>
          <w:sz w:val="22"/>
        </w:rPr>
        <w:t>Date</w:t>
      </w:r>
      <w:r w:rsidRPr="007277DE"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</w:rPr>
        <w:t>2/26/2021</w:t>
      </w:r>
    </w:p>
    <w:p w14:paraId="05465DF2" w14:textId="77777777" w:rsidR="000152AC" w:rsidRPr="007277DE" w:rsidRDefault="0058291D" w:rsidP="000152AC">
      <w:pPr>
        <w:spacing w:before="240" w:after="2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 w14:anchorId="1F22415B">
          <v:rect id="_x0000_i1028" alt="" style="width:6in;height:.05pt;mso-width-percent:0;mso-height-percent:0;mso-width-percent:0;mso-height-percent:0" o:hralign="center" o:hrstd="t" o:hr="t" fillcolor="#a0a0a0" stroked="f"/>
        </w:pict>
      </w:r>
    </w:p>
    <w:tbl>
      <w:tblPr>
        <w:tblW w:w="9005" w:type="dxa"/>
        <w:tblInd w:w="-95" w:type="dxa"/>
        <w:tblLook w:val="01E0" w:firstRow="1" w:lastRow="1" w:firstColumn="1" w:lastColumn="1" w:noHBand="0" w:noVBand="0"/>
      </w:tblPr>
      <w:tblGrid>
        <w:gridCol w:w="2525"/>
        <w:gridCol w:w="6480"/>
      </w:tblGrid>
      <w:tr w:rsidR="00F31F48" w14:paraId="4726A2C8" w14:textId="77777777" w:rsidTr="003A4E61">
        <w:tc>
          <w:tcPr>
            <w:tcW w:w="2525" w:type="dxa"/>
          </w:tcPr>
          <w:p w14:paraId="778EB333" w14:textId="77777777" w:rsidR="004B1568" w:rsidRPr="007277DE" w:rsidRDefault="0058291D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Investigator:</w:t>
            </w:r>
          </w:p>
        </w:tc>
        <w:tc>
          <w:tcPr>
            <w:tcW w:w="6480" w:type="dxa"/>
          </w:tcPr>
          <w:p w14:paraId="387DA4C3" w14:textId="77777777" w:rsidR="004B1568" w:rsidRPr="007277DE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Vineet Kumar</w:t>
            </w:r>
          </w:p>
        </w:tc>
      </w:tr>
      <w:tr w:rsidR="00F31F48" w14:paraId="4A102274" w14:textId="77777777" w:rsidTr="003A4E61">
        <w:tc>
          <w:tcPr>
            <w:tcW w:w="2525" w:type="dxa"/>
          </w:tcPr>
          <w:p w14:paraId="303FB99C" w14:textId="77777777" w:rsidR="004B1568" w:rsidRPr="007277DE" w:rsidRDefault="0058291D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Type of Review:</w:t>
            </w:r>
          </w:p>
        </w:tc>
        <w:tc>
          <w:tcPr>
            <w:tcW w:w="6480" w:type="dxa"/>
          </w:tcPr>
          <w:p w14:paraId="17C05F2E" w14:textId="77777777" w:rsidR="004B1568" w:rsidRPr="007277DE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Initial Study</w:t>
            </w:r>
          </w:p>
        </w:tc>
      </w:tr>
      <w:tr w:rsidR="00F31F48" w14:paraId="4635A735" w14:textId="77777777" w:rsidTr="003A4E61">
        <w:tc>
          <w:tcPr>
            <w:tcW w:w="2525" w:type="dxa"/>
          </w:tcPr>
          <w:p w14:paraId="6806A590" w14:textId="77777777" w:rsidR="004B1568" w:rsidRPr="007277DE" w:rsidRDefault="0058291D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Title of Study:</w:t>
            </w:r>
          </w:p>
        </w:tc>
        <w:tc>
          <w:tcPr>
            <w:tcW w:w="6480" w:type="dxa"/>
          </w:tcPr>
          <w:p w14:paraId="620A74F4" w14:textId="77777777" w:rsidR="004B1568" w:rsidRPr="007277DE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Emotions and Ads</w:t>
            </w:r>
          </w:p>
        </w:tc>
      </w:tr>
      <w:tr w:rsidR="00F31F48" w14:paraId="00497EEB" w14:textId="77777777" w:rsidTr="003A4E61">
        <w:tc>
          <w:tcPr>
            <w:tcW w:w="2525" w:type="dxa"/>
          </w:tcPr>
          <w:p w14:paraId="135C6BAE" w14:textId="77777777" w:rsidR="004B1568" w:rsidRPr="007277DE" w:rsidRDefault="0058291D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IRB Protocol ID:</w:t>
            </w:r>
          </w:p>
        </w:tc>
        <w:tc>
          <w:tcPr>
            <w:tcW w:w="6480" w:type="dxa"/>
          </w:tcPr>
          <w:p w14:paraId="5B9BBA5E" w14:textId="77777777" w:rsidR="004B1568" w:rsidRPr="007277DE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2000029827</w:t>
            </w:r>
          </w:p>
        </w:tc>
      </w:tr>
      <w:tr w:rsidR="00F31F48" w14:paraId="3D78A39D" w14:textId="77777777" w:rsidTr="003A4E61">
        <w:tc>
          <w:tcPr>
            <w:tcW w:w="2525" w:type="dxa"/>
          </w:tcPr>
          <w:p w14:paraId="1E96BDE3" w14:textId="77777777" w:rsidR="004B1568" w:rsidRPr="007277DE" w:rsidRDefault="0058291D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 w:rsidRPr="007277DE">
              <w:rPr>
                <w:rFonts w:ascii="Arial" w:hAnsi="Arial" w:cs="Arial"/>
                <w:b/>
                <w:sz w:val="22"/>
              </w:rPr>
              <w:t>Submission ID:</w:t>
            </w:r>
          </w:p>
        </w:tc>
        <w:tc>
          <w:tcPr>
            <w:tcW w:w="6480" w:type="dxa"/>
          </w:tcPr>
          <w:p w14:paraId="17FF7001" w14:textId="77777777" w:rsidR="004B1568" w:rsidRPr="007277DE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 w:rsidRPr="007277DE">
              <w:rPr>
                <w:rFonts w:ascii="Arial" w:hAnsi="Arial" w:cs="Arial"/>
                <w:sz w:val="22"/>
              </w:rPr>
              <w:t>2000029827</w:t>
            </w:r>
          </w:p>
        </w:tc>
      </w:tr>
      <w:tr w:rsidR="00F31F48" w14:paraId="712C635F" w14:textId="77777777" w:rsidTr="003A4E61">
        <w:tc>
          <w:tcPr>
            <w:tcW w:w="2525" w:type="dxa"/>
          </w:tcPr>
          <w:p w14:paraId="5829A24A" w14:textId="77777777" w:rsidR="00C077EE" w:rsidRPr="007277DE" w:rsidRDefault="0058291D" w:rsidP="000152AC">
            <w:pPr>
              <w:keepNext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Documents:</w:t>
            </w:r>
          </w:p>
        </w:tc>
        <w:tc>
          <w:tcPr>
            <w:tcW w:w="6480" w:type="dxa"/>
          </w:tcPr>
          <w:p w14:paraId="5043CC12" w14:textId="77777777" w:rsidR="00C077EE" w:rsidRPr="007277DE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• landing </w:t>
            </w:r>
            <w:r>
              <w:rPr>
                <w:rFonts w:ascii="Arial" w:hAnsi="Arial" w:cs="Arial"/>
                <w:sz w:val="22"/>
              </w:rPr>
              <w:t>page examples, Category: Other;</w:t>
            </w:r>
          </w:p>
          <w:p w14:paraId="53F8AA8D" w14:textId="77777777" w:rsidR="00F31F48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• hsc_online_verbalconsentscript_EmotionsAds.doc, Category: Consent Form;</w:t>
            </w:r>
          </w:p>
          <w:p w14:paraId="05B3BF2A" w14:textId="77777777" w:rsidR="00F31F48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• HRP-503D_EXEMPTION REQUEST FORM_EmotionsAds.docx, Category: IRB Protocol;</w:t>
            </w:r>
          </w:p>
          <w:p w14:paraId="5BB95CDD" w14:textId="77777777" w:rsidR="00F31F48" w:rsidRDefault="0058291D" w:rsidP="00A82E24">
            <w:pPr>
              <w:keepNext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• Online survey task, Category: Study questionnaires, measures, focus grou</w:t>
            </w:r>
            <w:r>
              <w:rPr>
                <w:rFonts w:ascii="Arial" w:hAnsi="Arial" w:cs="Arial"/>
                <w:sz w:val="22"/>
              </w:rPr>
              <w:t>ps/interview questions;</w:t>
            </w:r>
          </w:p>
        </w:tc>
      </w:tr>
    </w:tbl>
    <w:p w14:paraId="4EED3297" w14:textId="77777777" w:rsidR="000F31A5" w:rsidRPr="007277DE" w:rsidRDefault="0058291D" w:rsidP="000F31A5">
      <w:pPr>
        <w:rPr>
          <w:rFonts w:ascii="Arial" w:hAnsi="Arial" w:cs="Arial"/>
          <w:sz w:val="22"/>
        </w:rPr>
        <w:sectPr w:rsidR="000F31A5" w:rsidRPr="007277DE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CBAA717" w14:textId="77777777" w:rsidR="004B1568" w:rsidRPr="007277DE" w:rsidRDefault="0058291D" w:rsidP="00B41702">
      <w:pPr>
        <w:spacing w:after="24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lastRenderedPageBreak/>
        <w:pict w14:anchorId="18D85F2E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1FA90E33" w14:textId="77777777" w:rsidR="000F31A5" w:rsidRDefault="0058291D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  <w:r w:rsidRPr="00C077EE">
        <w:rPr>
          <w:rFonts w:ascii="Arial" w:hAnsi="Arial" w:cs="Arial"/>
          <w:noProof/>
          <w:sz w:val="22"/>
        </w:rPr>
        <w:t>This research was deemed exempt under 45CFR46.104 (3)(i)(B)</w:t>
      </w:r>
    </w:p>
    <w:p w14:paraId="33928349" w14:textId="77777777" w:rsidR="00F31F48" w:rsidRPr="00C077EE" w:rsidRDefault="00F31F48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</w:p>
    <w:p w14:paraId="16C3494F" w14:textId="77777777" w:rsidR="00F31F48" w:rsidRPr="00C077EE" w:rsidRDefault="0058291D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  <w:r w:rsidRPr="00C077EE">
        <w:rPr>
          <w:rFonts w:ascii="Arial" w:hAnsi="Arial" w:cs="Arial"/>
          <w:noProof/>
          <w:sz w:val="22"/>
        </w:rPr>
        <w:t>IRB determination of exemption does NOT constitute institutional approval for initiating or resuming in-person research during a pandemic. It is your responsibility to comply with institutional, federal, state, and local requirements (including Centers for</w:t>
      </w:r>
      <w:r w:rsidRPr="00C077EE">
        <w:rPr>
          <w:rFonts w:ascii="Arial" w:hAnsi="Arial" w:cs="Arial"/>
          <w:noProof/>
          <w:sz w:val="22"/>
        </w:rPr>
        <w:t xml:space="preserve"> Disease Control (CDC) and State of Connecticut guidelines), and other applicable policies. Please review the Yale requirements for research reactivation on the Yale website: https://research.yale.edu/phase-2-research-reactivation. </w:t>
      </w:r>
    </w:p>
    <w:p w14:paraId="5CE0219B" w14:textId="77777777" w:rsidR="00F31F48" w:rsidRPr="00C077EE" w:rsidRDefault="00F31F48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</w:p>
    <w:p w14:paraId="1D762335" w14:textId="77777777" w:rsidR="00F31F48" w:rsidRPr="00C077EE" w:rsidRDefault="00F31F48" w:rsidP="00C077EE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  <w:noProof/>
          <w:sz w:val="22"/>
        </w:rPr>
      </w:pPr>
    </w:p>
    <w:p w14:paraId="5831714F" w14:textId="77777777" w:rsidR="00C077EE" w:rsidRPr="00C077EE" w:rsidRDefault="0058291D" w:rsidP="00C077EE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The protocol does </w:t>
      </w:r>
      <w:r w:rsidRPr="00C077EE">
        <w:rPr>
          <w:rFonts w:ascii="Arial" w:hAnsi="Arial" w:cs="Arial"/>
          <w:noProof/>
          <w:sz w:val="22"/>
        </w:rPr>
        <w:t>not require annual IRB review.</w:t>
      </w:r>
    </w:p>
    <w:p w14:paraId="7BD4C15B" w14:textId="77777777" w:rsidR="000152AC" w:rsidRPr="007277DE" w:rsidRDefault="0058291D" w:rsidP="00B41702">
      <w:pPr>
        <w:spacing w:before="120" w:after="24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pict w14:anchorId="7BA0E6B6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2C0AC236" w14:textId="77777777" w:rsidR="007277DE" w:rsidRPr="007277DE" w:rsidRDefault="0058291D" w:rsidP="007277DE">
      <w:pPr>
        <w:spacing w:after="240"/>
        <w:rPr>
          <w:rFonts w:ascii="Arial" w:hAnsi="Arial" w:cs="Arial"/>
          <w:sz w:val="22"/>
        </w:rPr>
      </w:pPr>
      <w:r w:rsidRPr="007277DE">
        <w:rPr>
          <w:rFonts w:ascii="Arial" w:hAnsi="Arial" w:cs="Arial"/>
          <w:sz w:val="22"/>
        </w:rPr>
        <w:t xml:space="preserve">See the next page for </w:t>
      </w:r>
      <w:r>
        <w:rPr>
          <w:rFonts w:ascii="Arial" w:hAnsi="Arial" w:cs="Arial"/>
          <w:sz w:val="22"/>
        </w:rPr>
        <w:t>important reminders</w:t>
      </w:r>
      <w:r>
        <w:rPr>
          <w:rFonts w:ascii="Arial" w:hAnsi="Arial" w:cs="Arial"/>
          <w:sz w:val="22"/>
        </w:rPr>
        <w:t xml:space="preserve">. </w:t>
      </w:r>
    </w:p>
    <w:p w14:paraId="33C958BA" w14:textId="77777777" w:rsidR="004B1568" w:rsidRPr="007277DE" w:rsidRDefault="0058291D" w:rsidP="000F31A5">
      <w:pPr>
        <w:spacing w:after="240"/>
        <w:rPr>
          <w:rFonts w:ascii="Arial" w:hAnsi="Arial" w:cs="Arial"/>
          <w:noProof/>
          <w:sz w:val="22"/>
        </w:rPr>
      </w:pPr>
    </w:p>
    <w:p w14:paraId="4E5D9982" w14:textId="77777777" w:rsidR="004B1568" w:rsidRPr="007277DE" w:rsidRDefault="0058291D">
      <w:pPr>
        <w:rPr>
          <w:rFonts w:ascii="Arial" w:hAnsi="Arial" w:cs="Arial"/>
          <w:noProof/>
          <w:sz w:val="22"/>
        </w:rPr>
      </w:pPr>
      <w:r w:rsidRPr="007277DE">
        <w:rPr>
          <w:rFonts w:ascii="Arial" w:hAnsi="Arial" w:cs="Arial"/>
          <w:noProof/>
          <w:sz w:val="22"/>
        </w:rPr>
        <w:br w:type="page"/>
      </w:r>
    </w:p>
    <w:p w14:paraId="77D6E411" w14:textId="77777777" w:rsidR="007277DE" w:rsidRPr="007277DE" w:rsidRDefault="0058291D" w:rsidP="00B41702">
      <w:pPr>
        <w:spacing w:after="240"/>
        <w:jc w:val="both"/>
        <w:rPr>
          <w:rFonts w:ascii="Arial" w:hAnsi="Arial" w:cs="Arial"/>
          <w:b/>
          <w:smallCaps/>
          <w:noProof/>
          <w:sz w:val="22"/>
        </w:rPr>
      </w:pPr>
      <w:r>
        <w:rPr>
          <w:rFonts w:ascii="Arial" w:hAnsi="Arial" w:cs="Arial"/>
          <w:b/>
          <w:smallCaps/>
          <w:noProof/>
          <w:sz w:val="22"/>
        </w:rPr>
        <w:lastRenderedPageBreak/>
        <w:t>Important Reminders:</w:t>
      </w:r>
    </w:p>
    <w:p w14:paraId="09F86A33" w14:textId="77777777" w:rsidR="00C077EE" w:rsidRDefault="0058291D" w:rsidP="00B41702">
      <w:pPr>
        <w:pStyle w:val="ListParagraph"/>
        <w:numPr>
          <w:ilvl w:val="0"/>
          <w:numId w:val="6"/>
        </w:numPr>
        <w:spacing w:after="240"/>
        <w:ind w:left="36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Exempt research does not require additional IRB </w:t>
      </w:r>
      <w:r w:rsidRPr="00C077EE">
        <w:rPr>
          <w:rFonts w:ascii="Arial" w:hAnsi="Arial" w:cs="Arial"/>
          <w:noProof/>
          <w:sz w:val="22"/>
        </w:rPr>
        <w:t xml:space="preserve">oversight except in cases where the study is to be modified in a way that would change the applicability of the </w:t>
      </w:r>
      <w:r>
        <w:rPr>
          <w:rFonts w:ascii="Arial" w:hAnsi="Arial" w:cs="Arial"/>
          <w:noProof/>
          <w:sz w:val="22"/>
        </w:rPr>
        <w:t>exempt status</w:t>
      </w:r>
      <w:r>
        <w:rPr>
          <w:rFonts w:ascii="Arial" w:hAnsi="Arial" w:cs="Arial"/>
          <w:noProof/>
          <w:sz w:val="22"/>
        </w:rPr>
        <w:t xml:space="preserve">. </w:t>
      </w:r>
    </w:p>
    <w:p w14:paraId="1A0ECA1F" w14:textId="77777777" w:rsidR="00C077EE" w:rsidRDefault="0058291D" w:rsidP="00B41702">
      <w:pPr>
        <w:pStyle w:val="ListParagraph"/>
        <w:spacing w:after="240"/>
        <w:ind w:left="360"/>
        <w:jc w:val="both"/>
        <w:rPr>
          <w:rFonts w:ascii="Arial" w:hAnsi="Arial" w:cs="Arial"/>
          <w:noProof/>
          <w:sz w:val="22"/>
        </w:rPr>
      </w:pPr>
    </w:p>
    <w:p w14:paraId="446CC574" w14:textId="77777777" w:rsidR="002810E9" w:rsidRDefault="0058291D" w:rsidP="00B41702">
      <w:pPr>
        <w:pStyle w:val="ListParagraph"/>
        <w:numPr>
          <w:ilvl w:val="0"/>
          <w:numId w:val="6"/>
        </w:numPr>
        <w:spacing w:after="240"/>
        <w:ind w:left="36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Should you wish to modify the study in way that affects </w:t>
      </w:r>
      <w:r w:rsidRPr="00C077EE">
        <w:rPr>
          <w:rFonts w:ascii="Arial" w:hAnsi="Arial" w:cs="Arial"/>
          <w:noProof/>
          <w:sz w:val="22"/>
        </w:rPr>
        <w:t>the applicability of th</w:t>
      </w:r>
      <w:r>
        <w:rPr>
          <w:rFonts w:ascii="Arial" w:hAnsi="Arial" w:cs="Arial"/>
          <w:noProof/>
          <w:sz w:val="22"/>
        </w:rPr>
        <w:t>e</w:t>
      </w:r>
      <w:r w:rsidRPr="00C077EE">
        <w:rPr>
          <w:rFonts w:ascii="Arial" w:hAnsi="Arial" w:cs="Arial"/>
          <w:noProof/>
          <w:sz w:val="22"/>
        </w:rPr>
        <w:t xml:space="preserve"> exemption determination, a new </w:t>
      </w:r>
      <w:r>
        <w:rPr>
          <w:rFonts w:ascii="Arial" w:hAnsi="Arial" w:cs="Arial"/>
          <w:noProof/>
          <w:sz w:val="22"/>
        </w:rPr>
        <w:t xml:space="preserve">protocol </w:t>
      </w:r>
      <w:r>
        <w:rPr>
          <w:rFonts w:ascii="Arial" w:hAnsi="Arial" w:cs="Arial"/>
          <w:noProof/>
          <w:sz w:val="22"/>
        </w:rPr>
        <w:t>must be</w:t>
      </w:r>
      <w:r w:rsidRPr="00C077EE">
        <w:rPr>
          <w:rFonts w:ascii="Arial" w:hAnsi="Arial" w:cs="Arial"/>
          <w:noProof/>
          <w:sz w:val="22"/>
        </w:rPr>
        <w:t xml:space="preserve"> submitted</w:t>
      </w:r>
      <w:r>
        <w:rPr>
          <w:rFonts w:ascii="Arial" w:hAnsi="Arial" w:cs="Arial"/>
          <w:noProof/>
          <w:sz w:val="22"/>
        </w:rPr>
        <w:t xml:space="preserve"> for the IRB review</w:t>
      </w:r>
      <w:r w:rsidRPr="00C077EE">
        <w:rPr>
          <w:rFonts w:ascii="Arial" w:hAnsi="Arial" w:cs="Arial"/>
          <w:noProof/>
          <w:sz w:val="22"/>
        </w:rPr>
        <w:t>. See IRB Guidance document 100 GD 9: Guidance on Exemption from IRB Review for examples.</w:t>
      </w:r>
    </w:p>
    <w:p w14:paraId="1BDFC3D7" w14:textId="77777777" w:rsidR="00C077EE" w:rsidRPr="002810E9" w:rsidRDefault="0058291D" w:rsidP="00B41702">
      <w:pPr>
        <w:pStyle w:val="ListParagraph"/>
        <w:spacing w:after="240"/>
        <w:ind w:left="1080"/>
        <w:jc w:val="both"/>
        <w:rPr>
          <w:rFonts w:ascii="Arial" w:hAnsi="Arial" w:cs="Arial"/>
          <w:noProof/>
          <w:sz w:val="22"/>
        </w:rPr>
      </w:pPr>
    </w:p>
    <w:p w14:paraId="7268DAA1" w14:textId="77777777" w:rsidR="006C152A" w:rsidRDefault="0058291D" w:rsidP="00B41702">
      <w:pPr>
        <w:pStyle w:val="ListParagraph"/>
        <w:numPr>
          <w:ilvl w:val="0"/>
          <w:numId w:val="4"/>
        </w:numPr>
        <w:spacing w:after="240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Information that requires prompt reporting to the IRB</w:t>
      </w:r>
      <w:r w:rsidRPr="007277DE">
        <w:rPr>
          <w:rFonts w:ascii="Arial" w:hAnsi="Arial" w:cs="Arial"/>
          <w:sz w:val="22"/>
        </w:rPr>
        <w:t xml:space="preserve"> must be </w:t>
      </w:r>
      <w:r>
        <w:rPr>
          <w:rFonts w:ascii="Arial" w:hAnsi="Arial" w:cs="Arial"/>
          <w:sz w:val="22"/>
        </w:rPr>
        <w:t xml:space="preserve">done so </w:t>
      </w:r>
      <w:r w:rsidRPr="007277DE">
        <w:rPr>
          <w:rFonts w:ascii="Arial" w:hAnsi="Arial" w:cs="Arial"/>
          <w:sz w:val="22"/>
        </w:rPr>
        <w:t>within 5 days of the PI becoming aware of the event (see Po</w:t>
      </w:r>
      <w:r w:rsidRPr="007277DE">
        <w:rPr>
          <w:rFonts w:ascii="Arial" w:hAnsi="Arial" w:cs="Arial"/>
          <w:sz w:val="22"/>
        </w:rPr>
        <w:t>licy 710: Reporting Unanticipated Problems Involving Risks to Subjects or Others, including Adverse Events).</w:t>
      </w:r>
      <w:r>
        <w:rPr>
          <w:rFonts w:ascii="Arial" w:hAnsi="Arial" w:cs="Arial"/>
          <w:sz w:val="22"/>
        </w:rPr>
        <w:t xml:space="preserve"> This includes potential serious noncompliance, continuing noncompliance, and unanticipated problems to subjects or others.</w:t>
      </w:r>
    </w:p>
    <w:p w14:paraId="3B98564A" w14:textId="77777777" w:rsidR="007277DE" w:rsidRPr="007277DE" w:rsidRDefault="0058291D" w:rsidP="00B41702">
      <w:pPr>
        <w:pStyle w:val="ListParagraph"/>
        <w:spacing w:after="240"/>
        <w:ind w:left="360"/>
        <w:jc w:val="both"/>
        <w:rPr>
          <w:rFonts w:ascii="Arial" w:hAnsi="Arial" w:cs="Arial"/>
          <w:sz w:val="22"/>
        </w:rPr>
      </w:pPr>
    </w:p>
    <w:p w14:paraId="5E331BD7" w14:textId="77777777" w:rsidR="006C152A" w:rsidRDefault="0058291D" w:rsidP="00B41702">
      <w:pPr>
        <w:pStyle w:val="ListParagraph"/>
        <w:numPr>
          <w:ilvl w:val="0"/>
          <w:numId w:val="4"/>
        </w:numPr>
        <w:spacing w:after="240"/>
        <w:ind w:left="360"/>
        <w:jc w:val="both"/>
        <w:rPr>
          <w:rFonts w:ascii="Arial" w:hAnsi="Arial" w:cs="Arial"/>
          <w:sz w:val="22"/>
        </w:rPr>
      </w:pPr>
      <w:r w:rsidRPr="007277DE">
        <w:rPr>
          <w:rFonts w:ascii="Arial" w:hAnsi="Arial" w:cs="Arial"/>
          <w:sz w:val="22"/>
        </w:rPr>
        <w:t xml:space="preserve">In conducting this </w:t>
      </w:r>
      <w:r>
        <w:rPr>
          <w:rFonts w:ascii="Arial" w:hAnsi="Arial" w:cs="Arial"/>
          <w:sz w:val="22"/>
        </w:rPr>
        <w:t>acti</w:t>
      </w:r>
      <w:r>
        <w:rPr>
          <w:rFonts w:ascii="Arial" w:hAnsi="Arial" w:cs="Arial"/>
          <w:sz w:val="22"/>
        </w:rPr>
        <w:t>vity</w:t>
      </w:r>
      <w:r w:rsidRPr="007277DE">
        <w:rPr>
          <w:rFonts w:ascii="Arial" w:hAnsi="Arial" w:cs="Arial"/>
          <w:sz w:val="22"/>
        </w:rPr>
        <w:t xml:space="preserve">, you </w:t>
      </w:r>
      <w:r w:rsidRPr="007277DE">
        <w:rPr>
          <w:rFonts w:ascii="Arial" w:hAnsi="Arial" w:cs="Arial"/>
          <w:sz w:val="22"/>
        </w:rPr>
        <w:t xml:space="preserve">should refer to and </w:t>
      </w:r>
      <w:r w:rsidRPr="007277DE">
        <w:rPr>
          <w:rFonts w:ascii="Arial" w:hAnsi="Arial" w:cs="Arial"/>
          <w:sz w:val="22"/>
        </w:rPr>
        <w:t xml:space="preserve">follow the </w:t>
      </w:r>
      <w:r w:rsidRPr="007277DE">
        <w:rPr>
          <w:rFonts w:ascii="Arial" w:hAnsi="Arial" w:cs="Arial"/>
          <w:iCs/>
          <w:sz w:val="22"/>
        </w:rPr>
        <w:t>Investigator Manual (HRP-103)</w:t>
      </w:r>
      <w:r>
        <w:rPr>
          <w:rFonts w:ascii="Arial" w:hAnsi="Arial" w:cs="Arial"/>
          <w:iCs/>
          <w:sz w:val="22"/>
        </w:rPr>
        <w:t xml:space="preserve"> as applicable</w:t>
      </w:r>
      <w:r w:rsidRPr="007277DE">
        <w:rPr>
          <w:rFonts w:ascii="Arial" w:hAnsi="Arial" w:cs="Arial"/>
          <w:iCs/>
          <w:sz w:val="22"/>
        </w:rPr>
        <w:t>, which can be found in the IRB Library within the IRB system</w:t>
      </w:r>
      <w:r w:rsidRPr="007277DE">
        <w:rPr>
          <w:rFonts w:ascii="Arial" w:hAnsi="Arial" w:cs="Arial"/>
          <w:sz w:val="22"/>
        </w:rPr>
        <w:t>.</w:t>
      </w:r>
    </w:p>
    <w:p w14:paraId="69BFE177" w14:textId="77777777" w:rsidR="00C077EE" w:rsidRDefault="0058291D" w:rsidP="00C077EE">
      <w:pPr>
        <w:spacing w:after="240"/>
        <w:rPr>
          <w:rFonts w:ascii="Arial" w:hAnsi="Arial" w:cs="Arial"/>
          <w:sz w:val="22"/>
        </w:rPr>
      </w:pPr>
      <w:bookmarkStart w:id="0" w:name="_Hlk518826087"/>
      <w:r>
        <w:rPr>
          <w:rFonts w:ascii="Arial" w:hAnsi="Arial" w:cs="Arial"/>
          <w:noProof/>
          <w:sz w:val="22"/>
        </w:rPr>
        <w:pict w14:anchorId="6522037D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13994AF" w14:textId="77777777" w:rsidR="00E056A4" w:rsidRPr="007277DE" w:rsidRDefault="0058291D" w:rsidP="00C077EE">
      <w:pPr>
        <w:spacing w:after="240"/>
        <w:rPr>
          <w:rFonts w:ascii="Arial" w:hAnsi="Arial" w:cs="Arial"/>
          <w:sz w:val="22"/>
        </w:rPr>
      </w:pPr>
      <w:r w:rsidRPr="00C077EE">
        <w:rPr>
          <w:rFonts w:ascii="Arial" w:hAnsi="Arial" w:cs="Arial"/>
          <w:sz w:val="22"/>
        </w:rPr>
        <w:t>Please keep this letter with your copy of the protocol documents.</w:t>
      </w:r>
      <w:bookmarkEnd w:id="0"/>
    </w:p>
    <w:sectPr w:rsidR="00E056A4" w:rsidRPr="007277DE" w:rsidSect="000A493A">
      <w:headerReference w:type="default" r:id="rId9"/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DD6CB" w14:textId="77777777" w:rsidR="0058291D" w:rsidRDefault="0058291D">
      <w:r>
        <w:separator/>
      </w:r>
    </w:p>
  </w:endnote>
  <w:endnote w:type="continuationSeparator" w:id="0">
    <w:p w14:paraId="000C507D" w14:textId="77777777" w:rsidR="0058291D" w:rsidRDefault="0058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77C11" w14:textId="77777777" w:rsidR="000F31A5" w:rsidRPr="00E90984" w:rsidRDefault="0058291D">
    <w:pPr>
      <w:pStyle w:val="Footer"/>
      <w:rPr>
        <w:rFonts w:ascii="Arial" w:hAnsi="Arial" w:cs="Arial"/>
      </w:rPr>
    </w:pPr>
    <w:r w:rsidRPr="00E90984">
      <w:rPr>
        <w:rFonts w:ascii="Arial" w:hAnsi="Arial" w:cs="Arial"/>
      </w:rPr>
      <w:tab/>
      <w:t xml:space="preserve">Page </w:t>
    </w:r>
    <w:r w:rsidRPr="00E90984">
      <w:rPr>
        <w:rStyle w:val="PageNumber"/>
        <w:rFonts w:ascii="Arial" w:hAnsi="Arial" w:cs="Arial"/>
      </w:rPr>
      <w:fldChar w:fldCharType="begin"/>
    </w:r>
    <w:r w:rsidRPr="00E90984">
      <w:rPr>
        <w:rStyle w:val="PageNumber"/>
        <w:rFonts w:ascii="Arial" w:hAnsi="Arial" w:cs="Arial"/>
      </w:rPr>
      <w:instrText xml:space="preserve"> PAGE </w:instrText>
    </w:r>
    <w:r w:rsidRPr="00E90984">
      <w:rPr>
        <w:rStyle w:val="PageNumber"/>
        <w:rFonts w:ascii="Arial" w:hAnsi="Arial" w:cs="Arial"/>
      </w:rPr>
      <w:fldChar w:fldCharType="separate"/>
    </w:r>
    <w:r w:rsidRPr="00E90984">
      <w:rPr>
        <w:rStyle w:val="PageNumber"/>
        <w:rFonts w:ascii="Arial" w:hAnsi="Arial" w:cs="Arial"/>
      </w:rPr>
      <w:t>1</w:t>
    </w:r>
    <w:r w:rsidRPr="00E90984">
      <w:rPr>
        <w:rStyle w:val="PageNumber"/>
        <w:rFonts w:ascii="Arial" w:hAnsi="Arial" w:cs="Arial"/>
      </w:rPr>
      <w:fldChar w:fldCharType="end"/>
    </w:r>
    <w:r w:rsidRPr="00E90984">
      <w:rPr>
        <w:rStyle w:val="PageNumber"/>
        <w:rFonts w:ascii="Arial" w:hAnsi="Arial" w:cs="Arial"/>
      </w:rPr>
      <w:t xml:space="preserve"> of </w:t>
    </w:r>
    <w:r w:rsidRPr="00E90984">
      <w:rPr>
        <w:rStyle w:val="PageNumber"/>
        <w:rFonts w:ascii="Arial" w:hAnsi="Arial" w:cs="Arial"/>
      </w:rPr>
      <w:fldChar w:fldCharType="begin"/>
    </w:r>
    <w:r w:rsidRPr="00E90984">
      <w:rPr>
        <w:rStyle w:val="PageNumber"/>
        <w:rFonts w:ascii="Arial" w:hAnsi="Arial" w:cs="Arial"/>
      </w:rPr>
      <w:instrText xml:space="preserve"> NUMPAGES </w:instrText>
    </w:r>
    <w:r w:rsidRPr="00E90984">
      <w:rPr>
        <w:rStyle w:val="PageNumber"/>
        <w:rFonts w:ascii="Arial" w:hAnsi="Arial" w:cs="Arial"/>
      </w:rPr>
      <w:fldChar w:fldCharType="separate"/>
    </w:r>
    <w:r w:rsidRPr="00E90984">
      <w:rPr>
        <w:rStyle w:val="PageNumber"/>
        <w:rFonts w:ascii="Arial" w:hAnsi="Arial" w:cs="Arial"/>
      </w:rPr>
      <w:t>2</w:t>
    </w:r>
    <w:r w:rsidRPr="00E90984">
      <w:rPr>
        <w:rStyle w:val="PageNumber"/>
        <w:rFonts w:ascii="Arial" w:hAnsi="Arial" w:cs="Arial"/>
      </w:rPr>
      <w:fldChar w:fldCharType="end"/>
    </w:r>
    <w:r w:rsidRPr="00E90984">
      <w:rPr>
        <w:rStyle w:val="PageNumber"/>
        <w:rFonts w:ascii="Arial" w:hAnsi="Arial" w:cs="Arial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A1CF7" w14:textId="77777777" w:rsidR="0004705F" w:rsidRPr="003A4E61" w:rsidRDefault="0058291D">
    <w:pPr>
      <w:pStyle w:val="Footer"/>
      <w:rPr>
        <w:rFonts w:ascii="Arial" w:hAnsi="Arial" w:cs="Arial"/>
      </w:rPr>
    </w:pPr>
    <w:r w:rsidRPr="003A4E61">
      <w:rPr>
        <w:rFonts w:ascii="Arial" w:hAnsi="Arial" w:cs="Arial"/>
      </w:rPr>
      <w:tab/>
      <w:t xml:space="preserve">Page </w:t>
    </w:r>
    <w:r w:rsidRPr="003A4E61">
      <w:rPr>
        <w:rStyle w:val="PageNumber"/>
        <w:rFonts w:ascii="Arial" w:hAnsi="Arial" w:cs="Arial"/>
      </w:rPr>
      <w:fldChar w:fldCharType="begin"/>
    </w:r>
    <w:r w:rsidRPr="003A4E61">
      <w:rPr>
        <w:rStyle w:val="PageNumber"/>
        <w:rFonts w:ascii="Arial" w:hAnsi="Arial" w:cs="Arial"/>
      </w:rPr>
      <w:instrText xml:space="preserve"> PAGE </w:instrText>
    </w:r>
    <w:r w:rsidRPr="003A4E61">
      <w:rPr>
        <w:rStyle w:val="PageNumber"/>
        <w:rFonts w:ascii="Arial" w:hAnsi="Arial" w:cs="Arial"/>
      </w:rPr>
      <w:fldChar w:fldCharType="separate"/>
    </w:r>
    <w:r w:rsidRPr="003A4E61">
      <w:rPr>
        <w:rStyle w:val="PageNumber"/>
        <w:rFonts w:ascii="Arial" w:hAnsi="Arial" w:cs="Arial"/>
      </w:rPr>
      <w:t>2</w:t>
    </w:r>
    <w:r w:rsidRPr="003A4E61">
      <w:rPr>
        <w:rStyle w:val="PageNumber"/>
        <w:rFonts w:ascii="Arial" w:hAnsi="Arial" w:cs="Arial"/>
      </w:rPr>
      <w:fldChar w:fldCharType="end"/>
    </w:r>
    <w:r w:rsidRPr="003A4E61">
      <w:rPr>
        <w:rStyle w:val="PageNumber"/>
        <w:rFonts w:ascii="Arial" w:hAnsi="Arial" w:cs="Arial"/>
      </w:rPr>
      <w:t xml:space="preserve"> of </w:t>
    </w:r>
    <w:r w:rsidRPr="003A4E61">
      <w:rPr>
        <w:rStyle w:val="PageNumber"/>
        <w:rFonts w:ascii="Arial" w:hAnsi="Arial" w:cs="Arial"/>
      </w:rPr>
      <w:fldChar w:fldCharType="begin"/>
    </w:r>
    <w:r w:rsidRPr="003A4E61">
      <w:rPr>
        <w:rStyle w:val="PageNumber"/>
        <w:rFonts w:ascii="Arial" w:hAnsi="Arial" w:cs="Arial"/>
      </w:rPr>
      <w:instrText xml:space="preserve"> NUMPAGES </w:instrText>
    </w:r>
    <w:r w:rsidRPr="003A4E61">
      <w:rPr>
        <w:rStyle w:val="PageNumber"/>
        <w:rFonts w:ascii="Arial" w:hAnsi="Arial" w:cs="Arial"/>
      </w:rPr>
      <w:fldChar w:fldCharType="separate"/>
    </w:r>
    <w:r w:rsidRPr="003A4E61">
      <w:rPr>
        <w:rStyle w:val="PageNumber"/>
        <w:rFonts w:ascii="Arial" w:hAnsi="Arial" w:cs="Arial"/>
      </w:rPr>
      <w:t>2</w:t>
    </w:r>
    <w:r w:rsidRPr="003A4E61">
      <w:rPr>
        <w:rStyle w:val="PageNumber"/>
        <w:rFonts w:ascii="Arial" w:hAnsi="Arial" w:cs="Arial"/>
      </w:rPr>
      <w:fldChar w:fldCharType="end"/>
    </w:r>
    <w:r w:rsidRPr="003A4E61">
      <w:rPr>
        <w:rStyle w:val="PageNumber"/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42C9A" w14:textId="77777777" w:rsidR="0058291D" w:rsidRDefault="0058291D">
      <w:r>
        <w:separator/>
      </w:r>
    </w:p>
  </w:footnote>
  <w:footnote w:type="continuationSeparator" w:id="0">
    <w:p w14:paraId="338F5017" w14:textId="77777777" w:rsidR="0058291D" w:rsidRDefault="00582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580" w:type="dxa"/>
      <w:tblInd w:w="-882" w:type="dxa"/>
      <w:tblLook w:val="04A0" w:firstRow="1" w:lastRow="0" w:firstColumn="1" w:lastColumn="0" w:noHBand="0" w:noVBand="1"/>
    </w:tblPr>
    <w:tblGrid>
      <w:gridCol w:w="2258"/>
      <w:gridCol w:w="5734"/>
      <w:gridCol w:w="4588"/>
    </w:tblGrid>
    <w:tr w:rsidR="00F31F48" w14:paraId="3FB1BBCA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344FE3E1" w14:textId="77777777" w:rsidR="000F31A5" w:rsidRPr="00185A3A" w:rsidRDefault="0058291D" w:rsidP="00185A3A">
          <w:pPr>
            <w:pStyle w:val="Header"/>
            <w:rPr>
              <w:b/>
              <w:sz w:val="22"/>
            </w:rPr>
          </w:pPr>
          <w:r>
            <w:rPr>
              <w:noProof/>
            </w:rPr>
            <w:drawing>
              <wp:anchor distT="36576" distB="36576" distL="36576" distR="36576" simplePos="0" relativeHeight="251658240" behindDoc="0" locked="0" layoutInCell="1" allowOverlap="1" wp14:anchorId="13F90361" wp14:editId="530356DC">
                <wp:simplePos x="0" y="0"/>
                <wp:positionH relativeFrom="column">
                  <wp:posOffset>-1905</wp:posOffset>
                </wp:positionH>
                <wp:positionV relativeFrom="paragraph">
                  <wp:posOffset>38735</wp:posOffset>
                </wp:positionV>
                <wp:extent cx="1123315" cy="483235"/>
                <wp:effectExtent l="0" t="0" r="635" b="0"/>
                <wp:wrapNone/>
                <wp:docPr id="15" name="Picture 15" descr="yale_newlogo_yaleblue-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yale_newlogo_yaleblue-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31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34" w:type="dxa"/>
          <w:shd w:val="clear" w:color="auto" w:fill="auto"/>
        </w:tcPr>
        <w:p w14:paraId="77E60414" w14:textId="77777777" w:rsidR="000F31A5" w:rsidRPr="003A4E61" w:rsidRDefault="0058291D" w:rsidP="00185A3A">
          <w:pPr>
            <w:pStyle w:val="Header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Human Research Protection Program</w:t>
          </w:r>
          <w:r w:rsidRPr="003A4E61">
            <w:rPr>
              <w:rFonts w:ascii="Arial" w:hAnsi="Arial" w:cs="Arial"/>
              <w:sz w:val="22"/>
            </w:rPr>
            <w:t xml:space="preserve"> </w:t>
          </w:r>
        </w:p>
      </w:tc>
      <w:tc>
        <w:tcPr>
          <w:tcW w:w="4588" w:type="dxa"/>
        </w:tcPr>
        <w:p w14:paraId="4E376F32" w14:textId="77777777" w:rsidR="000F31A5" w:rsidRPr="003A4E61" w:rsidRDefault="0058291D" w:rsidP="005F26E1">
          <w:pPr>
            <w:pStyle w:val="Header"/>
            <w:ind w:left="244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>Telephone: 203-785-4688</w:t>
          </w:r>
        </w:p>
      </w:tc>
    </w:tr>
    <w:tr w:rsidR="00F31F48" w14:paraId="618AC42B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207DFA12" w14:textId="77777777" w:rsidR="0063744E" w:rsidRPr="00185A3A" w:rsidRDefault="0058291D" w:rsidP="004B1568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1BEF352C" w14:textId="77777777" w:rsidR="0063744E" w:rsidRDefault="0058291D" w:rsidP="004B1568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>Institutional Review Boards</w:t>
          </w:r>
        </w:p>
      </w:tc>
      <w:tc>
        <w:tcPr>
          <w:tcW w:w="4588" w:type="dxa"/>
        </w:tcPr>
        <w:p w14:paraId="42D7880A" w14:textId="77777777" w:rsidR="0063744E" w:rsidRDefault="0058291D" w:rsidP="004B1568">
          <w:pPr>
            <w:pStyle w:val="Header"/>
            <w:ind w:left="244"/>
          </w:pPr>
          <w:hyperlink r:id="rId2" w:history="1">
            <w:r w:rsidRPr="003A4E61">
              <w:rPr>
                <w:rStyle w:val="Hyperlink"/>
                <w:rFonts w:ascii="Arial" w:hAnsi="Arial" w:cs="Arial"/>
                <w:sz w:val="22"/>
              </w:rPr>
              <w:t>http://www.yale.edu/hrpp</w:t>
            </w:r>
          </w:hyperlink>
        </w:p>
      </w:tc>
    </w:tr>
    <w:tr w:rsidR="00F31F48" w14:paraId="48B23AC4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23948BFA" w14:textId="77777777" w:rsidR="00C077EE" w:rsidRPr="00185A3A" w:rsidRDefault="0058291D" w:rsidP="004B1568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14CAADF2" w14:textId="77777777" w:rsidR="00C077EE" w:rsidRPr="003A4E61" w:rsidRDefault="0058291D" w:rsidP="004B1568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1D1957">
            <w:rPr>
              <w:rFonts w:ascii="Arial" w:hAnsi="Arial" w:cs="Arial"/>
              <w:sz w:val="22"/>
            </w:rPr>
            <w:t>FWA00002571</w:t>
          </w:r>
        </w:p>
      </w:tc>
      <w:tc>
        <w:tcPr>
          <w:tcW w:w="4588" w:type="dxa"/>
        </w:tcPr>
        <w:p w14:paraId="3E7FD243" w14:textId="77777777" w:rsidR="00C077EE" w:rsidRDefault="0058291D" w:rsidP="004B1568">
          <w:pPr>
            <w:pStyle w:val="Header"/>
            <w:ind w:left="244"/>
          </w:pPr>
        </w:p>
      </w:tc>
    </w:tr>
    <w:tr w:rsidR="00F31F48" w14:paraId="30B0BA1E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788556A7" w14:textId="77777777" w:rsidR="004B1568" w:rsidRPr="00185A3A" w:rsidRDefault="0058291D" w:rsidP="004B1568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2E5A42A0" w14:textId="77777777" w:rsidR="004B1568" w:rsidRPr="003A4E61" w:rsidRDefault="0058291D" w:rsidP="004B1568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 xml:space="preserve">25 Science Park – 3rd Fl., 150 </w:t>
          </w:r>
          <w:r w:rsidRPr="003A4E61">
            <w:rPr>
              <w:rFonts w:ascii="Arial" w:hAnsi="Arial" w:cs="Arial"/>
              <w:sz w:val="22"/>
            </w:rPr>
            <w:t>Munson St.</w:t>
          </w:r>
        </w:p>
      </w:tc>
      <w:tc>
        <w:tcPr>
          <w:tcW w:w="4588" w:type="dxa"/>
        </w:tcPr>
        <w:p w14:paraId="57BAB4A3" w14:textId="77777777" w:rsidR="004B1568" w:rsidRPr="003A4E61" w:rsidRDefault="0058291D" w:rsidP="004B1568">
          <w:pPr>
            <w:pStyle w:val="Header"/>
            <w:ind w:left="244"/>
            <w:rPr>
              <w:rFonts w:ascii="Arial" w:hAnsi="Arial" w:cs="Arial"/>
              <w:sz w:val="22"/>
            </w:rPr>
          </w:pPr>
        </w:p>
      </w:tc>
    </w:tr>
    <w:tr w:rsidR="00F31F48" w14:paraId="626BB05E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06E0CFC4" w14:textId="77777777" w:rsidR="004B1568" w:rsidRPr="00185A3A" w:rsidRDefault="0058291D" w:rsidP="004B1568">
          <w:pPr>
            <w:pStyle w:val="Header"/>
            <w:rPr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798F54E3" w14:textId="77777777" w:rsidR="004B1568" w:rsidRPr="003A4E61" w:rsidRDefault="0058291D" w:rsidP="004B1568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 xml:space="preserve">New Haven CT 06520-8327                   </w:t>
          </w:r>
        </w:p>
      </w:tc>
      <w:tc>
        <w:tcPr>
          <w:tcW w:w="4588" w:type="dxa"/>
        </w:tcPr>
        <w:p w14:paraId="0AB87BA2" w14:textId="77777777" w:rsidR="004B1568" w:rsidRPr="003A4E61" w:rsidRDefault="0058291D" w:rsidP="004B1568">
          <w:pPr>
            <w:pStyle w:val="Header"/>
            <w:tabs>
              <w:tab w:val="left" w:pos="1750"/>
            </w:tabs>
            <w:ind w:left="244"/>
            <w:rPr>
              <w:rFonts w:ascii="Arial" w:hAnsi="Arial" w:cs="Arial"/>
              <w:sz w:val="22"/>
            </w:rPr>
          </w:pPr>
        </w:p>
      </w:tc>
    </w:tr>
    <w:tr w:rsidR="00F31F48" w14:paraId="6EE96CF6" w14:textId="77777777" w:rsidTr="005F26E1">
      <w:trPr>
        <w:trHeight w:val="288"/>
      </w:trPr>
      <w:tc>
        <w:tcPr>
          <w:tcW w:w="2258" w:type="dxa"/>
          <w:shd w:val="clear" w:color="auto" w:fill="auto"/>
        </w:tcPr>
        <w:p w14:paraId="585A0108" w14:textId="77777777" w:rsidR="004B1568" w:rsidRPr="00185A3A" w:rsidRDefault="0058291D" w:rsidP="004B1568">
          <w:pPr>
            <w:pStyle w:val="Header"/>
            <w:rPr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0FE6658D" w14:textId="77777777" w:rsidR="004B1568" w:rsidRPr="00185A3A" w:rsidRDefault="0058291D" w:rsidP="004B1568">
          <w:pPr>
            <w:pStyle w:val="Header"/>
            <w:jc w:val="center"/>
            <w:rPr>
              <w:sz w:val="22"/>
            </w:rPr>
          </w:pPr>
        </w:p>
      </w:tc>
      <w:tc>
        <w:tcPr>
          <w:tcW w:w="4588" w:type="dxa"/>
        </w:tcPr>
        <w:p w14:paraId="14D29D4E" w14:textId="77777777" w:rsidR="004B1568" w:rsidRPr="00185A3A" w:rsidRDefault="0058291D" w:rsidP="004B1568">
          <w:pPr>
            <w:pStyle w:val="Header"/>
            <w:rPr>
              <w:sz w:val="22"/>
            </w:rPr>
          </w:pPr>
        </w:p>
      </w:tc>
    </w:tr>
  </w:tbl>
  <w:p w14:paraId="0C05F8FB" w14:textId="77777777" w:rsidR="000F31A5" w:rsidRDefault="0058291D" w:rsidP="00185A3A">
    <w:pPr>
      <w:pStyle w:val="Header"/>
      <w:tabs>
        <w:tab w:val="lef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580" w:type="dxa"/>
      <w:tblInd w:w="-882" w:type="dxa"/>
      <w:tblLook w:val="04A0" w:firstRow="1" w:lastRow="0" w:firstColumn="1" w:lastColumn="0" w:noHBand="0" w:noVBand="1"/>
    </w:tblPr>
    <w:tblGrid>
      <w:gridCol w:w="2258"/>
      <w:gridCol w:w="5734"/>
      <w:gridCol w:w="4588"/>
    </w:tblGrid>
    <w:tr w:rsidR="00F31F48" w14:paraId="57B17ED5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4D8AF761" w14:textId="77777777" w:rsidR="003A4E61" w:rsidRPr="00185A3A" w:rsidRDefault="0058291D" w:rsidP="003A4E61">
          <w:pPr>
            <w:pStyle w:val="Header"/>
            <w:rPr>
              <w:b/>
              <w:sz w:val="22"/>
            </w:rPr>
          </w:pPr>
          <w:r>
            <w:rPr>
              <w:noProof/>
            </w:rPr>
            <w:drawing>
              <wp:anchor distT="36576" distB="36576" distL="36576" distR="36576" simplePos="0" relativeHeight="251659264" behindDoc="0" locked="0" layoutInCell="1" allowOverlap="1" wp14:anchorId="42281FB9" wp14:editId="1855C1F8">
                <wp:simplePos x="0" y="0"/>
                <wp:positionH relativeFrom="column">
                  <wp:posOffset>-1905</wp:posOffset>
                </wp:positionH>
                <wp:positionV relativeFrom="paragraph">
                  <wp:posOffset>38735</wp:posOffset>
                </wp:positionV>
                <wp:extent cx="1123315" cy="483235"/>
                <wp:effectExtent l="0" t="0" r="635" b="0"/>
                <wp:wrapNone/>
                <wp:docPr id="16" name="Picture 16" descr="yale_newlogo_yaleblue-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yale_newlogo_yaleblue-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31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34" w:type="dxa"/>
          <w:shd w:val="clear" w:color="auto" w:fill="auto"/>
        </w:tcPr>
        <w:p w14:paraId="674128DD" w14:textId="77777777" w:rsidR="003A4E61" w:rsidRPr="003A4E61" w:rsidRDefault="0058291D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Human Research Protection </w:t>
          </w:r>
          <w:r>
            <w:rPr>
              <w:rFonts w:ascii="Arial" w:hAnsi="Arial" w:cs="Arial"/>
              <w:sz w:val="22"/>
            </w:rPr>
            <w:t>Program</w:t>
          </w:r>
          <w:r w:rsidRPr="003A4E61">
            <w:rPr>
              <w:rFonts w:ascii="Arial" w:hAnsi="Arial" w:cs="Arial"/>
              <w:sz w:val="22"/>
            </w:rPr>
            <w:t xml:space="preserve"> </w:t>
          </w:r>
        </w:p>
      </w:tc>
      <w:tc>
        <w:tcPr>
          <w:tcW w:w="4588" w:type="dxa"/>
        </w:tcPr>
        <w:p w14:paraId="49C9A450" w14:textId="77777777" w:rsidR="003A4E61" w:rsidRPr="003A4E61" w:rsidRDefault="0058291D" w:rsidP="003A4E61">
          <w:pPr>
            <w:pStyle w:val="Header"/>
            <w:ind w:left="244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>Telephone: 203-785-4688</w:t>
          </w:r>
        </w:p>
      </w:tc>
    </w:tr>
    <w:tr w:rsidR="00F31F48" w14:paraId="75AF4E70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4F5B8F30" w14:textId="77777777" w:rsidR="00B66E48" w:rsidRPr="00185A3A" w:rsidRDefault="0058291D" w:rsidP="003A4E61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06910E2A" w14:textId="77777777" w:rsidR="00B66E48" w:rsidRPr="003A4E61" w:rsidRDefault="0058291D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Institutional Review Boards</w:t>
          </w:r>
        </w:p>
      </w:tc>
      <w:tc>
        <w:tcPr>
          <w:tcW w:w="4588" w:type="dxa"/>
        </w:tcPr>
        <w:p w14:paraId="05D9200D" w14:textId="77777777" w:rsidR="00B66E48" w:rsidRDefault="0058291D" w:rsidP="003A4E61">
          <w:pPr>
            <w:pStyle w:val="Header"/>
            <w:ind w:left="244"/>
          </w:pPr>
          <w:hyperlink r:id="rId2" w:history="1">
            <w:r w:rsidRPr="003A4E61">
              <w:rPr>
                <w:rStyle w:val="Hyperlink"/>
                <w:rFonts w:ascii="Arial" w:hAnsi="Arial" w:cs="Arial"/>
                <w:sz w:val="22"/>
              </w:rPr>
              <w:t>http://www.yale.edu/hrpp</w:t>
            </w:r>
          </w:hyperlink>
        </w:p>
      </w:tc>
    </w:tr>
    <w:tr w:rsidR="00F31F48" w14:paraId="3AA7ADED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616115F9" w14:textId="77777777" w:rsidR="0063744E" w:rsidRPr="00185A3A" w:rsidRDefault="0058291D" w:rsidP="003A4E61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6494D1E3" w14:textId="77777777" w:rsidR="0063744E" w:rsidRPr="003A4E61" w:rsidRDefault="0058291D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1D1957">
            <w:rPr>
              <w:rFonts w:ascii="Arial" w:hAnsi="Arial" w:cs="Arial"/>
              <w:sz w:val="22"/>
            </w:rPr>
            <w:t>FWA00002571</w:t>
          </w:r>
        </w:p>
      </w:tc>
      <w:tc>
        <w:tcPr>
          <w:tcW w:w="4588" w:type="dxa"/>
        </w:tcPr>
        <w:p w14:paraId="3C44E8E7" w14:textId="77777777" w:rsidR="0063744E" w:rsidRPr="003A4E61" w:rsidRDefault="0058291D" w:rsidP="003A4E61">
          <w:pPr>
            <w:pStyle w:val="Header"/>
            <w:ind w:left="244"/>
            <w:rPr>
              <w:rFonts w:ascii="Arial" w:hAnsi="Arial" w:cs="Arial"/>
              <w:sz w:val="22"/>
            </w:rPr>
          </w:pPr>
        </w:p>
      </w:tc>
    </w:tr>
    <w:tr w:rsidR="00F31F48" w14:paraId="6126B042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4DC825ED" w14:textId="77777777" w:rsidR="003A4E61" w:rsidRPr="00185A3A" w:rsidRDefault="0058291D" w:rsidP="003A4E61">
          <w:pPr>
            <w:pStyle w:val="Header"/>
            <w:rPr>
              <w:b/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1263E438" w14:textId="77777777" w:rsidR="003A4E61" w:rsidRPr="003A4E61" w:rsidRDefault="0058291D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>25 Science Park – 3rd Fl., 150 Munson St.</w:t>
          </w:r>
        </w:p>
      </w:tc>
      <w:tc>
        <w:tcPr>
          <w:tcW w:w="4588" w:type="dxa"/>
        </w:tcPr>
        <w:p w14:paraId="1D36FA22" w14:textId="77777777" w:rsidR="003A4E61" w:rsidRPr="003A4E61" w:rsidRDefault="0058291D" w:rsidP="003A4E61">
          <w:pPr>
            <w:pStyle w:val="Header"/>
            <w:ind w:left="244"/>
            <w:rPr>
              <w:rFonts w:ascii="Arial" w:hAnsi="Arial" w:cs="Arial"/>
              <w:sz w:val="22"/>
            </w:rPr>
          </w:pPr>
        </w:p>
      </w:tc>
    </w:tr>
    <w:tr w:rsidR="00F31F48" w14:paraId="5D6A69B2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2444BFE0" w14:textId="77777777" w:rsidR="003A4E61" w:rsidRPr="00185A3A" w:rsidRDefault="0058291D" w:rsidP="003A4E61">
          <w:pPr>
            <w:pStyle w:val="Header"/>
            <w:rPr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7C81BD6D" w14:textId="77777777" w:rsidR="003A4E61" w:rsidRPr="003A4E61" w:rsidRDefault="0058291D" w:rsidP="003A4E61">
          <w:pPr>
            <w:pStyle w:val="Header"/>
            <w:jc w:val="center"/>
            <w:rPr>
              <w:rFonts w:ascii="Arial" w:hAnsi="Arial" w:cs="Arial"/>
              <w:sz w:val="22"/>
            </w:rPr>
          </w:pPr>
          <w:r w:rsidRPr="003A4E61">
            <w:rPr>
              <w:rFonts w:ascii="Arial" w:hAnsi="Arial" w:cs="Arial"/>
              <w:sz w:val="22"/>
            </w:rPr>
            <w:t xml:space="preserve">New Haven CT 06520-8327                   </w:t>
          </w:r>
        </w:p>
      </w:tc>
      <w:tc>
        <w:tcPr>
          <w:tcW w:w="4588" w:type="dxa"/>
        </w:tcPr>
        <w:p w14:paraId="184D02A0" w14:textId="77777777" w:rsidR="003A4E61" w:rsidRPr="003A4E61" w:rsidRDefault="0058291D" w:rsidP="003A4E61">
          <w:pPr>
            <w:pStyle w:val="Header"/>
            <w:tabs>
              <w:tab w:val="left" w:pos="1750"/>
            </w:tabs>
            <w:ind w:left="244"/>
            <w:rPr>
              <w:rFonts w:ascii="Arial" w:hAnsi="Arial" w:cs="Arial"/>
              <w:sz w:val="22"/>
            </w:rPr>
          </w:pPr>
        </w:p>
      </w:tc>
    </w:tr>
    <w:tr w:rsidR="00F31F48" w14:paraId="1DB967C2" w14:textId="77777777" w:rsidTr="00A82E24">
      <w:trPr>
        <w:trHeight w:val="288"/>
      </w:trPr>
      <w:tc>
        <w:tcPr>
          <w:tcW w:w="2258" w:type="dxa"/>
          <w:shd w:val="clear" w:color="auto" w:fill="auto"/>
        </w:tcPr>
        <w:p w14:paraId="5665CCFF" w14:textId="77777777" w:rsidR="003A4E61" w:rsidRPr="00185A3A" w:rsidRDefault="0058291D" w:rsidP="003A4E61">
          <w:pPr>
            <w:pStyle w:val="Header"/>
            <w:rPr>
              <w:sz w:val="22"/>
            </w:rPr>
          </w:pPr>
        </w:p>
      </w:tc>
      <w:tc>
        <w:tcPr>
          <w:tcW w:w="5734" w:type="dxa"/>
          <w:shd w:val="clear" w:color="auto" w:fill="auto"/>
        </w:tcPr>
        <w:p w14:paraId="1A762BBB" w14:textId="77777777" w:rsidR="003A4E61" w:rsidRPr="00185A3A" w:rsidRDefault="0058291D" w:rsidP="003A4E61">
          <w:pPr>
            <w:pStyle w:val="Header"/>
            <w:jc w:val="center"/>
            <w:rPr>
              <w:sz w:val="22"/>
            </w:rPr>
          </w:pPr>
        </w:p>
      </w:tc>
      <w:tc>
        <w:tcPr>
          <w:tcW w:w="4588" w:type="dxa"/>
        </w:tcPr>
        <w:p w14:paraId="42785749" w14:textId="77777777" w:rsidR="003A4E61" w:rsidRPr="00185A3A" w:rsidRDefault="0058291D" w:rsidP="003A4E61">
          <w:pPr>
            <w:pStyle w:val="Header"/>
            <w:rPr>
              <w:sz w:val="22"/>
            </w:rPr>
          </w:pPr>
        </w:p>
      </w:tc>
    </w:tr>
  </w:tbl>
  <w:p w14:paraId="6CCE47F4" w14:textId="77777777" w:rsidR="00636D0B" w:rsidRDefault="00582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212C5207"/>
    <w:multiLevelType w:val="hybridMultilevel"/>
    <w:tmpl w:val="571891A6"/>
    <w:lvl w:ilvl="0" w:tplc="CBB2F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289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66B9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07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CA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E27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A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283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4C9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05C1"/>
    <w:multiLevelType w:val="hybridMultilevel"/>
    <w:tmpl w:val="CD745830"/>
    <w:lvl w:ilvl="0" w:tplc="D04692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2F0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A0631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149C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EFAD9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AF043F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8EA2E8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708D3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E86AD3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C05D6"/>
    <w:multiLevelType w:val="hybridMultilevel"/>
    <w:tmpl w:val="0EAC33AC"/>
    <w:lvl w:ilvl="0" w:tplc="0A68B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057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EE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8DA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8A7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2C19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A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02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7E3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6EC0"/>
    <w:multiLevelType w:val="hybridMultilevel"/>
    <w:tmpl w:val="2BC6D1E4"/>
    <w:lvl w:ilvl="0" w:tplc="5FBAF3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A07B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CF069C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C5E144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C499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ED33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36E9C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7AF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BA168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23CBF"/>
    <w:multiLevelType w:val="hybridMultilevel"/>
    <w:tmpl w:val="474A3262"/>
    <w:lvl w:ilvl="0" w:tplc="3FBEA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609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C0B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57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4B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6E6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03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C8F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E6F8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4044"/>
    <w:multiLevelType w:val="hybridMultilevel"/>
    <w:tmpl w:val="6D8E6DB6"/>
    <w:lvl w:ilvl="0" w:tplc="D3CE26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956F1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DBB41B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F08C3C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0A22FA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647420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A261C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4EEED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A516DA0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DB2D93"/>
    <w:multiLevelType w:val="hybridMultilevel"/>
    <w:tmpl w:val="16B6BD82"/>
    <w:lvl w:ilvl="0" w:tplc="F9AAA8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444E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007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FE83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43A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A08F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74D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50BE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A05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48"/>
    <w:rsid w:val="002D1A19"/>
    <w:rsid w:val="0058291D"/>
    <w:rsid w:val="00F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D9D99"/>
  <w15:docId w15:val="{76184350-CA3C-6A4D-A5A3-640950A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49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497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4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01E8C"/>
    <w:rPr>
      <w:sz w:val="20"/>
      <w:szCs w:val="20"/>
    </w:rPr>
  </w:style>
  <w:style w:type="character" w:styleId="FootnoteReference">
    <w:name w:val="footnote reference"/>
    <w:semiHidden/>
    <w:rsid w:val="00601E8C"/>
    <w:rPr>
      <w:vertAlign w:val="superscript"/>
    </w:rPr>
  </w:style>
  <w:style w:type="character" w:styleId="Hyperlink">
    <w:name w:val="Hyperlink"/>
    <w:rsid w:val="00B0602E"/>
    <w:rPr>
      <w:color w:val="0000FF"/>
      <w:u w:val="single"/>
    </w:rPr>
  </w:style>
  <w:style w:type="character" w:styleId="PageNumber">
    <w:name w:val="page number"/>
    <w:basedOn w:val="DefaultParagraphFont"/>
    <w:rsid w:val="00DF763E"/>
  </w:style>
  <w:style w:type="paragraph" w:customStyle="1" w:styleId="ChecklistFooter">
    <w:name w:val="Checklist Footer"/>
    <w:basedOn w:val="Normal"/>
    <w:rsid w:val="00C46B59"/>
    <w:pPr>
      <w:jc w:val="center"/>
    </w:pPr>
    <w:rPr>
      <w:rFonts w:ascii="Arial Narrow" w:hAnsi="Arial Narrow"/>
      <w:sz w:val="18"/>
    </w:rPr>
  </w:style>
  <w:style w:type="paragraph" w:customStyle="1" w:styleId="SOPFooter">
    <w:name w:val="SOP Footer"/>
    <w:basedOn w:val="Normal"/>
    <w:rsid w:val="00CC2010"/>
    <w:pPr>
      <w:jc w:val="center"/>
    </w:pPr>
    <w:rPr>
      <w:rFonts w:ascii="Arial" w:hAnsi="Arial" w:cs="Tahoma"/>
      <w:sz w:val="18"/>
      <w:szCs w:val="20"/>
    </w:rPr>
  </w:style>
  <w:style w:type="character" w:customStyle="1" w:styleId="FooterChar">
    <w:name w:val="Footer Char"/>
    <w:link w:val="Footer"/>
    <w:locked/>
    <w:rsid w:val="0004705F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461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185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636D0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le.edu/hrpp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le.edu/hrpp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LETTER: Approval of Protocol</vt:lpstr>
    </vt:vector>
  </TitlesOfParts>
  <Manager>Stuart Horowitz, PhD, MBA, CHRC</Manager>
  <Company>Huron Consulting Group, Inc.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LETTER: Approval of Protocol</dc:title>
  <dc:subject>Huron HRPP ToolKit</dc:subject>
  <dc:creator>Jeffrey A. Cooper, MD, MMM</dc:creator>
  <cp:keywords>Huron, HRPP, SOP</cp:keywords>
  <dc:description>©2009-2011 Huron Consulting Services, LLC. Use and distribution subject to End User License Agreement at http://www.huronconsultinggroup.com/SOP</dc:description>
  <cp:lastModifiedBy>Hortense Fong</cp:lastModifiedBy>
  <cp:revision>2</cp:revision>
  <dcterms:created xsi:type="dcterms:W3CDTF">2021-04-09T19:05:00Z</dcterms:created>
  <dcterms:modified xsi:type="dcterms:W3CDTF">2021-04-09T19:05:00Z</dcterms:modified>
  <cp:category>TEMPLATE LETTER</cp:category>
</cp:coreProperties>
</file>