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6" w:color="CEB888"/>
        </w:pBdr>
        <w:spacing w:before="0" w:after="60"/>
        <w:jc w:val="center"/>
        <w:rPr/>
      </w:pPr>
      <w:r>
        <w:rPr>
          <w:rFonts w:eastAsia="Arial"/>
          <w:b/>
          <w:bCs/>
          <w:color w:val="000000"/>
          <w:sz w:val="32"/>
          <w:szCs w:val="32"/>
        </w:rPr>
        <w:t>MKTG 68900</w:t>
      </w:r>
    </w:p>
    <w:p>
      <w:pPr>
        <w:pStyle w:val="Normal"/>
        <w:spacing w:before="0" w:after="40"/>
        <w:jc w:val="center"/>
        <w:rPr/>
      </w:pPr>
      <w:r>
        <w:rPr>
          <w:rFonts w:eastAsia="Arial"/>
          <w:b/>
          <w:bCs/>
          <w:color w:val="8E6F3E"/>
          <w:sz w:val="28"/>
          <w:szCs w:val="28"/>
        </w:rPr>
        <w:t>Artificial Intelligence: Strategy and Marketing</w:t>
      </w:r>
    </w:p>
    <w:p>
      <w:pPr>
        <w:pStyle w:val="Normal"/>
        <w:spacing w:before="0" w:after="200"/>
        <w:jc w:val="center"/>
        <w:rPr/>
      </w:pPr>
      <w:r>
        <w:rPr>
          <w:rFonts w:eastAsia="Arial"/>
          <w:color w:val="666666"/>
          <w:sz w:val="20"/>
          <w:szCs w:val="20"/>
        </w:rPr>
        <w:t>Spring 2027  |  2.0 Credit Hours  |  8 Weeks (First Half Semester)  |  Purdue West Lafayette</w:t>
      </w:r>
    </w:p>
    <w:p>
      <w:pPr>
        <w:pStyle w:val="Heading3"/>
        <w:spacing w:before="240" w:after="120"/>
        <w:rPr/>
      </w:pPr>
      <w:r>
        <w:rPr/>
        <w:t>Course Information</w:t>
      </w:r>
    </w:p>
    <w:tbl>
      <w:tblPr>
        <w:tblW w:w="9360" w:type="dxa"/>
        <w:jc w:val="start"/>
        <w:tblInd w:w="0" w:type="dxa"/>
        <w:tblLayout w:type="fixed"/>
        <w:tblCellMar>
          <w:top w:w="80" w:type="dxa"/>
          <w:start w:w="120" w:type="dxa"/>
          <w:bottom w:w="80" w:type="dxa"/>
          <w:end w:w="120" w:type="dxa"/>
        </w:tblCellMar>
        <w:tblLook w:noHBand="0" w:lastColumn="0" w:firstColumn="0" w:lastRow="0" w:firstRow="0" w:noVBand="0" w:val="0000"/>
      </w:tblPr>
      <w:tblGrid>
        <w:gridCol w:w="3200"/>
        <w:gridCol w:w="6160"/>
      </w:tblGrid>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Course Number</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MKTG 68900</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Course Title</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Artificial Intelligence: Strategy and Marketing</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Term and Year</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Spring 2027 (First 8 Weeks)</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Credit Hours</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2.0</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Meeting Time</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TBD — 2x per week, 75 minutes per class</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Location</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TBD</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Enrollment Capacity</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50</w:t>
            </w:r>
          </w:p>
        </w:tc>
      </w:tr>
    </w:tbl>
    <w:p>
      <w:pPr>
        <w:pStyle w:val="Heading3"/>
        <w:spacing w:before="240" w:after="120"/>
        <w:rPr/>
      </w:pPr>
      <w:r>
        <w:rPr/>
        <w:t>Contact Information</w:t>
      </w:r>
    </w:p>
    <w:tbl>
      <w:tblPr>
        <w:tblW w:w="9360" w:type="dxa"/>
        <w:jc w:val="start"/>
        <w:tblInd w:w="0" w:type="dxa"/>
        <w:tblLayout w:type="fixed"/>
        <w:tblCellMar>
          <w:top w:w="80" w:type="dxa"/>
          <w:start w:w="120" w:type="dxa"/>
          <w:bottom w:w="80" w:type="dxa"/>
          <w:end w:w="120" w:type="dxa"/>
        </w:tblCellMar>
        <w:tblLook w:noHBand="0" w:lastColumn="0" w:firstColumn="0" w:lastRow="0" w:firstRow="0" w:noVBand="0" w:val="0000"/>
      </w:tblPr>
      <w:tblGrid>
        <w:gridCol w:w="3200"/>
        <w:gridCol w:w="6160"/>
      </w:tblGrid>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Instructor</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Vineet Kumar</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Office Location</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TBD</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E-mail Address</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TBD</w:t>
            </w:r>
          </w:p>
        </w:tc>
      </w:tr>
      <w:tr>
        <w:trPr/>
        <w:tc>
          <w:tcPr>
            <w:tcW w:w="3200" w:type="dxa"/>
            <w:tcBorders>
              <w:top w:val="single" w:sz="2" w:space="0" w:color="BBBBBB"/>
              <w:start w:val="single" w:sz="2" w:space="0" w:color="BBBBBB"/>
              <w:bottom w:val="single" w:sz="2" w:space="0" w:color="BBBBBB"/>
              <w:end w:val="single" w:sz="2" w:space="0" w:color="BBBBBB"/>
            </w:tcBorders>
            <w:shd w:color="auto" w:fill="F5F2EB" w:val="clear"/>
          </w:tcPr>
          <w:p>
            <w:pPr>
              <w:pStyle w:val="Normal"/>
              <w:rPr/>
            </w:pPr>
            <w:r>
              <w:rPr>
                <w:rFonts w:eastAsia="Arial"/>
                <w:b/>
                <w:bCs/>
                <w:sz w:val="20"/>
                <w:szCs w:val="20"/>
              </w:rPr>
              <w:t>Office Hours</w:t>
            </w:r>
          </w:p>
        </w:tc>
        <w:tc>
          <w:tcPr>
            <w:tcW w:w="61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By Appointment (e-mail instructor)</w:t>
            </w:r>
          </w:p>
        </w:tc>
      </w:tr>
    </w:tbl>
    <w:p>
      <w:pPr>
        <w:pStyle w:val="Heading3"/>
        <w:spacing w:before="240" w:after="120"/>
        <w:rPr/>
      </w:pPr>
      <w:r>
        <w:rPr/>
        <w:t>Course Description</w:t>
      </w:r>
    </w:p>
    <w:p>
      <w:pPr>
        <w:pStyle w:val="Normal"/>
        <w:spacing w:lineRule="auto" w:line="276" w:before="0" w:after="120"/>
        <w:rPr/>
      </w:pPr>
      <w:r>
        <w:rPr>
          <w:rFonts w:eastAsia="Arial"/>
          <w:sz w:val="20"/>
          <w:szCs w:val="20"/>
        </w:rPr>
        <w:t>Artificial Intelligence is a general-purpose technology which has the potential to transform many aspects of business and society. In business, the impact ranges from commonplace predictive improvements at one end of the spectrum to opportunities for creating entirely new markets at the other. As background, the course will briefly introduce students to Artificial Intelligence / Machine Learning methods comprising of Unsupervised, Supervised, Reinforcement and Generative models. However, the course will focus more on predictive AI than generative AI. Through a combination of lectures and case studies, we will learn how to integrate AI into decision making, focusing on the strategic choices firms face in developing and using AI / ML, including generative AI. We will seek to understand how consumers, decision-makers and other stakeholders evaluate decisions made by AI systems and are impacted by it. We will examine the state-of-the-art in explainable and interpretable AI, which aim to make black-box decisions more transparent. Finally, the course will also explore issues at the intersection of AI and Society including fairness and bias, which have proved especially challenging to address.</w:t>
      </w:r>
    </w:p>
    <w:p>
      <w:pPr>
        <w:pStyle w:val="Normal"/>
        <w:spacing w:lineRule="auto" w:line="276" w:before="0" w:after="120"/>
        <w:rPr/>
      </w:pPr>
      <w:r>
        <w:rPr>
          <w:rFonts w:eastAsia="Arial"/>
          <w:b/>
          <w:bCs/>
          <w:sz w:val="20"/>
          <w:szCs w:val="20"/>
        </w:rPr>
        <w:t xml:space="preserve">Note: This is NOT a computer science or ML course. </w:t>
      </w:r>
      <w:r>
        <w:rPr>
          <w:rFonts w:eastAsia="Arial"/>
          <w:sz w:val="20"/>
          <w:szCs w:val="20"/>
        </w:rPr>
        <w:t>We will briefly review selected ML algorithms; however, we will not have a comprehensive or in-depth examination of how these algorithms work.</w:t>
      </w:r>
    </w:p>
    <w:p>
      <w:pPr>
        <w:pStyle w:val="Heading3"/>
        <w:spacing w:before="240" w:after="120"/>
        <w:rPr/>
      </w:pPr>
      <w:r>
        <w:rPr/>
        <w:t>Course Objectives</w:t>
      </w:r>
    </w:p>
    <w:p>
      <w:pPr>
        <w:pStyle w:val="Normal"/>
        <w:spacing w:lineRule="auto" w:line="276" w:before="0" w:after="80"/>
        <w:rPr/>
      </w:pPr>
      <w:r>
        <w:rPr>
          <w:rFonts w:eastAsia="Arial"/>
          <w:sz w:val="20"/>
          <w:szCs w:val="20"/>
        </w:rPr>
        <w:t>The course is designed to provide a strategic perspective on AI technologies. A student who completes the course successfully should be able to:</w:t>
      </w:r>
    </w:p>
    <w:p>
      <w:pPr>
        <w:pStyle w:val="ListParagraph"/>
        <w:numPr>
          <w:ilvl w:val="0"/>
          <w:numId w:val="1"/>
        </w:numPr>
        <w:spacing w:lineRule="auto" w:line="276" w:before="0" w:after="60"/>
        <w:rPr>
          <w:rFonts w:eastAsia="Arial"/>
          <w:sz w:val="20"/>
          <w:szCs w:val="20"/>
        </w:rPr>
      </w:pPr>
      <w:r>
        <w:rPr>
          <w:rFonts w:eastAsia="Arial"/>
          <w:sz w:val="20"/>
          <w:szCs w:val="20"/>
        </w:rPr>
        <w:t>Explain the basic building blocks of AI and ML models (data, algorithms, outputs)</w:t>
      </w:r>
    </w:p>
    <w:p>
      <w:pPr>
        <w:pStyle w:val="ListParagraph"/>
        <w:numPr>
          <w:ilvl w:val="0"/>
          <w:numId w:val="1"/>
        </w:numPr>
        <w:spacing w:lineRule="auto" w:line="276" w:before="0" w:after="60"/>
        <w:rPr>
          <w:rFonts w:eastAsia="Arial"/>
          <w:sz w:val="20"/>
          <w:szCs w:val="20"/>
        </w:rPr>
      </w:pPr>
      <w:r>
        <w:rPr>
          <w:rFonts w:eastAsia="Arial"/>
          <w:sz w:val="20"/>
          <w:szCs w:val="20"/>
        </w:rPr>
        <w:t>Develop AI-based objectives based on business or societal objectives</w:t>
      </w:r>
    </w:p>
    <w:p>
      <w:pPr>
        <w:pStyle w:val="ListParagraph"/>
        <w:numPr>
          <w:ilvl w:val="0"/>
          <w:numId w:val="1"/>
        </w:numPr>
        <w:spacing w:lineRule="auto" w:line="276" w:before="0" w:after="60"/>
        <w:rPr>
          <w:rFonts w:eastAsia="Arial"/>
          <w:sz w:val="20"/>
          <w:szCs w:val="20"/>
        </w:rPr>
      </w:pPr>
      <w:r>
        <w:rPr>
          <w:rFonts w:eastAsia="Arial"/>
          <w:sz w:val="20"/>
          <w:szCs w:val="20"/>
        </w:rPr>
        <w:t>Use the course framework for decisions with AI / ML to determine decision boundaries</w:t>
      </w:r>
    </w:p>
    <w:p>
      <w:pPr>
        <w:pStyle w:val="ListParagraph"/>
        <w:numPr>
          <w:ilvl w:val="0"/>
          <w:numId w:val="1"/>
        </w:numPr>
        <w:spacing w:lineRule="auto" w:line="276" w:before="0" w:after="60"/>
        <w:rPr>
          <w:rFonts w:eastAsia="Arial"/>
          <w:sz w:val="20"/>
          <w:szCs w:val="20"/>
        </w:rPr>
      </w:pPr>
      <w:r>
        <w:rPr>
          <w:rFonts w:eastAsia="Arial"/>
          <w:sz w:val="20"/>
          <w:szCs w:val="20"/>
        </w:rPr>
        <w:t>Formulate an AI strategy along with the resources and organizational support required to implement it</w:t>
      </w:r>
    </w:p>
    <w:p>
      <w:pPr>
        <w:pStyle w:val="ListParagraph"/>
        <w:numPr>
          <w:ilvl w:val="0"/>
          <w:numId w:val="1"/>
        </w:numPr>
        <w:spacing w:lineRule="auto" w:line="276" w:before="0" w:after="60"/>
        <w:rPr>
          <w:rFonts w:eastAsia="Arial"/>
          <w:sz w:val="20"/>
          <w:szCs w:val="20"/>
        </w:rPr>
      </w:pPr>
      <w:r>
        <w:rPr>
          <w:rFonts w:eastAsia="Arial"/>
          <w:sz w:val="20"/>
          <w:szCs w:val="20"/>
        </w:rPr>
        <w:t>Evaluate the broader societal implications of AI, and how different stakeholders (consumers, employees, firms, regulators, investors and others) are impacted by AI</w:t>
      </w:r>
    </w:p>
    <w:p>
      <w:pPr>
        <w:pStyle w:val="Heading3"/>
        <w:spacing w:before="240" w:after="120"/>
        <w:rPr/>
      </w:pPr>
      <w:r>
        <w:rPr/>
        <w:t>Course Materials</w:t>
      </w:r>
    </w:p>
    <w:p>
      <w:pPr>
        <w:pStyle w:val="ListParagraph"/>
        <w:numPr>
          <w:ilvl w:val="0"/>
          <w:numId w:val="1"/>
        </w:numPr>
        <w:spacing w:lineRule="auto" w:line="276" w:before="0" w:after="60"/>
        <w:rPr/>
      </w:pPr>
      <w:r>
        <w:rPr>
          <w:rFonts w:eastAsia="Arial"/>
          <w:b/>
          <w:bCs/>
          <w:sz w:val="20"/>
          <w:szCs w:val="20"/>
        </w:rPr>
        <w:t xml:space="preserve">Textbook(s): </w:t>
      </w:r>
      <w:r>
        <w:rPr>
          <w:rFonts w:eastAsia="Arial"/>
          <w:sz w:val="20"/>
          <w:szCs w:val="20"/>
        </w:rPr>
        <w:t>None required. Instructor will provide required book chapters and readings via Brightspace.</w:t>
      </w:r>
    </w:p>
    <w:p>
      <w:pPr>
        <w:pStyle w:val="ListParagraph"/>
        <w:numPr>
          <w:ilvl w:val="0"/>
          <w:numId w:val="1"/>
        </w:numPr>
        <w:spacing w:lineRule="auto" w:line="276" w:before="0" w:after="60"/>
        <w:rPr/>
      </w:pPr>
      <w:r>
        <w:rPr>
          <w:rFonts w:eastAsia="Arial"/>
          <w:b/>
          <w:bCs/>
          <w:sz w:val="20"/>
          <w:szCs w:val="20"/>
        </w:rPr>
        <w:t xml:space="preserve">Readings: </w:t>
      </w:r>
      <w:r>
        <w:rPr>
          <w:rFonts w:eastAsia="Arial"/>
          <w:sz w:val="20"/>
          <w:szCs w:val="20"/>
        </w:rPr>
        <w:t>See Outline of Class Sessions. Cases and academic papers will be posted on Brightspace.</w:t>
      </w:r>
    </w:p>
    <w:p>
      <w:pPr>
        <w:pStyle w:val="ListParagraph"/>
        <w:numPr>
          <w:ilvl w:val="0"/>
          <w:numId w:val="1"/>
        </w:numPr>
        <w:spacing w:lineRule="auto" w:line="276" w:before="0" w:after="60"/>
        <w:rPr/>
      </w:pPr>
      <w:r>
        <w:rPr>
          <w:rFonts w:eastAsia="Arial"/>
          <w:b/>
          <w:bCs/>
          <w:sz w:val="20"/>
          <w:szCs w:val="20"/>
        </w:rPr>
        <w:t xml:space="preserve">Software: </w:t>
      </w:r>
      <w:r>
        <w:rPr>
          <w:rFonts w:eastAsia="Arial"/>
          <w:sz w:val="20"/>
          <w:szCs w:val="20"/>
        </w:rPr>
        <w:t>R or Python (or another language) may be used for assignments and projects if needed. Code will be provided for students to explore, comment on, and potentially modify.</w:t>
      </w:r>
    </w:p>
    <w:p>
      <w:pPr>
        <w:pStyle w:val="Heading3"/>
        <w:rPr>
          <w:rFonts w:eastAsia="" w:eastAsiaTheme="minorEastAsia"/>
        </w:rPr>
      </w:pPr>
      <w:r>
        <w:rPr>
          <w:rFonts w:hint="eastAsia"/>
        </w:rPr>
        <w:t>Course Readings</w:t>
      </w:r>
    </w:p>
    <w:p>
      <w:pPr>
        <w:pStyle w:val="Normal"/>
        <w:rPr/>
      </w:pPr>
      <w:r>
        <w:rPr/>
        <w:t xml:space="preserve">Readings available only on </w:t>
      </w:r>
      <w:r>
        <w:rPr>
          <w:rFonts w:hint="eastAsia"/>
        </w:rPr>
        <w:t xml:space="preserve">course website </w:t>
      </w:r>
      <w:r>
        <w:rPr/>
        <w:t>are marked with a (*).</w:t>
      </w:r>
    </w:p>
    <w:p>
      <w:pPr>
        <w:pStyle w:val="Normal"/>
        <w:rPr>
          <w:rFonts w:hint="eastAsia"/>
        </w:rPr>
      </w:pPr>
      <w:r>
        <w:rPr>
          <w:rFonts w:hint="eastAsia"/>
        </w:rPr>
      </w:r>
    </w:p>
    <w:p>
      <w:pPr>
        <w:pStyle w:val="Normal"/>
        <w:spacing w:lineRule="auto" w:line="276" w:before="0" w:after="60"/>
        <w:rPr>
          <w:b/>
          <w:bCs/>
        </w:rPr>
      </w:pPr>
      <w:r>
        <w:rPr>
          <w:b/>
          <w:bCs/>
        </w:rPr>
        <w:t>Session 1: Introduction</w:t>
      </w:r>
    </w:p>
    <w:p>
      <w:pPr>
        <w:pStyle w:val="Normal"/>
        <w:spacing w:lineRule="auto" w:line="276" w:before="0" w:after="60"/>
        <w:rPr/>
      </w:pPr>
      <w:r>
        <w:rPr/>
        <w:t>Learning Material:</w:t>
      </w:r>
    </w:p>
    <w:p>
      <w:pPr>
        <w:pStyle w:val="Normal"/>
        <w:spacing w:lineRule="auto" w:line="276" w:before="0" w:after="60"/>
        <w:rPr/>
      </w:pPr>
      <w:r>
        <w:rPr/>
        <w:t>(a) (*) The Business of AI, by E. Brynjolfsson and A. McAfee, HBR</w:t>
      </w:r>
    </w:p>
    <w:p>
      <w:pPr>
        <w:pStyle w:val="Normal"/>
        <w:spacing w:lineRule="auto" w:line="276" w:before="0" w:after="60"/>
        <w:rPr/>
      </w:pPr>
      <w:r>
        <w:rPr/>
        <w:t>(b) (*) Artificial Intelligence for the Real World, T. Davenport; R. Ronanki, HBR</w:t>
      </w:r>
    </w:p>
    <w:p>
      <w:pPr>
        <w:pStyle w:val="Normal"/>
        <w:spacing w:lineRule="auto" w:line="276" w:before="0" w:after="60"/>
        <w:rPr/>
      </w:pPr>
      <w:r>
        <w:rPr/>
        <w:t>(c) (*) Competing in the age of AI, by M. Iansiti and K. R. Lakhani, HBR</w:t>
      </w:r>
    </w:p>
    <w:p>
      <w:pPr>
        <w:pStyle w:val="Normal"/>
        <w:spacing w:lineRule="auto" w:line="276" w:before="0" w:after="60"/>
        <w:rPr>
          <w:rFonts w:hint="eastAsia"/>
        </w:rPr>
      </w:pPr>
      <w:r>
        <w:rPr/>
        <w:t>(d)</w:t>
      </w:r>
      <w:hyperlink r:id="rId2">
        <w:r>
          <w:rPr>
            <w:rStyle w:val="Hyperlink"/>
          </w:rPr>
          <w:t xml:space="preserve"> An Executives Guide to AI</w:t>
        </w:r>
      </w:hyperlink>
      <w:r>
        <w:rPr/>
        <w:t>, by M. Chui, V. Kamalnath, and B. McCarthy, McKinsey &amp; Co.</w:t>
      </w:r>
    </w:p>
    <w:p>
      <w:pPr>
        <w:pStyle w:val="Normal"/>
        <w:spacing w:lineRule="auto" w:line="276" w:before="0" w:after="60"/>
        <w:rPr/>
      </w:pPr>
      <w:r>
        <w:rPr/>
        <w:t xml:space="preserve">(e) (Optional) </w:t>
      </w:r>
      <w:hyperlink r:id="rId3">
        <w:r>
          <w:rPr>
            <w:rStyle w:val="Hyperlink"/>
          </w:rPr>
          <w:t>The Building Blocks of an AI Strategy</w:t>
        </w:r>
      </w:hyperlink>
      <w:r>
        <w:rPr/>
        <w:t>, by A. Joshi and M. Wade, MIT Sloan</w:t>
      </w:r>
    </w:p>
    <w:p>
      <w:pPr>
        <w:pStyle w:val="Normal"/>
        <w:spacing w:lineRule="auto" w:line="276" w:before="0" w:after="60"/>
        <w:rPr/>
      </w:pPr>
      <w:r>
        <w:rPr/>
        <w:t>Review</w:t>
      </w:r>
    </w:p>
    <w:p>
      <w:pPr>
        <w:pStyle w:val="Normal"/>
        <w:spacing w:lineRule="auto" w:line="276" w:before="0" w:after="60"/>
        <w:rPr/>
      </w:pPr>
      <w:r>
        <w:rPr/>
        <w:t xml:space="preserve">(f) (Optional) </w:t>
      </w:r>
      <w:hyperlink r:id="rId4">
        <w:r>
          <w:rPr>
            <w:rStyle w:val="Hyperlink"/>
          </w:rPr>
          <w:t>The Building Blocks of Artificial Intelligence</w:t>
        </w:r>
      </w:hyperlink>
      <w:r>
        <w:rPr/>
        <w:t>, by P. Gerbert, M. Hecker, S. Steinh¨auser,</w:t>
      </w:r>
      <w:r>
        <w:rPr>
          <w:rFonts w:hint="eastAsia"/>
        </w:rPr>
        <w:t xml:space="preserve"> </w:t>
      </w:r>
      <w:r>
        <w:rPr/>
        <w:t>and P. Ruwolt</w:t>
      </w:r>
    </w:p>
    <w:p>
      <w:pPr>
        <w:pStyle w:val="Normal"/>
        <w:spacing w:lineRule="auto" w:line="276" w:before="0" w:after="60"/>
        <w:rPr>
          <w:b/>
          <w:bCs/>
        </w:rPr>
      </w:pPr>
      <w:r>
        <w:rPr>
          <w:b/>
          <w:bCs/>
        </w:rPr>
      </w:r>
    </w:p>
    <w:p>
      <w:pPr>
        <w:pStyle w:val="Normal"/>
        <w:spacing w:lineRule="auto" w:line="276" w:before="0" w:after="60"/>
        <w:rPr>
          <w:b/>
          <w:bCs/>
        </w:rPr>
      </w:pPr>
      <w:r>
        <w:rPr>
          <w:b/>
          <w:bCs/>
        </w:rPr>
        <w:t>Session 2: Supervised and Unsupervised Algorithms</w:t>
      </w:r>
    </w:p>
    <w:p>
      <w:pPr>
        <w:pStyle w:val="Normal"/>
        <w:spacing w:lineRule="auto" w:line="276" w:before="0" w:after="60"/>
        <w:rPr/>
      </w:pPr>
      <w:r>
        <w:rPr/>
        <w:t>Learning Material:</w:t>
      </w:r>
    </w:p>
    <w:p>
      <w:pPr>
        <w:pStyle w:val="Normal"/>
        <w:spacing w:lineRule="auto" w:line="276" w:before="0" w:after="60"/>
        <w:rPr/>
      </w:pPr>
      <w:r>
        <w:rPr/>
        <w:t xml:space="preserve">(a) </w:t>
      </w:r>
      <w:hyperlink r:id="rId5">
        <w:r>
          <w:rPr>
            <w:rStyle w:val="Hyperlink"/>
          </w:rPr>
          <w:t>A Concise Explanation of Learning Algorithms with the Mitchell Paradigm</w:t>
        </w:r>
      </w:hyperlink>
      <w:r>
        <w:rPr/>
        <w:t>.</w:t>
      </w:r>
    </w:p>
    <w:p>
      <w:pPr>
        <w:pStyle w:val="Normal"/>
        <w:spacing w:lineRule="auto" w:line="276" w:before="0" w:after="60"/>
        <w:rPr>
          <w:rFonts w:hint="eastAsia"/>
        </w:rPr>
      </w:pPr>
      <w:r>
        <w:rPr/>
        <w:t xml:space="preserve">(b) </w:t>
      </w:r>
      <w:hyperlink r:id="rId6">
        <w:r>
          <w:rPr>
            <w:rStyle w:val="Hyperlink"/>
          </w:rPr>
          <w:t>Introduction to Machine Learning and Problem Framing</w:t>
        </w:r>
      </w:hyperlink>
      <w:r>
        <w:rPr/>
        <w:t>.</w:t>
      </w:r>
    </w:p>
    <w:p>
      <w:pPr>
        <w:pStyle w:val="Normal"/>
        <w:spacing w:lineRule="auto" w:line="276" w:before="0" w:after="60"/>
        <w:rPr/>
      </w:pPr>
      <w:r>
        <w:rPr/>
        <w:t xml:space="preserve">(c) </w:t>
      </w:r>
      <w:hyperlink r:id="rId7">
        <w:r>
          <w:rPr>
            <w:rStyle w:val="Hyperlink"/>
          </w:rPr>
          <w:t>The Building Blocks of AI,</w:t>
        </w:r>
      </w:hyperlink>
      <w:r>
        <w:rPr/>
        <w:t xml:space="preserve"> by N. Shnoudeh.</w:t>
      </w:r>
    </w:p>
    <w:p>
      <w:pPr>
        <w:pStyle w:val="Normal"/>
        <w:spacing w:lineRule="auto" w:line="276" w:before="0" w:after="60"/>
        <w:rPr/>
      </w:pPr>
      <w:r>
        <w:rPr/>
        <w:t>(d) (*) Algorithms – Chapter 6 (Deep Learning), Panos Louridas, MIT Press (2020)</w:t>
      </w:r>
    </w:p>
    <w:p>
      <w:pPr>
        <w:pStyle w:val="Normal"/>
        <w:spacing w:lineRule="auto" w:line="276" w:before="0" w:after="60"/>
        <w:rPr/>
      </w:pPr>
      <w:r>
        <w:rPr/>
        <w:t xml:space="preserve">(e) </w:t>
      </w:r>
      <w:hyperlink r:id="rId8">
        <w:r>
          <w:rPr>
            <w:rStyle w:val="Hyperlink"/>
          </w:rPr>
          <w:t>Recall, Precision, F1, ROC, AUC, and everything</w:t>
        </w:r>
      </w:hyperlink>
      <w:r>
        <w:rPr/>
        <w:t>. By O. Shalev.</w:t>
      </w:r>
    </w:p>
    <w:p>
      <w:pPr>
        <w:pStyle w:val="Normal"/>
        <w:spacing w:lineRule="auto" w:line="276" w:before="0" w:after="60"/>
        <w:rPr>
          <w:rFonts w:hint="eastAsia"/>
        </w:rPr>
      </w:pPr>
      <w:r>
        <w:rPr/>
        <w:t xml:space="preserve">(f) (*) (Optional) </w:t>
      </w:r>
      <w:hyperlink r:id="rId9">
        <w:r>
          <w:rPr>
            <w:rStyle w:val="Hyperlink"/>
          </w:rPr>
          <w:t>Deep Learning – Book</w:t>
        </w:r>
      </w:hyperlink>
      <w:r>
        <w:rPr/>
        <w:t xml:space="preserve"> (Chapter 1 and 2). </w:t>
      </w:r>
    </w:p>
    <w:p>
      <w:pPr>
        <w:pStyle w:val="Normal"/>
        <w:spacing w:lineRule="auto" w:line="276" w:before="0" w:after="60"/>
        <w:rPr/>
      </w:pPr>
      <w:r>
        <w:rPr/>
        <w:t xml:space="preserve">(g) (Optional, read after class) </w:t>
      </w:r>
      <w:hyperlink r:id="rId10">
        <w:r>
          <w:rPr>
            <w:rStyle w:val="Hyperlink"/>
          </w:rPr>
          <w:t>Evaluating a Machine Learning Model</w:t>
        </w:r>
      </w:hyperlink>
      <w:r>
        <w:rPr/>
        <w:t>, by J. Jordan.</w:t>
      </w:r>
    </w:p>
    <w:p>
      <w:pPr>
        <w:pStyle w:val="Normal"/>
        <w:spacing w:lineRule="auto" w:line="276" w:before="0" w:after="60"/>
        <w:rPr>
          <w:b/>
          <w:bCs/>
        </w:rPr>
      </w:pPr>
      <w:r>
        <w:rPr>
          <w:b/>
          <w:bCs/>
        </w:rPr>
      </w:r>
    </w:p>
    <w:p>
      <w:pPr>
        <w:pStyle w:val="Normal"/>
        <w:spacing w:lineRule="auto" w:line="276" w:before="0" w:after="60"/>
        <w:rPr>
          <w:b/>
          <w:bCs/>
        </w:rPr>
      </w:pPr>
      <w:r>
        <w:rPr>
          <w:b/>
          <w:bCs/>
        </w:rPr>
        <w:t>Session 3: Generative Models and Reinforcement Learning</w:t>
      </w:r>
    </w:p>
    <w:p>
      <w:pPr>
        <w:pStyle w:val="Normal"/>
        <w:spacing w:lineRule="auto" w:line="276" w:before="0" w:after="60"/>
        <w:rPr/>
      </w:pPr>
      <w:r>
        <w:rPr/>
        <w:t>There are some technical learning materials below. I’d suggest you skim through</w:t>
      </w:r>
    </w:p>
    <w:p>
      <w:pPr>
        <w:pStyle w:val="Normal"/>
        <w:spacing w:lineRule="auto" w:line="276" w:before="0" w:after="60"/>
        <w:rPr/>
      </w:pPr>
      <w:r>
        <w:rPr/>
        <w:t>these, it’s perfectly ok if you do not follow the details.</w:t>
      </w:r>
    </w:p>
    <w:p>
      <w:pPr>
        <w:pStyle w:val="Normal"/>
        <w:spacing w:lineRule="auto" w:line="276" w:before="0" w:after="60"/>
        <w:rPr/>
      </w:pPr>
      <w:r>
        <w:rPr/>
        <w:t>Learning Material:</w:t>
      </w:r>
    </w:p>
    <w:p>
      <w:pPr>
        <w:pStyle w:val="Normal"/>
        <w:spacing w:lineRule="auto" w:line="276" w:before="0" w:after="60"/>
        <w:rPr>
          <w:rFonts w:hint="eastAsia"/>
        </w:rPr>
      </w:pPr>
      <w:r>
        <w:rPr/>
        <w:t xml:space="preserve">(a) </w:t>
      </w:r>
      <w:hyperlink r:id="rId11">
        <w:r>
          <w:rPr>
            <w:rStyle w:val="Hyperlink"/>
          </w:rPr>
          <w:t>Reinforcement Learning Made Simple – Part 1</w:t>
        </w:r>
      </w:hyperlink>
      <w:r>
        <w:rPr/>
        <w:t>. By Ketan Doshi. Towards Data Science.</w:t>
      </w:r>
    </w:p>
    <w:p>
      <w:pPr>
        <w:pStyle w:val="Normal"/>
        <w:spacing w:lineRule="auto" w:line="276" w:before="0" w:after="60"/>
        <w:rPr/>
      </w:pPr>
      <w:r>
        <w:rPr/>
        <w:t>(b) (Read Chapter 1, only parts 1.1 to 1.4) Book Chapter from Reinforcement Learning by, R.</w:t>
      </w:r>
    </w:p>
    <w:p>
      <w:pPr>
        <w:pStyle w:val="Normal"/>
        <w:spacing w:lineRule="auto" w:line="276" w:before="0" w:after="60"/>
        <w:rPr>
          <w:rFonts w:hint="eastAsia"/>
        </w:rPr>
      </w:pPr>
      <w:r>
        <w:rPr/>
        <w:t xml:space="preserve">Sutton and A. Barto, available online </w:t>
      </w:r>
      <w:hyperlink r:id="rId12">
        <w:r>
          <w:rPr>
            <w:rStyle w:val="Hyperlink"/>
          </w:rPr>
          <w:t>here</w:t>
        </w:r>
      </w:hyperlink>
      <w:r>
        <w:rPr>
          <w:rFonts w:hint="eastAsia"/>
        </w:rPr>
        <w:t>.</w:t>
      </w:r>
    </w:p>
    <w:p>
      <w:pPr>
        <w:pStyle w:val="Normal"/>
        <w:spacing w:lineRule="auto" w:line="276" w:before="0" w:after="60"/>
        <w:rPr/>
      </w:pPr>
      <w:r>
        <w:rPr/>
        <w:t>(c)</w:t>
      </w:r>
      <w:hyperlink r:id="rId13">
        <w:r>
          <w:rPr>
            <w:rStyle w:val="Hyperlink"/>
          </w:rPr>
          <w:t xml:space="preserve"> Reinforcement Learning in business: A sneak-peak on the applications of one the most promising AI methods</w:t>
        </w:r>
      </w:hyperlink>
      <w:r>
        <w:rPr/>
        <w:t>. By Cinelli. (2023)</w:t>
      </w:r>
      <w:r>
        <w:rPr>
          <w:rFonts w:hint="eastAsia"/>
        </w:rPr>
        <w:t xml:space="preserve">. </w:t>
      </w:r>
      <w:r>
        <w:rPr/>
        <w:t>Last Updated: 04/15/2026</w:t>
      </w:r>
    </w:p>
    <w:p>
      <w:pPr>
        <w:pStyle w:val="Normal"/>
        <w:spacing w:lineRule="auto" w:line="276" w:before="0" w:after="60"/>
        <w:rPr/>
      </w:pPr>
      <w:r>
        <w:rPr/>
        <w:t xml:space="preserve">(d) </w:t>
      </w:r>
      <w:hyperlink r:id="rId14">
        <w:r>
          <w:rPr>
            <w:rStyle w:val="Hyperlink"/>
          </w:rPr>
          <w:t>It’s time for businesses to chart a course for reinforcement learning</w:t>
        </w:r>
      </w:hyperlink>
      <w:r>
        <w:rPr/>
        <w:t>. By, J. Corbo, O. Fleming,</w:t>
      </w:r>
      <w:r>
        <w:rPr>
          <w:rFonts w:hint="eastAsia"/>
        </w:rPr>
        <w:t xml:space="preserve"> </w:t>
      </w:r>
      <w:r>
        <w:rPr/>
        <w:t>and N. Hohn, McKinsey &amp; Co.</w:t>
      </w:r>
    </w:p>
    <w:p>
      <w:pPr>
        <w:pStyle w:val="Normal"/>
        <w:spacing w:lineRule="auto" w:line="276" w:before="0" w:after="60"/>
        <w:rPr/>
      </w:pPr>
      <w:r>
        <w:rPr/>
        <w:t>(e) (*) Algorithms – Chapter 6 (Deep Learning), Panos Louridas, MIT Press (2020)</w:t>
      </w:r>
    </w:p>
    <w:p>
      <w:pPr>
        <w:pStyle w:val="Normal"/>
        <w:spacing w:lineRule="auto" w:line="276" w:before="0" w:after="60"/>
        <w:rPr/>
      </w:pPr>
      <w:r>
        <w:rPr/>
        <w:t xml:space="preserve">(f) </w:t>
      </w:r>
      <w:hyperlink r:id="rId15">
        <w:r>
          <w:rPr>
            <w:rStyle w:val="Hyperlink"/>
          </w:rPr>
          <w:t>What is a Generative Model</w:t>
        </w:r>
      </w:hyperlink>
      <w:r>
        <w:rPr/>
        <w:t>?</w:t>
      </w:r>
    </w:p>
    <w:p>
      <w:pPr>
        <w:pStyle w:val="Normal"/>
        <w:spacing w:lineRule="auto" w:line="276" w:before="0" w:after="60"/>
        <w:rPr/>
      </w:pPr>
      <w:r>
        <w:rPr/>
        <w:t xml:space="preserve">(g) (Technical, Optional) </w:t>
      </w:r>
      <w:hyperlink r:id="rId16">
        <w:r>
          <w:rPr>
            <w:rStyle w:val="Hyperlink"/>
          </w:rPr>
          <w:t>Large Language Models (1-hour talk)</w:t>
        </w:r>
      </w:hyperlink>
      <w:r>
        <w:rPr/>
        <w:t>. A. Karpathy.</w:t>
      </w:r>
    </w:p>
    <w:p>
      <w:pPr>
        <w:pStyle w:val="Normal"/>
        <w:spacing w:lineRule="auto" w:line="276" w:before="0" w:after="60"/>
        <w:rPr>
          <w:rStyle w:val="Hyperlink"/>
        </w:rPr>
      </w:pPr>
      <w:r>
        <w:rPr/>
        <w:t xml:space="preserve">(h) (Optional, Read after class) </w:t>
      </w:r>
      <w:hyperlink r:id="rId17">
        <w:r>
          <w:rPr>
            <w:rStyle w:val="Hyperlink"/>
          </w:rPr>
          <w:t>A generative AI reset: Rewiring to turn potential into value in</w:t>
        </w:r>
      </w:hyperlink>
    </w:p>
    <w:p>
      <w:pPr>
        <w:pStyle w:val="Normal"/>
        <w:spacing w:lineRule="auto" w:line="276" w:before="0" w:after="60"/>
        <w:rPr/>
      </w:pPr>
      <w:hyperlink r:id="rId18">
        <w:r>
          <w:rPr>
            <w:rStyle w:val="Hyperlink"/>
          </w:rPr>
          <w:t>2024</w:t>
        </w:r>
      </w:hyperlink>
      <w:r>
        <w:rPr/>
        <w:t>. By Eric Lamarre, Alex Singla, Alexander Sukharevsky, and Rodney Zemmel. McKinsey</w:t>
      </w:r>
    </w:p>
    <w:p>
      <w:pPr>
        <w:pStyle w:val="Normal"/>
        <w:spacing w:lineRule="auto" w:line="276" w:before="0" w:after="60"/>
        <w:rPr/>
      </w:pPr>
      <w:r>
        <w:rPr/>
        <w:t>Quarterly (2024)</w:t>
      </w:r>
    </w:p>
    <w:p>
      <w:pPr>
        <w:pStyle w:val="Normal"/>
        <w:spacing w:lineRule="auto" w:line="276" w:before="0" w:after="60"/>
        <w:rPr/>
      </w:pPr>
      <w:r>
        <w:rPr/>
        <w:t xml:space="preserve">(i) </w:t>
      </w:r>
      <w:hyperlink r:id="rId19">
        <w:r>
          <w:rPr>
            <w:rStyle w:val="Hyperlink"/>
          </w:rPr>
          <w:t>Does AI Actually Understand Language</w:t>
        </w:r>
      </w:hyperlink>
      <w:r>
        <w:rPr/>
        <w:t>? By John Pavlus. The Atlantic. September 2024.</w:t>
      </w:r>
    </w:p>
    <w:p>
      <w:pPr>
        <w:pStyle w:val="Normal"/>
        <w:spacing w:lineRule="auto" w:line="276" w:before="0" w:after="60"/>
        <w:rPr/>
      </w:pPr>
      <w:r>
        <w:rPr/>
        <w:t xml:space="preserve">(j) </w:t>
      </w:r>
      <w:hyperlink r:id="rId20">
        <w:r>
          <w:rPr>
            <w:rStyle w:val="Hyperlink"/>
          </w:rPr>
          <w:t>What if AI is actually good for Hollywood</w:t>
        </w:r>
      </w:hyperlink>
      <w:r>
        <w:rPr/>
        <w:t xml:space="preserve">?, by Devin Gordon. The Daily by NYT. </w:t>
      </w:r>
    </w:p>
    <w:p>
      <w:pPr>
        <w:pStyle w:val="Normal"/>
        <w:spacing w:lineRule="auto" w:line="276" w:before="0" w:after="60"/>
        <w:rPr/>
      </w:pPr>
      <w:r>
        <w:rPr/>
        <w:t>(k) (*) (Optional, Read after class) Generative AI and the Future of Work.</w:t>
      </w:r>
    </w:p>
    <w:p>
      <w:pPr>
        <w:pStyle w:val="Normal"/>
        <w:spacing w:lineRule="auto" w:line="276" w:before="0" w:after="60"/>
        <w:rPr/>
      </w:pPr>
      <w:r>
        <w:rPr/>
        <w:t>(l) (*) (Optional, Read Chapter 1 and 5 after class) Generative AI. HBR Collection.</w:t>
      </w:r>
    </w:p>
    <w:p>
      <w:pPr>
        <w:pStyle w:val="Normal"/>
        <w:spacing w:lineRule="auto" w:line="276" w:before="0" w:after="60"/>
        <w:rPr/>
      </w:pPr>
      <w:r>
        <w:rPr/>
        <w:t>(m) (*) (Optional, Read after class) Generative AI: What Leaders Need to Know.</w:t>
      </w:r>
    </w:p>
    <w:p>
      <w:pPr>
        <w:pStyle w:val="Normal"/>
        <w:spacing w:lineRule="auto" w:line="276" w:before="0" w:after="60"/>
        <w:rPr/>
      </w:pPr>
      <w:r>
        <w:rPr/>
      </w:r>
    </w:p>
    <w:p>
      <w:pPr>
        <w:pStyle w:val="Normal"/>
        <w:spacing w:lineRule="auto" w:line="276" w:before="0" w:after="60"/>
        <w:rPr>
          <w:b/>
          <w:bCs/>
        </w:rPr>
      </w:pPr>
      <w:r>
        <w:rPr>
          <w:b/>
          <w:bCs/>
        </w:rPr>
        <w:t xml:space="preserve">Session 4: Economics of AI and AI </w:t>
      </w:r>
      <w:r>
        <w:rPr>
          <w:rFonts w:cs="Cambria Math" w:ascii="Cambria Math" w:hAnsi="Cambria Math"/>
          <w:b/>
          <w:bCs/>
        </w:rPr>
        <w:t>⇐⇒</w:t>
      </w:r>
      <w:r>
        <w:rPr>
          <w:b/>
          <w:bCs/>
        </w:rPr>
        <w:t xml:space="preserve"> Business Strategy</w:t>
      </w:r>
    </w:p>
    <w:p>
      <w:pPr>
        <w:pStyle w:val="Normal"/>
        <w:spacing w:lineRule="auto" w:line="276" w:before="0" w:after="60"/>
        <w:rPr/>
      </w:pPr>
      <w:r>
        <w:rPr/>
        <w:t>Learning Material:</w:t>
      </w:r>
    </w:p>
    <w:p>
      <w:pPr>
        <w:pStyle w:val="Normal"/>
        <w:spacing w:lineRule="auto" w:line="276" w:before="0" w:after="60"/>
        <w:rPr/>
      </w:pPr>
      <w:r>
        <w:rPr/>
        <w:t xml:space="preserve">(a) (*) </w:t>
      </w:r>
      <w:hyperlink r:id="rId21">
        <w:r>
          <w:rPr>
            <w:rStyle w:val="Hyperlink"/>
          </w:rPr>
          <w:t>Prediction Machines Book</w:t>
        </w:r>
      </w:hyperlink>
      <w:r>
        <w:rPr/>
        <w:t xml:space="preserve"> – Chapters 3 and 7.</w:t>
      </w:r>
    </w:p>
    <w:p>
      <w:pPr>
        <w:pStyle w:val="Normal"/>
        <w:spacing w:lineRule="auto" w:line="276" w:before="0" w:after="60"/>
        <w:rPr/>
      </w:pPr>
      <w:r>
        <w:rPr/>
        <w:t>(b) (*) The (Surprisingly) Simple Economics of Artificial Intelligence, by A. Agrawal, J. Gans</w:t>
      </w:r>
    </w:p>
    <w:p>
      <w:pPr>
        <w:pStyle w:val="Normal"/>
        <w:spacing w:lineRule="auto" w:line="276" w:before="0" w:after="60"/>
        <w:rPr/>
      </w:pPr>
      <w:r>
        <w:rPr/>
        <w:t>and A. Goldfarb, HBR.</w:t>
      </w:r>
    </w:p>
    <w:p>
      <w:pPr>
        <w:pStyle w:val="Normal"/>
        <w:spacing w:lineRule="auto" w:line="276" w:before="0" w:after="60"/>
        <w:rPr/>
      </w:pPr>
      <w:r>
        <w:rPr/>
        <w:t xml:space="preserve">(c) </w:t>
      </w:r>
      <w:hyperlink r:id="rId22">
        <w:r>
          <w:rPr>
            <w:rStyle w:val="Hyperlink"/>
          </w:rPr>
          <w:t>Reimagining Your Business for AI,</w:t>
        </w:r>
      </w:hyperlink>
      <w:r>
        <w:rPr/>
        <w:t xml:space="preserve"> by T. Fountaine, B. McCarthy, and T. Saleh, McKinsey.</w:t>
      </w:r>
    </w:p>
    <w:p>
      <w:pPr>
        <w:pStyle w:val="Normal"/>
        <w:spacing w:lineRule="auto" w:line="276" w:before="0" w:after="60"/>
        <w:rPr/>
      </w:pPr>
      <w:r>
        <w:rPr/>
      </w:r>
    </w:p>
    <w:p>
      <w:pPr>
        <w:pStyle w:val="Normal"/>
        <w:spacing w:lineRule="auto" w:line="276" w:before="0" w:after="60"/>
        <w:rPr>
          <w:b/>
          <w:bCs/>
        </w:rPr>
      </w:pPr>
      <w:r>
        <w:rPr>
          <w:b/>
          <w:bCs/>
        </w:rPr>
        <w:t>Session 5: The AI Human Interface</w:t>
      </w:r>
    </w:p>
    <w:p>
      <w:pPr>
        <w:pStyle w:val="Normal"/>
        <w:spacing w:lineRule="auto" w:line="276" w:before="0" w:after="60"/>
        <w:rPr/>
      </w:pPr>
      <w:r>
        <w:rPr/>
        <w:t>Read a, b, f and h before class and the others after class.</w:t>
      </w:r>
    </w:p>
    <w:p>
      <w:pPr>
        <w:pStyle w:val="Normal"/>
        <w:spacing w:lineRule="auto" w:line="276" w:before="0" w:after="60"/>
        <w:rPr/>
      </w:pPr>
      <w:r>
        <w:rPr/>
        <w:t>Learning Material:</w:t>
      </w:r>
    </w:p>
    <w:p>
      <w:pPr>
        <w:pStyle w:val="Normal"/>
        <w:spacing w:lineRule="auto" w:line="276" w:before="0" w:after="60"/>
        <w:rPr/>
      </w:pPr>
      <w:r>
        <w:rPr/>
        <w:t>(a) (*) What AI Driven Decision Making Looks Like, by E. Colson, HBR.</w:t>
      </w:r>
    </w:p>
    <w:p>
      <w:pPr>
        <w:pStyle w:val="Normal"/>
        <w:spacing w:lineRule="auto" w:line="276" w:before="0" w:after="60"/>
        <w:rPr/>
      </w:pPr>
      <w:r>
        <w:rPr/>
        <w:t>(b) (*) AI Should Augment Human Intelligence Not Replace It, by D. De Cremer and G. Kasparov,</w:t>
      </w:r>
      <w:r>
        <w:rPr>
          <w:rFonts w:hint="eastAsia"/>
        </w:rPr>
        <w:t xml:space="preserve"> </w:t>
      </w:r>
      <w:r>
        <w:rPr/>
        <w:t>HBR</w:t>
      </w:r>
    </w:p>
    <w:p>
      <w:pPr>
        <w:pStyle w:val="Normal"/>
        <w:spacing w:lineRule="auto" w:line="276" w:before="0" w:after="60"/>
        <w:rPr/>
      </w:pPr>
      <w:r>
        <w:rPr/>
        <w:t xml:space="preserve">(c) </w:t>
      </w:r>
      <w:hyperlink r:id="rId23">
        <w:r>
          <w:rPr>
            <w:rStyle w:val="Hyperlink"/>
          </w:rPr>
          <w:t>The Human Factor in AI Based Decision Making</w:t>
        </w:r>
      </w:hyperlink>
      <w:r>
        <w:rPr/>
        <w:t>, by P. Meissner and C. Keding, MIT Sloan</w:t>
      </w:r>
    </w:p>
    <w:p>
      <w:pPr>
        <w:pStyle w:val="Normal"/>
        <w:spacing w:lineRule="auto" w:line="276" w:before="0" w:after="60"/>
        <w:rPr/>
      </w:pPr>
      <w:r>
        <w:rPr/>
        <w:t>Review.</w:t>
      </w:r>
    </w:p>
    <w:p>
      <w:pPr>
        <w:pStyle w:val="Normal"/>
        <w:spacing w:lineRule="auto" w:line="276" w:before="0" w:after="60"/>
        <w:rPr/>
      </w:pPr>
      <w:r>
        <w:rPr/>
        <w:t>(d) (*) How to Win with Machine Learning, by A. Agrawal, J. Gans, and A. Goldfarb, HBR</w:t>
      </w:r>
    </w:p>
    <w:p>
      <w:pPr>
        <w:pStyle w:val="Normal"/>
        <w:spacing w:lineRule="auto" w:line="276" w:before="0" w:after="60"/>
        <w:rPr/>
      </w:pPr>
      <w:r>
        <w:rPr/>
        <w:t xml:space="preserve">(e) (*) </w:t>
      </w:r>
      <w:hyperlink r:id="rId24">
        <w:r>
          <w:rPr>
            <w:rStyle w:val="Hyperlink"/>
          </w:rPr>
          <w:t>When Machine Learning Goes off the Rails</w:t>
        </w:r>
      </w:hyperlink>
      <w:r>
        <w:rPr/>
        <w:t>, by B. Babic, I. Cohen, T. Evgeniou, &amp; S.</w:t>
      </w:r>
    </w:p>
    <w:p>
      <w:pPr>
        <w:pStyle w:val="Normal"/>
        <w:spacing w:lineRule="auto" w:line="276" w:before="0" w:after="60"/>
        <w:rPr/>
      </w:pPr>
      <w:r>
        <w:rPr/>
        <w:t>Gerke, HBR</w:t>
      </w:r>
    </w:p>
    <w:p>
      <w:pPr>
        <w:pStyle w:val="Normal"/>
        <w:spacing w:lineRule="auto" w:line="276" w:before="0" w:after="60"/>
        <w:rPr/>
      </w:pPr>
      <w:r>
        <w:rPr/>
        <w:t xml:space="preserve">(f) </w:t>
      </w:r>
      <w:hyperlink r:id="rId25">
        <w:r>
          <w:rPr>
            <w:rStyle w:val="Hyperlink"/>
          </w:rPr>
          <w:t>Explaining Explanations: An Overview of Interpretability of Machine Learning</w:t>
        </w:r>
      </w:hyperlink>
      <w:r>
        <w:rPr/>
        <w:t>, by L. H.</w:t>
      </w:r>
    </w:p>
    <w:p>
      <w:pPr>
        <w:pStyle w:val="Normal"/>
        <w:spacing w:lineRule="auto" w:line="276" w:before="0" w:after="60"/>
        <w:rPr/>
      </w:pPr>
      <w:r>
        <w:rPr/>
        <w:t>Gilpin, D. Bau, B. Z. Yuan, A. Bajwa, M. Specter and L. Kagal, Arvix.</w:t>
      </w:r>
    </w:p>
    <w:p>
      <w:pPr>
        <w:pStyle w:val="Normal"/>
        <w:spacing w:lineRule="auto" w:line="276" w:before="0" w:after="60"/>
        <w:rPr/>
      </w:pPr>
      <w:r>
        <w:rPr/>
        <w:t xml:space="preserve">(g) (Book) </w:t>
      </w:r>
      <w:hyperlink r:id="rId26">
        <w:r>
          <w:rPr>
            <w:rStyle w:val="Hyperlink"/>
          </w:rPr>
          <w:t>Interpretable Machine Learning: A Guide for Making Black Box Models Explainable</w:t>
        </w:r>
      </w:hyperlink>
    </w:p>
    <w:p>
      <w:pPr>
        <w:pStyle w:val="Normal"/>
        <w:spacing w:lineRule="auto" w:line="276" w:before="0" w:after="60"/>
        <w:rPr/>
      </w:pPr>
      <w:r>
        <w:rPr/>
        <w:t>by Christoph Molnar, Chapter 3 and 5.</w:t>
      </w:r>
    </w:p>
    <w:p>
      <w:pPr>
        <w:pStyle w:val="Normal"/>
        <w:spacing w:lineRule="auto" w:line="276" w:before="0" w:after="60"/>
        <w:rPr/>
      </w:pPr>
      <w:r>
        <w:rPr/>
      </w:r>
    </w:p>
    <w:p>
      <w:pPr>
        <w:pStyle w:val="Normal"/>
        <w:spacing w:lineRule="auto" w:line="276" w:before="0" w:after="60"/>
        <w:rPr>
          <w:b/>
          <w:bCs/>
        </w:rPr>
      </w:pPr>
      <w:r>
        <w:rPr>
          <w:b/>
          <w:bCs/>
        </w:rPr>
        <w:t>Session 6: AI in Healthcare</w:t>
      </w:r>
    </w:p>
    <w:p>
      <w:pPr>
        <w:pStyle w:val="Normal"/>
        <w:spacing w:lineRule="auto" w:line="276" w:before="0" w:after="60"/>
        <w:rPr/>
      </w:pPr>
      <w:r>
        <w:rPr/>
        <w:t>Learning Material:</w:t>
      </w:r>
    </w:p>
    <w:p>
      <w:pPr>
        <w:pStyle w:val="Normal"/>
        <w:spacing w:lineRule="auto" w:line="276" w:before="0" w:after="60"/>
        <w:rPr/>
      </w:pPr>
      <w:r>
        <w:rPr/>
        <w:t>(a) (*) CASE: Zebra Medical Vision</w:t>
      </w:r>
    </w:p>
    <w:p>
      <w:pPr>
        <w:pStyle w:val="Normal"/>
        <w:spacing w:lineRule="auto" w:line="276" w:before="0" w:after="60"/>
        <w:rPr/>
      </w:pPr>
      <w:r>
        <w:rPr/>
        <w:t>(b)</w:t>
      </w:r>
      <w:hyperlink r:id="rId27">
        <w:r>
          <w:rPr>
            <w:rStyle w:val="Hyperlink"/>
          </w:rPr>
          <w:t xml:space="preserve"> Artificial Intelligence in Medicine: Applications, implications, and limitations</w:t>
        </w:r>
      </w:hyperlink>
      <w:r>
        <w:rPr/>
        <w:t>, by D. Greenfield,</w:t>
      </w:r>
    </w:p>
    <w:p>
      <w:pPr>
        <w:pStyle w:val="Normal"/>
        <w:spacing w:lineRule="auto" w:line="276" w:before="0" w:after="60"/>
        <w:rPr/>
      </w:pPr>
      <w:r>
        <w:rPr/>
        <w:t>Harvard.</w:t>
      </w:r>
    </w:p>
    <w:p>
      <w:pPr>
        <w:pStyle w:val="Normal"/>
        <w:spacing w:lineRule="auto" w:line="276" w:before="0" w:after="60"/>
        <w:rPr/>
      </w:pPr>
      <w:r>
        <w:rPr/>
        <w:t xml:space="preserve">(c) </w:t>
      </w:r>
      <w:hyperlink r:id="rId28">
        <w:r>
          <w:rPr>
            <w:rStyle w:val="Hyperlink"/>
          </w:rPr>
          <w:t>Artificial intelligence in healthcare</w:t>
        </w:r>
      </w:hyperlink>
      <w:r>
        <w:rPr/>
        <w:t>, by K. Yu, A. L. Beam, and I. S. Kohane, Nature.</w:t>
      </w:r>
    </w:p>
    <w:p>
      <w:pPr>
        <w:pStyle w:val="Normal"/>
        <w:spacing w:lineRule="auto" w:line="276" w:before="0" w:after="60"/>
        <w:rPr>
          <w:rStyle w:val="Hyperlink"/>
        </w:rPr>
      </w:pPr>
      <w:r>
        <w:rPr/>
        <w:t xml:space="preserve">(d) </w:t>
      </w:r>
      <w:hyperlink r:id="rId29">
        <w:r>
          <w:rPr>
            <w:rStyle w:val="Hyperlink"/>
          </w:rPr>
          <w:t>Artificial intelligence in medical imaging: switching from radiographic pathological data to</w:t>
        </w:r>
      </w:hyperlink>
    </w:p>
    <w:p>
      <w:pPr>
        <w:pStyle w:val="Normal"/>
        <w:spacing w:lineRule="auto" w:line="276" w:before="0" w:after="60"/>
        <w:rPr/>
      </w:pPr>
      <w:hyperlink r:id="rId30">
        <w:r>
          <w:rPr>
            <w:rStyle w:val="Hyperlink"/>
          </w:rPr>
          <w:t>clinically meaningful endpoints</w:t>
        </w:r>
      </w:hyperlink>
      <w:r>
        <w:rPr/>
        <w:t xml:space="preserve">, by O. Oren, B. Gersh, and D. Bhatt, The Lancet. </w:t>
      </w:r>
    </w:p>
    <w:p>
      <w:pPr>
        <w:pStyle w:val="Normal"/>
        <w:spacing w:lineRule="auto" w:line="276" w:before="0" w:after="60"/>
        <w:rPr/>
      </w:pPr>
      <w:r>
        <w:rPr/>
      </w:r>
    </w:p>
    <w:p>
      <w:pPr>
        <w:pStyle w:val="Normal"/>
        <w:spacing w:lineRule="auto" w:line="276" w:before="0" w:after="60"/>
        <w:rPr>
          <w:b/>
          <w:bCs/>
        </w:rPr>
      </w:pPr>
      <w:r>
        <w:rPr>
          <w:b/>
          <w:bCs/>
        </w:rPr>
        <w:t>Session 7: AI and Customer Experience</w:t>
      </w:r>
    </w:p>
    <w:p>
      <w:pPr>
        <w:pStyle w:val="Normal"/>
        <w:spacing w:lineRule="auto" w:line="276" w:before="0" w:after="60"/>
        <w:rPr/>
      </w:pPr>
      <w:r>
        <w:rPr/>
        <w:t>Learning Material:</w:t>
      </w:r>
    </w:p>
    <w:p>
      <w:pPr>
        <w:pStyle w:val="Normal"/>
        <w:spacing w:lineRule="auto" w:line="276" w:before="0" w:after="60"/>
        <w:rPr/>
      </w:pPr>
      <w:r>
        <w:rPr/>
        <w:t>(a) (*) Uber: Applying Machine Learning to Improve the Customer Experience (Case)</w:t>
      </w:r>
    </w:p>
    <w:p>
      <w:pPr>
        <w:pStyle w:val="Normal"/>
        <w:spacing w:lineRule="auto" w:line="276" w:before="0" w:after="60"/>
        <w:rPr/>
      </w:pPr>
      <w:r>
        <w:rPr/>
        <w:t>(b) (*) Customer Experience in the Age of AI, by D. Edelman and M. Abraham, HBR.</w:t>
      </w:r>
    </w:p>
    <w:p>
      <w:pPr>
        <w:pStyle w:val="Normal"/>
        <w:spacing w:lineRule="auto" w:line="276" w:before="0" w:after="60"/>
        <w:rPr/>
      </w:pPr>
      <w:r>
        <w:rPr/>
        <w:t>(c) (*) The Pitfalls of Pricing Algorithms, by M. Bertini and O. Koenigsberg, HBR.</w:t>
      </w:r>
    </w:p>
    <w:p>
      <w:pPr>
        <w:pStyle w:val="Normal"/>
        <w:spacing w:lineRule="auto" w:line="276" w:before="0" w:after="60"/>
        <w:rPr/>
      </w:pPr>
      <w:r>
        <w:rPr/>
        <w:t>(d) Getting an airport Uber has become an absolute obstacle course, by Natalie B. Compton.</w:t>
      </w:r>
    </w:p>
    <w:p>
      <w:pPr>
        <w:pStyle w:val="Normal"/>
        <w:spacing w:lineRule="auto" w:line="276" w:before="0" w:after="60"/>
        <w:rPr/>
      </w:pPr>
      <w:r>
        <w:rPr/>
        <w:t>Washington Post. Dec 2, 2024.</w:t>
      </w:r>
    </w:p>
    <w:p>
      <w:pPr>
        <w:pStyle w:val="Normal"/>
        <w:spacing w:lineRule="auto" w:line="276" w:before="0" w:after="60"/>
        <w:rPr/>
      </w:pPr>
      <w:r>
        <w:rPr/>
      </w:r>
    </w:p>
    <w:p>
      <w:pPr>
        <w:pStyle w:val="Normal"/>
        <w:spacing w:lineRule="auto" w:line="276" w:before="0" w:after="60"/>
        <w:rPr>
          <w:b/>
          <w:bCs/>
        </w:rPr>
      </w:pPr>
      <w:r>
        <w:rPr>
          <w:b/>
          <w:bCs/>
        </w:rPr>
        <w:t>Session 8: Creating and Sharing AI value in B2B Settings</w:t>
      </w:r>
    </w:p>
    <w:p>
      <w:pPr>
        <w:pStyle w:val="Normal"/>
        <w:spacing w:lineRule="auto" w:line="276" w:before="0" w:after="60"/>
        <w:rPr/>
      </w:pPr>
      <w:r>
        <w:rPr/>
        <w:t>Learning Material:</w:t>
      </w:r>
    </w:p>
    <w:p>
      <w:pPr>
        <w:pStyle w:val="ListParagraph"/>
        <w:numPr>
          <w:ilvl w:val="0"/>
          <w:numId w:val="2"/>
        </w:numPr>
        <w:spacing w:lineRule="auto" w:line="276" w:before="0" w:after="60"/>
        <w:rPr/>
      </w:pPr>
      <w:r>
        <w:rPr/>
        <w:t>(*) Borusan Cat: Monetizing Prediction in the Age of AI (CASE 521-053)</w:t>
      </w:r>
    </w:p>
    <w:p>
      <w:pPr>
        <w:pStyle w:val="ListParagraph"/>
        <w:spacing w:lineRule="auto" w:line="276" w:before="0" w:after="60"/>
        <w:ind w:start="360"/>
        <w:rPr/>
      </w:pPr>
      <w:r>
        <w:rPr/>
      </w:r>
    </w:p>
    <w:p>
      <w:pPr>
        <w:pStyle w:val="Normal"/>
        <w:spacing w:lineRule="auto" w:line="276" w:before="0" w:after="60"/>
        <w:rPr>
          <w:b/>
          <w:bCs/>
        </w:rPr>
      </w:pPr>
      <w:r>
        <w:rPr>
          <w:b/>
          <w:bCs/>
        </w:rPr>
        <w:t>Session 9: AI in Fashion and Retail</w:t>
      </w:r>
    </w:p>
    <w:p>
      <w:pPr>
        <w:pStyle w:val="Normal"/>
        <w:spacing w:lineRule="auto" w:line="276" w:before="0" w:after="60"/>
        <w:rPr/>
      </w:pPr>
      <w:r>
        <w:rPr/>
        <w:t>Learning Material:</w:t>
      </w:r>
    </w:p>
    <w:p>
      <w:pPr>
        <w:pStyle w:val="Normal"/>
        <w:spacing w:lineRule="auto" w:line="276" w:before="0" w:after="60"/>
        <w:rPr/>
      </w:pPr>
      <w:r>
        <w:rPr/>
        <w:t>(a) (*) Miroglio Fashion (CASE)</w:t>
      </w:r>
    </w:p>
    <w:p>
      <w:pPr>
        <w:pStyle w:val="Normal"/>
        <w:spacing w:lineRule="auto" w:line="276" w:before="0" w:after="60"/>
        <w:rPr/>
      </w:pPr>
      <w:r>
        <w:rPr/>
        <w:t>(b) (Optional) Carbonneau, R., Laframboise, K., &amp; Vahidov, R. (2008). Application of machine</w:t>
      </w:r>
    </w:p>
    <w:p>
      <w:pPr>
        <w:pStyle w:val="Normal"/>
        <w:spacing w:lineRule="auto" w:line="276" w:before="0" w:after="60"/>
        <w:rPr/>
      </w:pPr>
      <w:r>
        <w:rPr/>
        <w:t>learning techniques for supply chain demand forecasting. European journal of operational</w:t>
      </w:r>
    </w:p>
    <w:p>
      <w:pPr>
        <w:pStyle w:val="Normal"/>
        <w:spacing w:lineRule="auto" w:line="276" w:before="0" w:after="60"/>
        <w:rPr/>
      </w:pPr>
      <w:r>
        <w:rPr/>
        <w:t>research, 184(3), 1140-1154.</w:t>
      </w:r>
    </w:p>
    <w:p>
      <w:pPr>
        <w:pStyle w:val="Normal"/>
        <w:spacing w:lineRule="auto" w:line="276" w:before="0" w:after="60"/>
        <w:rPr/>
      </w:pPr>
      <w:r>
        <w:rPr/>
      </w:r>
    </w:p>
    <w:p>
      <w:pPr>
        <w:pStyle w:val="Normal"/>
        <w:spacing w:lineRule="auto" w:line="276" w:before="0" w:after="60"/>
        <w:rPr>
          <w:b/>
          <w:bCs/>
        </w:rPr>
      </w:pPr>
      <w:r>
        <w:rPr>
          <w:b/>
          <w:bCs/>
        </w:rPr>
        <w:t>Session 10: Ethical Issues in AI</w:t>
      </w:r>
    </w:p>
    <w:p>
      <w:pPr>
        <w:pStyle w:val="Normal"/>
        <w:spacing w:lineRule="auto" w:line="276" w:before="0" w:after="60"/>
        <w:rPr/>
      </w:pPr>
      <w:r>
        <w:rPr/>
        <w:t>Learning Material:</w:t>
      </w:r>
    </w:p>
    <w:p>
      <w:pPr>
        <w:pStyle w:val="Normal"/>
        <w:spacing w:lineRule="auto" w:line="276" w:before="0" w:after="60"/>
        <w:rPr/>
      </w:pPr>
      <w:r>
        <w:rPr/>
        <w:t>(a) (*) The Ethical Algorithm (Book) – Chapter 2</w:t>
      </w:r>
    </w:p>
    <w:p>
      <w:pPr>
        <w:pStyle w:val="Normal"/>
        <w:spacing w:lineRule="auto" w:line="276" w:before="0" w:after="60"/>
        <w:rPr/>
      </w:pPr>
      <w:r>
        <w:rPr/>
        <w:t>(b) (*) Introduction and Chapter 2. The Alignment Problem: Machine Learning and Human</w:t>
      </w:r>
    </w:p>
    <w:p>
      <w:pPr>
        <w:pStyle w:val="Normal"/>
        <w:spacing w:lineRule="auto" w:line="276" w:before="0" w:after="60"/>
        <w:rPr/>
      </w:pPr>
      <w:r>
        <w:rPr/>
        <w:t>Values. B. Christian. New York: WW Norton &amp; Company.</w:t>
      </w:r>
    </w:p>
    <w:p>
      <w:pPr>
        <w:pStyle w:val="Normal"/>
        <w:spacing w:lineRule="auto" w:line="276" w:before="0" w:after="60"/>
        <w:rPr/>
      </w:pPr>
      <w:r>
        <w:rPr/>
        <w:t xml:space="preserve">(c) </w:t>
      </w:r>
      <w:hyperlink r:id="rId31">
        <w:r>
          <w:rPr>
            <w:rStyle w:val="Hyperlink"/>
          </w:rPr>
          <w:t>How Machine Learning Pushes Us to Define Fairness</w:t>
        </w:r>
      </w:hyperlink>
    </w:p>
    <w:p>
      <w:pPr>
        <w:pStyle w:val="Normal"/>
        <w:spacing w:lineRule="auto" w:line="276" w:before="0" w:after="60"/>
        <w:rPr/>
      </w:pPr>
      <w:r>
        <w:rPr/>
        <w:t>(d)</w:t>
      </w:r>
      <w:hyperlink r:id="rId32">
        <w:r>
          <w:rPr>
            <w:rStyle w:val="Hyperlink"/>
          </w:rPr>
          <w:t xml:space="preserve"> What Are Deepfakes and How Are They Created?</w:t>
        </w:r>
      </w:hyperlink>
      <w:r>
        <w:rPr/>
        <w:t>. IEEE Spectrum (2020)</w:t>
      </w:r>
    </w:p>
    <w:p>
      <w:pPr>
        <w:pStyle w:val="Normal"/>
        <w:spacing w:lineRule="auto" w:line="276" w:before="0" w:after="60"/>
        <w:rPr/>
      </w:pPr>
      <w:r>
        <w:rPr/>
        <w:t xml:space="preserve">(e) (Optional) </w:t>
      </w:r>
      <w:hyperlink r:id="rId33">
        <w:r>
          <w:rPr>
            <w:rStyle w:val="Hyperlink"/>
          </w:rPr>
          <w:t>Fair ML Book</w:t>
        </w:r>
      </w:hyperlink>
      <w:r>
        <w:rPr/>
        <w:t xml:space="preserve"> (read Chapter 2: Introduction)</w:t>
      </w:r>
    </w:p>
    <w:p>
      <w:pPr>
        <w:pStyle w:val="Normal"/>
        <w:spacing w:lineRule="auto" w:line="276" w:before="0" w:after="60"/>
        <w:rPr/>
      </w:pPr>
      <w:r>
        <w:rPr/>
        <w:t>(f) (Optional) News articles:</w:t>
      </w:r>
    </w:p>
    <w:p>
      <w:pPr>
        <w:pStyle w:val="Normal"/>
        <w:spacing w:lineRule="auto" w:line="276" w:before="0" w:after="60"/>
        <w:rPr/>
      </w:pPr>
      <w:r>
        <w:rPr/>
        <w:t xml:space="preserve">• </w:t>
      </w:r>
      <w:hyperlink r:id="rId34">
        <w:r>
          <w:rPr>
            <w:rStyle w:val="Hyperlink"/>
          </w:rPr>
          <w:t>New Era of AI Deepfakes Complicates 2024 Elections.</w:t>
        </w:r>
      </w:hyperlink>
      <w:r>
        <w:rPr/>
        <w:t xml:space="preserve"> Robert McMillan, Alexa Corse</w:t>
      </w:r>
    </w:p>
    <w:p>
      <w:pPr>
        <w:pStyle w:val="Normal"/>
        <w:spacing w:lineRule="auto" w:line="276" w:before="0" w:after="60"/>
        <w:rPr/>
      </w:pPr>
      <w:r>
        <w:rPr/>
        <w:t>and Dustin Volz. WSJ (2024).</w:t>
      </w:r>
    </w:p>
    <w:p>
      <w:pPr>
        <w:pStyle w:val="Normal"/>
        <w:spacing w:lineRule="auto" w:line="276" w:before="0" w:after="60"/>
        <w:rPr/>
      </w:pPr>
      <w:r>
        <w:rPr/>
        <w:t xml:space="preserve">• </w:t>
      </w:r>
      <w:hyperlink r:id="rId35">
        <w:r>
          <w:rPr>
            <w:rStyle w:val="Hyperlink"/>
          </w:rPr>
          <w:t>OpenAI’s GPT Is a Recruiter’s Dream Tool.</w:t>
        </w:r>
      </w:hyperlink>
      <w:r>
        <w:rPr/>
        <w:t xml:space="preserve"> Tests Show There’s Racial Bias. By Leon</w:t>
      </w:r>
    </w:p>
    <w:p>
      <w:pPr>
        <w:pStyle w:val="Normal"/>
        <w:spacing w:lineRule="auto" w:line="276" w:before="0" w:after="60"/>
        <w:rPr/>
      </w:pPr>
      <w:r>
        <w:rPr/>
        <w:t>Yin, Davey Alba and Leonardo Nicoletti. Bloomberg.</w:t>
      </w:r>
    </w:p>
    <w:p>
      <w:pPr>
        <w:pStyle w:val="Normal"/>
        <w:spacing w:lineRule="auto" w:line="276" w:before="0" w:after="60"/>
        <w:rPr/>
      </w:pPr>
      <w:r>
        <w:rPr/>
        <w:t xml:space="preserve">• </w:t>
      </w:r>
      <w:hyperlink r:id="rId36">
        <w:r>
          <w:rPr>
            <w:rStyle w:val="Hyperlink"/>
          </w:rPr>
          <w:t>Amazon scraps secret AI recruiting tool that showed bias against women</w:t>
        </w:r>
      </w:hyperlink>
      <w:r>
        <w:rPr/>
        <w:t>. By J. Dastin,</w:t>
      </w:r>
    </w:p>
    <w:p>
      <w:pPr>
        <w:pStyle w:val="Normal"/>
        <w:spacing w:lineRule="auto" w:line="276" w:before="0" w:after="60"/>
        <w:rPr/>
      </w:pPr>
      <w:r>
        <w:rPr/>
        <w:t>Reuters.</w:t>
      </w:r>
    </w:p>
    <w:p>
      <w:pPr>
        <w:pStyle w:val="Normal"/>
        <w:spacing w:lineRule="auto" w:line="276" w:before="0" w:after="60"/>
        <w:rPr/>
      </w:pPr>
      <w:r>
        <w:rPr/>
        <w:t xml:space="preserve">• </w:t>
      </w:r>
      <w:hyperlink r:id="rId37">
        <w:r>
          <w:rPr>
            <w:rStyle w:val="Hyperlink"/>
          </w:rPr>
          <w:t>Machine Bias and Risk Assessments in Criminal Sentencing</w:t>
        </w:r>
      </w:hyperlink>
      <w:r>
        <w:rPr/>
        <w:t>, by J. Angwin, J. Larson,</w:t>
      </w:r>
    </w:p>
    <w:p>
      <w:pPr>
        <w:pStyle w:val="Normal"/>
        <w:spacing w:lineRule="auto" w:line="276" w:before="0" w:after="60"/>
        <w:rPr/>
      </w:pPr>
      <w:r>
        <w:rPr/>
        <w:t>S. Mattu and L. Kirchner, ProPublica.</w:t>
      </w:r>
    </w:p>
    <w:p>
      <w:pPr>
        <w:pStyle w:val="Normal"/>
        <w:spacing w:lineRule="auto" w:line="276" w:before="0" w:after="60"/>
        <w:rPr/>
      </w:pPr>
      <w:r>
        <w:rPr/>
        <w:t xml:space="preserve">• </w:t>
      </w:r>
      <w:r>
        <w:rPr/>
        <w:t xml:space="preserve">(Audio) </w:t>
      </w:r>
      <w:hyperlink r:id="rId38">
        <w:r>
          <w:rPr>
            <w:rStyle w:val="Hyperlink"/>
          </w:rPr>
          <w:t>How a computer scientist fights bias in algorithms</w:t>
        </w:r>
      </w:hyperlink>
      <w:r>
        <w:rPr/>
        <w:t>. By V. Stollberger, NPR.</w:t>
      </w:r>
    </w:p>
    <w:p>
      <w:pPr>
        <w:pStyle w:val="Normal"/>
        <w:spacing w:lineRule="auto" w:line="276" w:before="0" w:after="60"/>
        <w:rPr/>
      </w:pPr>
      <w:r>
        <w:rPr/>
        <w:t xml:space="preserve">• </w:t>
      </w:r>
      <w:hyperlink r:id="rId39">
        <w:r>
          <w:rPr>
            <w:rStyle w:val="Hyperlink"/>
          </w:rPr>
          <w:t>Inside the AI Factory: the humans that make tech seem human</w:t>
        </w:r>
      </w:hyperlink>
      <w:r>
        <w:rPr/>
        <w:t>. by Josh Dzieza. The</w:t>
      </w:r>
    </w:p>
    <w:p>
      <w:pPr>
        <w:pStyle w:val="Normal"/>
        <w:spacing w:lineRule="auto" w:line="276" w:before="0" w:after="60"/>
        <w:rPr/>
      </w:pPr>
      <w:r>
        <w:rPr/>
        <w:t xml:space="preserve">Verge (2023) </w:t>
      </w:r>
    </w:p>
    <w:p>
      <w:pPr>
        <w:pStyle w:val="Normal"/>
        <w:spacing w:lineRule="auto" w:line="276" w:before="0" w:after="60"/>
        <w:rPr/>
      </w:pPr>
      <w:r>
        <w:rPr/>
        <w:t xml:space="preserve">• </w:t>
      </w:r>
      <w:hyperlink r:id="rId40">
        <w:r>
          <w:rPr>
            <w:rStyle w:val="Hyperlink"/>
          </w:rPr>
          <w:t>The Deeper Problem With Google’s Racially Diverse Nazis</w:t>
        </w:r>
      </w:hyperlink>
      <w:r>
        <w:rPr/>
        <w:t>. Chris Gilliard. The Atlantic</w:t>
      </w:r>
    </w:p>
    <w:p>
      <w:pPr>
        <w:pStyle w:val="Normal"/>
        <w:spacing w:lineRule="auto" w:line="276" w:before="0" w:after="60"/>
        <w:rPr/>
      </w:pPr>
      <w:r>
        <w:rPr/>
        <w:t>(2024)</w:t>
      </w:r>
    </w:p>
    <w:p>
      <w:pPr>
        <w:pStyle w:val="Heading3"/>
        <w:spacing w:before="240" w:after="120"/>
        <w:rPr/>
      </w:pPr>
      <w:r>
        <w:rPr/>
        <w:t>Course Requirements and Grading</w:t>
      </w:r>
    </w:p>
    <w:tbl>
      <w:tblPr>
        <w:tblW w:w="9360" w:type="dxa"/>
        <w:jc w:val="start"/>
        <w:tblInd w:w="0" w:type="dxa"/>
        <w:tblLayout w:type="fixed"/>
        <w:tblCellMar>
          <w:top w:w="80" w:type="dxa"/>
          <w:start w:w="120" w:type="dxa"/>
          <w:bottom w:w="80" w:type="dxa"/>
          <w:end w:w="120" w:type="dxa"/>
        </w:tblCellMar>
        <w:tblLook w:noHBand="0" w:lastColumn="0" w:firstColumn="0" w:lastRow="0" w:firstRow="0" w:noVBand="0" w:val="0000"/>
      </w:tblPr>
      <w:tblGrid>
        <w:gridCol w:w="3497"/>
        <w:gridCol w:w="3860"/>
        <w:gridCol w:w="2003"/>
      </w:tblGrid>
      <w:tr>
        <w:trPr/>
        <w:tc>
          <w:tcPr>
            <w:tcW w:w="3497"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Course Component</w:t>
            </w:r>
          </w:p>
        </w:tc>
        <w:tc>
          <w:tcPr>
            <w:tcW w:w="386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Details</w:t>
            </w:r>
          </w:p>
        </w:tc>
        <w:tc>
          <w:tcPr>
            <w:tcW w:w="2003"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Weight</w:t>
            </w:r>
          </w:p>
        </w:tc>
      </w:tr>
      <w:tr>
        <w:trPr/>
        <w:tc>
          <w:tcPr>
            <w:tcW w:w="3497"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Assignments (Individual/Pairs)</w:t>
            </w:r>
          </w:p>
        </w:tc>
        <w:tc>
          <w:tcPr>
            <w:tcW w:w="3860" w:type="dxa"/>
            <w:tcBorders>
              <w:top w:val="single" w:sz="2" w:space="0" w:color="BBBBBB"/>
              <w:start w:val="single" w:sz="2" w:space="0" w:color="BBBBBB"/>
              <w:bottom w:val="single" w:sz="2" w:space="0" w:color="BBBBBB"/>
              <w:end w:val="single" w:sz="2" w:space="0" w:color="BBBBBB"/>
            </w:tcBorders>
          </w:tcPr>
          <w:p>
            <w:pPr>
              <w:pStyle w:val="Normal"/>
              <w:rPr/>
            </w:pPr>
            <w:r>
              <w:rPr>
                <w:rFonts w:hint="eastAsia"/>
                <w:sz w:val="20"/>
                <w:szCs w:val="20"/>
              </w:rPr>
              <w:t>5</w:t>
            </w:r>
            <w:r>
              <w:rPr>
                <w:rFonts w:eastAsia="Arial"/>
                <w:sz w:val="20"/>
                <w:szCs w:val="20"/>
              </w:rPr>
              <w:t xml:space="preserve"> written assignments</w:t>
            </w:r>
          </w:p>
        </w:tc>
        <w:tc>
          <w:tcPr>
            <w:tcW w:w="2003"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50%</w:t>
            </w:r>
          </w:p>
        </w:tc>
      </w:tr>
      <w:tr>
        <w:trPr/>
        <w:tc>
          <w:tcPr>
            <w:tcW w:w="3497"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Attendance and Class Participation</w:t>
            </w:r>
          </w:p>
        </w:tc>
        <w:tc>
          <w:tcPr>
            <w:tcW w:w="38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Every class (Individual)</w:t>
            </w:r>
          </w:p>
        </w:tc>
        <w:tc>
          <w:tcPr>
            <w:tcW w:w="2003"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25%</w:t>
            </w:r>
          </w:p>
        </w:tc>
      </w:tr>
      <w:tr>
        <w:trPr/>
        <w:tc>
          <w:tcPr>
            <w:tcW w:w="3497"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Group Presentation Project</w:t>
            </w:r>
          </w:p>
        </w:tc>
        <w:tc>
          <w:tcPr>
            <w:tcW w:w="38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See details below</w:t>
            </w:r>
          </w:p>
        </w:tc>
        <w:tc>
          <w:tcPr>
            <w:tcW w:w="2003"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25%</w:t>
            </w:r>
          </w:p>
        </w:tc>
      </w:tr>
      <w:tr>
        <w:trPr/>
        <w:tc>
          <w:tcPr>
            <w:tcW w:w="3497" w:type="dxa"/>
            <w:tcBorders>
              <w:top w:val="single" w:sz="2" w:space="0" w:color="BBBBBB"/>
              <w:start w:val="single" w:sz="2" w:space="0" w:color="BBBBBB"/>
              <w:bottom w:val="single" w:sz="2" w:space="0" w:color="BBBBBB"/>
              <w:end w:val="single" w:sz="2" w:space="0" w:color="BBBBBB"/>
            </w:tcBorders>
            <w:shd w:color="auto" w:fill="CEB888" w:val="clear"/>
          </w:tcPr>
          <w:p>
            <w:pPr>
              <w:pStyle w:val="Normal"/>
              <w:rPr/>
            </w:pPr>
            <w:r>
              <w:rPr>
                <w:rFonts w:eastAsia="Arial"/>
                <w:b/>
                <w:bCs/>
                <w:sz w:val="20"/>
                <w:szCs w:val="20"/>
              </w:rPr>
              <w:t>Total</w:t>
            </w:r>
          </w:p>
        </w:tc>
        <w:tc>
          <w:tcPr>
            <w:tcW w:w="3860" w:type="dxa"/>
            <w:tcBorders>
              <w:top w:val="single" w:sz="2" w:space="0" w:color="BBBBBB"/>
              <w:start w:val="single" w:sz="2" w:space="0" w:color="BBBBBB"/>
              <w:bottom w:val="single" w:sz="2" w:space="0" w:color="BBBBBB"/>
              <w:end w:val="single" w:sz="2" w:space="0" w:color="BBBBBB"/>
            </w:tcBorders>
            <w:shd w:color="auto" w:fill="CEB888" w:val="clear"/>
          </w:tcPr>
          <w:p>
            <w:pPr>
              <w:pStyle w:val="Normal"/>
              <w:rPr/>
            </w:pPr>
            <w:r>
              <w:rPr/>
            </w:r>
          </w:p>
        </w:tc>
        <w:tc>
          <w:tcPr>
            <w:tcW w:w="2003" w:type="dxa"/>
            <w:tcBorders>
              <w:top w:val="single" w:sz="2" w:space="0" w:color="BBBBBB"/>
              <w:start w:val="single" w:sz="2" w:space="0" w:color="BBBBBB"/>
              <w:bottom w:val="single" w:sz="2" w:space="0" w:color="BBBBBB"/>
              <w:end w:val="single" w:sz="2" w:space="0" w:color="BBBBBB"/>
            </w:tcBorders>
            <w:shd w:color="auto" w:fill="CEB888" w:val="clear"/>
          </w:tcPr>
          <w:p>
            <w:pPr>
              <w:pStyle w:val="Normal"/>
              <w:rPr/>
            </w:pPr>
            <w:r>
              <w:rPr>
                <w:rFonts w:eastAsia="Arial"/>
                <w:b/>
                <w:bCs/>
                <w:sz w:val="20"/>
                <w:szCs w:val="20"/>
              </w:rPr>
              <w:t>100%</w:t>
            </w:r>
          </w:p>
        </w:tc>
      </w:tr>
    </w:tbl>
    <w:p>
      <w:pPr>
        <w:pStyle w:val="Heading3"/>
        <w:spacing w:before="240" w:after="120"/>
        <w:rPr/>
      </w:pPr>
      <w:r>
        <w:rPr/>
        <w:t>Description of Assignments and Projects</w:t>
      </w:r>
    </w:p>
    <w:p>
      <w:pPr>
        <w:pStyle w:val="Normal"/>
        <w:spacing w:lineRule="auto" w:line="276" w:before="0" w:after="100"/>
        <w:rPr/>
      </w:pPr>
      <w:r>
        <w:rPr>
          <w:rFonts w:eastAsia="Arial"/>
          <w:b/>
          <w:bCs/>
          <w:sz w:val="20"/>
          <w:szCs w:val="20"/>
        </w:rPr>
        <w:t xml:space="preserve">Assignments: </w:t>
      </w:r>
      <w:r>
        <w:rPr>
          <w:rFonts w:eastAsia="Arial"/>
          <w:sz w:val="20"/>
          <w:szCs w:val="20"/>
        </w:rPr>
        <w:t>Assignments are individual, pair, or group assignments; details will be provided on Brightspace. Please indicate the contribution of each person for group assignments. Everyone is expected to make a significant contribution. Late assignments will not be graded. No extensions or exceptions to due dates should be expected. If you have an extenuating circumstance, please contact the Office of the Dean of Students.</w:t>
      </w:r>
    </w:p>
    <w:p>
      <w:pPr>
        <w:pStyle w:val="Normal"/>
        <w:spacing w:lineRule="auto" w:line="276" w:before="0" w:after="100"/>
        <w:rPr/>
      </w:pPr>
      <w:r>
        <w:rPr>
          <w:rFonts w:eastAsia="Arial"/>
          <w:sz w:val="20"/>
          <w:szCs w:val="20"/>
        </w:rPr>
        <w:t>Assignment submissions must be 4 pages or fewer (excluding exhibits), in 11 or 12-point text font and double-spaced. Please convert everything to one PDF before submission via Brightspace.</w:t>
      </w:r>
    </w:p>
    <w:p>
      <w:pPr>
        <w:pStyle w:val="Normal"/>
        <w:spacing w:lineRule="auto" w:line="276" w:before="0" w:after="100"/>
        <w:rPr/>
      </w:pPr>
      <w:r>
        <w:rPr>
          <w:rFonts w:eastAsia="Arial"/>
          <w:b/>
          <w:bCs/>
          <w:sz w:val="20"/>
          <w:szCs w:val="20"/>
        </w:rPr>
        <w:t xml:space="preserve">Class Participation: </w:t>
      </w:r>
      <w:r>
        <w:rPr>
          <w:rFonts w:eastAsia="Arial"/>
          <w:sz w:val="20"/>
          <w:szCs w:val="20"/>
        </w:rPr>
        <w:t>This course derives significant value from in-class discussions. Students will be encouraged and may be cold-called to share their views. Evaluation will be based on quality and, to a lesser degree, quantity of comments. Students should come prepared by reading assigned materials and thinking carefully about preparation questions.</w:t>
      </w:r>
    </w:p>
    <w:p>
      <w:pPr>
        <w:pStyle w:val="Normal"/>
        <w:spacing w:lineRule="auto" w:line="276" w:before="0" w:after="100"/>
        <w:rPr/>
      </w:pPr>
      <w:r>
        <w:rPr>
          <w:rFonts w:eastAsia="Arial"/>
          <w:b/>
          <w:bCs/>
          <w:sz w:val="20"/>
          <w:szCs w:val="20"/>
        </w:rPr>
        <w:t xml:space="preserve">Group Presentation Project: </w:t>
      </w:r>
      <w:r>
        <w:rPr>
          <w:rFonts w:eastAsia="Arial"/>
          <w:sz w:val="20"/>
          <w:szCs w:val="20"/>
        </w:rPr>
        <w:t>All groups should be prepared to present in class. After forming a group, students select a project of type (A), (B), or (C):</w:t>
      </w:r>
    </w:p>
    <w:p>
      <w:pPr>
        <w:pStyle w:val="ListParagraph"/>
        <w:numPr>
          <w:ilvl w:val="0"/>
          <w:numId w:val="1"/>
        </w:numPr>
        <w:spacing w:lineRule="auto" w:line="276" w:before="0" w:after="60"/>
        <w:rPr/>
      </w:pPr>
      <w:r>
        <w:rPr>
          <w:rFonts w:eastAsia="Arial"/>
          <w:b/>
          <w:bCs/>
          <w:sz w:val="20"/>
          <w:szCs w:val="20"/>
        </w:rPr>
        <w:t xml:space="preserve">A: AI Business Case Development: </w:t>
      </w:r>
      <w:r>
        <w:rPr>
          <w:rFonts w:eastAsia="Arial"/>
          <w:sz w:val="20"/>
          <w:szCs w:val="20"/>
        </w:rPr>
        <w:t>Develop a business case for implementing AI in a specific business function (marketing, finance, operations, sales, or talent management). Summarize current practice and propose what more can be done.</w:t>
      </w:r>
    </w:p>
    <w:p>
      <w:pPr>
        <w:pStyle w:val="ListParagraph"/>
        <w:numPr>
          <w:ilvl w:val="0"/>
          <w:numId w:val="1"/>
        </w:numPr>
        <w:spacing w:lineRule="auto" w:line="276" w:before="0" w:after="60"/>
        <w:rPr/>
      </w:pPr>
      <w:r>
        <w:rPr>
          <w:rFonts w:eastAsia="Arial"/>
          <w:b/>
          <w:bCs/>
          <w:sz w:val="20"/>
          <w:szCs w:val="20"/>
        </w:rPr>
        <w:t xml:space="preserve">B: AI Regulation and Governance: </w:t>
      </w:r>
      <w:r>
        <w:rPr>
          <w:rFonts w:eastAsia="Arial"/>
          <w:sz w:val="20"/>
          <w:szCs w:val="20"/>
        </w:rPr>
        <w:t>Develop a framework for ensuring AI systems are transparent, explainable, and fair in a particular business or regulatory context.</w:t>
      </w:r>
    </w:p>
    <w:p>
      <w:pPr>
        <w:pStyle w:val="ListParagraph"/>
        <w:numPr>
          <w:ilvl w:val="0"/>
          <w:numId w:val="1"/>
        </w:numPr>
        <w:spacing w:lineRule="auto" w:line="276" w:before="0" w:after="60"/>
        <w:rPr/>
      </w:pPr>
      <w:r>
        <w:rPr>
          <w:rFonts w:eastAsia="Arial"/>
          <w:b/>
          <w:bCs/>
          <w:sz w:val="20"/>
          <w:szCs w:val="20"/>
        </w:rPr>
        <w:t xml:space="preserve">C: Academic Paper: </w:t>
      </w:r>
      <w:r>
        <w:rPr>
          <w:rFonts w:eastAsia="Arial"/>
          <w:sz w:val="20"/>
          <w:szCs w:val="20"/>
        </w:rPr>
        <w:t>Select from a curated list of academic papers representing cutting-edge and seminal research in ML/AI.</w:t>
      </w:r>
    </w:p>
    <w:p>
      <w:pPr>
        <w:pStyle w:val="Normal"/>
        <w:spacing w:lineRule="auto" w:line="276" w:before="0" w:after="120"/>
        <w:rPr/>
      </w:pPr>
      <w:r>
        <w:rPr>
          <w:rFonts w:eastAsia="Arial"/>
          <w:sz w:val="20"/>
          <w:szCs w:val="20"/>
        </w:rPr>
        <w:t>Projects will be evaluated on: (a) clarity of thought and presentation, (b) depth of analysis, (c) insights obtained, and (d) value to audience. Depth is valued more than a comprehensive but superficial presentation. The final deliverable is a slide deck (maximum 10 content slides, excluding title slide and exhibits).</w:t>
      </w:r>
    </w:p>
    <w:p>
      <w:pPr>
        <w:pStyle w:val="Normal"/>
        <w:rPr/>
      </w:pPr>
      <w:r>
        <w:rPr/>
      </w:r>
      <w:r>
        <w:br w:type="page"/>
      </w:r>
    </w:p>
    <w:p>
      <w:pPr>
        <w:pStyle w:val="Heading3"/>
        <w:spacing w:before="0" w:after="120"/>
        <w:rPr/>
      </w:pPr>
      <w:r>
        <w:rPr/>
        <w:t>Outline of Class Sessions</w:t>
      </w:r>
    </w:p>
    <w:p>
      <w:pPr>
        <w:pStyle w:val="Normal"/>
        <w:spacing w:lineRule="auto" w:line="276" w:before="0" w:after="120"/>
        <w:rPr/>
      </w:pPr>
      <w:r>
        <w:rPr>
          <w:rFonts w:eastAsia="Arial"/>
          <w:i/>
          <w:iCs/>
          <w:sz w:val="20"/>
          <w:szCs w:val="20"/>
        </w:rPr>
        <w:t>Note: The content of some sessions may change. The instructor will post an announcement on Brightspace when there are material updates to the syllabus.</w:t>
      </w:r>
    </w:p>
    <w:tbl>
      <w:tblPr>
        <w:tblW w:w="9360" w:type="dxa"/>
        <w:jc w:val="start"/>
        <w:tblInd w:w="0" w:type="dxa"/>
        <w:tblLayout w:type="fixed"/>
        <w:tblCellMar>
          <w:top w:w="80" w:type="dxa"/>
          <w:start w:w="120" w:type="dxa"/>
          <w:bottom w:w="80" w:type="dxa"/>
          <w:end w:w="120" w:type="dxa"/>
        </w:tblCellMar>
        <w:tblLook w:noHBand="0" w:lastColumn="0" w:firstColumn="0" w:lastRow="0" w:firstRow="0" w:noVBand="0" w:val="0000"/>
      </w:tblPr>
      <w:tblGrid>
        <w:gridCol w:w="900"/>
        <w:gridCol w:w="600"/>
        <w:gridCol w:w="1100"/>
        <w:gridCol w:w="4400"/>
        <w:gridCol w:w="2360"/>
      </w:tblGrid>
      <w:tr>
        <w:trPr/>
        <w:tc>
          <w:tcPr>
            <w:tcW w:w="90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Week</w:t>
            </w:r>
          </w:p>
        </w:tc>
        <w:tc>
          <w:tcPr>
            <w:tcW w:w="60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w:t>
            </w:r>
          </w:p>
        </w:tc>
        <w:tc>
          <w:tcPr>
            <w:tcW w:w="110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Day</w:t>
            </w:r>
          </w:p>
        </w:tc>
        <w:tc>
          <w:tcPr>
            <w:tcW w:w="440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Topic</w:t>
            </w:r>
          </w:p>
        </w:tc>
        <w:tc>
          <w:tcPr>
            <w:tcW w:w="2360" w:type="dxa"/>
            <w:tcBorders>
              <w:top w:val="single" w:sz="2" w:space="0" w:color="BBBBBB"/>
              <w:start w:val="single" w:sz="2" w:space="0" w:color="BBBBBB"/>
              <w:bottom w:val="single" w:sz="2" w:space="0" w:color="BBBBBB"/>
              <w:end w:val="single" w:sz="2" w:space="0" w:color="BBBBBB"/>
            </w:tcBorders>
            <w:shd w:color="auto" w:fill="2D2D2D" w:val="clear"/>
          </w:tcPr>
          <w:p>
            <w:pPr>
              <w:pStyle w:val="Normal"/>
              <w:rPr/>
            </w:pPr>
            <w:r>
              <w:rPr>
                <w:rFonts w:eastAsia="Arial"/>
                <w:b/>
                <w:bCs/>
                <w:color w:val="FFFFFF"/>
                <w:sz w:val="20"/>
                <w:szCs w:val="20"/>
              </w:rPr>
              <w:t>Due (9 AM)</w:t>
            </w:r>
          </w:p>
        </w:tc>
      </w:tr>
      <w:tr>
        <w:trPr/>
        <w:tc>
          <w:tcPr>
            <w:tcW w:w="9360" w:type="dxa"/>
            <w:gridSpan w:val="5"/>
            <w:tcBorders>
              <w:top w:val="single" w:sz="2" w:space="0" w:color="BBBBBB"/>
              <w:start w:val="single" w:sz="2" w:space="0" w:color="BBBBBB"/>
              <w:bottom w:val="single" w:sz="2" w:space="0" w:color="BBBBBB"/>
              <w:end w:val="single" w:sz="2" w:space="0" w:color="BBBBBB"/>
            </w:tcBorders>
            <w:shd w:color="auto" w:fill="CEB888" w:val="clear"/>
            <w:tcMar>
              <w:top w:w="60" w:type="dxa"/>
              <w:bottom w:w="60" w:type="dxa"/>
            </w:tcMar>
          </w:tcPr>
          <w:p>
            <w:pPr>
              <w:pStyle w:val="Normal"/>
              <w:rPr/>
            </w:pPr>
            <w:r>
              <w:rPr>
                <w:rFonts w:eastAsia="Arial"/>
                <w:b/>
                <w:bCs/>
                <w:color w:val="000000"/>
                <w:sz w:val="20"/>
                <w:szCs w:val="20"/>
              </w:rPr>
              <w:t>Module A: AI Foundations</w:t>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1</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1</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Course Introduction and overview of AI through applications</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1</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2</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ML Essentials for Strategic Management</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2</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3</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rFonts w:eastAsia="Arial"/>
                <w:sz w:val="20"/>
                <w:szCs w:val="20"/>
              </w:rPr>
            </w:pPr>
            <w:r>
              <w:rPr>
                <w:rFonts w:eastAsia="Arial"/>
                <w:sz w:val="20"/>
                <w:szCs w:val="20"/>
              </w:rPr>
              <w:t>Application-based overview of machine learning methods</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A1 (In</w:t>
            </w:r>
            <w:r>
              <w:rPr>
                <w:rFonts w:hint="eastAsia"/>
                <w:sz w:val="20"/>
                <w:szCs w:val="20"/>
              </w:rPr>
              <w:t>dividual</w:t>
            </w:r>
            <w:r>
              <w:rPr>
                <w:rFonts w:eastAsia="Arial"/>
                <w:sz w:val="20"/>
                <w:szCs w:val="20"/>
              </w:rPr>
              <w:t>/Pairs)</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2</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4</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AI Foundations: Review and Discussion</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360" w:type="dxa"/>
            <w:gridSpan w:val="5"/>
            <w:tcBorders>
              <w:top w:val="single" w:sz="2" w:space="0" w:color="BBBBBB"/>
              <w:start w:val="single" w:sz="2" w:space="0" w:color="BBBBBB"/>
              <w:bottom w:val="single" w:sz="2" w:space="0" w:color="BBBBBB"/>
              <w:end w:val="single" w:sz="2" w:space="0" w:color="BBBBBB"/>
            </w:tcBorders>
            <w:shd w:color="auto" w:fill="CEB888" w:val="clear"/>
            <w:tcMar>
              <w:top w:w="60" w:type="dxa"/>
              <w:bottom w:w="60" w:type="dxa"/>
            </w:tcMar>
          </w:tcPr>
          <w:p>
            <w:pPr>
              <w:pStyle w:val="Normal"/>
              <w:rPr/>
            </w:pPr>
            <w:r>
              <w:rPr>
                <w:rFonts w:eastAsia="Arial"/>
                <w:b/>
                <w:bCs/>
                <w:color w:val="000000"/>
                <w:sz w:val="20"/>
                <w:szCs w:val="20"/>
              </w:rPr>
              <w:t>Module B: AI Decision Making Framework</w:t>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3</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5</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Economics of AI ↔ Business Strategy</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3</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6</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 xml:space="preserve">Strategic Choices with Interpretable and Explainable AI  </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A2 (Individual)</w:t>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4</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7</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Ethical Issues with AI: Business and Societal implications</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Group Project Overview (one paragraph)</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4</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8</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Module B: Review and Discussion</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360" w:type="dxa"/>
            <w:gridSpan w:val="5"/>
            <w:tcBorders>
              <w:top w:val="single" w:sz="2" w:space="0" w:color="BBBBBB"/>
              <w:start w:val="single" w:sz="2" w:space="0" w:color="BBBBBB"/>
              <w:bottom w:val="single" w:sz="2" w:space="0" w:color="BBBBBB"/>
              <w:end w:val="single" w:sz="2" w:space="0" w:color="BBBBBB"/>
            </w:tcBorders>
            <w:shd w:color="auto" w:fill="CEB888" w:val="clear"/>
            <w:tcMar>
              <w:top w:w="60" w:type="dxa"/>
              <w:bottom w:w="60" w:type="dxa"/>
            </w:tcMar>
          </w:tcPr>
          <w:p>
            <w:pPr>
              <w:pStyle w:val="Normal"/>
              <w:rPr/>
            </w:pPr>
            <w:r>
              <w:rPr>
                <w:rFonts w:eastAsia="Arial"/>
                <w:b/>
                <w:bCs/>
                <w:color w:val="000000"/>
                <w:sz w:val="20"/>
                <w:szCs w:val="20"/>
              </w:rPr>
              <w:t>Module C: AI in Business + Society</w:t>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5</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9</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Uber (CASE)</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A3 (Individual)</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5</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10</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Zebra Medical (CASE)</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6</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11</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Borusan CAT (CASE)</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A4 (Individual)</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6</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12</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Miroglio Fashion (CASE)</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7</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13</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Capstone: Human Capital (Custom CASE)</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t>A5 (Individual)</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7</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14</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Module C: Review and Discussion</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r>
        <w:trPr/>
        <w:tc>
          <w:tcPr>
            <w:tcW w:w="9360" w:type="dxa"/>
            <w:gridSpan w:val="5"/>
            <w:tcBorders>
              <w:top w:val="single" w:sz="2" w:space="0" w:color="BBBBBB"/>
              <w:start w:val="single" w:sz="2" w:space="0" w:color="BBBBBB"/>
              <w:bottom w:val="single" w:sz="2" w:space="0" w:color="BBBBBB"/>
              <w:end w:val="single" w:sz="2" w:space="0" w:color="BBBBBB"/>
            </w:tcBorders>
            <w:shd w:color="auto" w:fill="CEB888" w:val="clear"/>
            <w:tcMar>
              <w:top w:w="60" w:type="dxa"/>
              <w:bottom w:w="60" w:type="dxa"/>
            </w:tcMar>
          </w:tcPr>
          <w:p>
            <w:pPr>
              <w:pStyle w:val="Normal"/>
              <w:rPr/>
            </w:pPr>
            <w:r>
              <w:rPr>
                <w:rFonts w:eastAsia="Arial"/>
                <w:b/>
                <w:bCs/>
                <w:color w:val="000000"/>
                <w:sz w:val="20"/>
                <w:szCs w:val="20"/>
              </w:rPr>
              <w:t>Module D: Project Presentations and Course Wrap</w:t>
            </w:r>
          </w:p>
        </w:tc>
      </w:tr>
      <w:tr>
        <w:trPr/>
        <w:tc>
          <w:tcPr>
            <w:tcW w:w="9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8</w:t>
            </w:r>
          </w:p>
        </w:tc>
        <w:tc>
          <w:tcPr>
            <w:tcW w:w="6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15</w:t>
            </w:r>
          </w:p>
        </w:tc>
        <w:tc>
          <w:tcPr>
            <w:tcW w:w="11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Tue</w:t>
            </w:r>
          </w:p>
        </w:tc>
        <w:tc>
          <w:tcPr>
            <w:tcW w:w="440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Group Presentations</w:t>
            </w:r>
          </w:p>
        </w:tc>
        <w:tc>
          <w:tcPr>
            <w:tcW w:w="2360" w:type="dxa"/>
            <w:tcBorders>
              <w:top w:val="single" w:sz="2" w:space="0" w:color="BBBBBB"/>
              <w:start w:val="single" w:sz="2" w:space="0" w:color="BBBBBB"/>
              <w:bottom w:val="single" w:sz="2" w:space="0" w:color="BBBBBB"/>
              <w:end w:val="single" w:sz="2" w:space="0" w:color="BBBBBB"/>
            </w:tcBorders>
          </w:tcPr>
          <w:p>
            <w:pPr>
              <w:pStyle w:val="Normal"/>
              <w:rPr/>
            </w:pPr>
            <w:r>
              <w:rPr>
                <w:rFonts w:eastAsia="Arial"/>
                <w:sz w:val="20"/>
                <w:szCs w:val="20"/>
              </w:rPr>
              <w:t>Presentation Slides Due</w:t>
            </w:r>
          </w:p>
        </w:tc>
      </w:tr>
      <w:tr>
        <w:trPr/>
        <w:tc>
          <w:tcPr>
            <w:tcW w:w="9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8</w:t>
            </w:r>
          </w:p>
        </w:tc>
        <w:tc>
          <w:tcPr>
            <w:tcW w:w="6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16</w:t>
            </w:r>
          </w:p>
        </w:tc>
        <w:tc>
          <w:tcPr>
            <w:tcW w:w="11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Thu</w:t>
            </w:r>
          </w:p>
        </w:tc>
        <w:tc>
          <w:tcPr>
            <w:tcW w:w="440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Fonts w:eastAsia="Arial"/>
                <w:sz w:val="20"/>
                <w:szCs w:val="20"/>
              </w:rPr>
              <w:t>Group Presentations and Course Wrap</w:t>
            </w:r>
          </w:p>
        </w:tc>
        <w:tc>
          <w:tcPr>
            <w:tcW w:w="2360" w:type="dxa"/>
            <w:tcBorders>
              <w:top w:val="single" w:sz="2" w:space="0" w:color="BBBBBB"/>
              <w:start w:val="single" w:sz="2" w:space="0" w:color="BBBBBB"/>
              <w:bottom w:val="single" w:sz="2" w:space="0" w:color="BBBBBB"/>
              <w:end w:val="single" w:sz="2" w:space="0" w:color="BBBBBB"/>
            </w:tcBorders>
            <w:shd w:color="auto" w:fill="F9F7F2" w:val="clear"/>
          </w:tcPr>
          <w:p>
            <w:pPr>
              <w:pStyle w:val="Normal"/>
              <w:rPr/>
            </w:pPr>
            <w:r>
              <w:rPr/>
            </w:r>
          </w:p>
        </w:tc>
      </w:tr>
    </w:tbl>
    <w:p>
      <w:pPr>
        <w:pStyle w:val="Normal"/>
        <w:rPr/>
      </w:pPr>
      <w:r>
        <w:rPr/>
      </w:r>
      <w:r>
        <w:br w:type="page"/>
      </w:r>
    </w:p>
    <w:p>
      <w:pPr>
        <w:pStyle w:val="Heading3"/>
        <w:spacing w:before="0" w:after="120"/>
        <w:rPr/>
      </w:pPr>
      <w:r>
        <w:rPr/>
        <w:t>Policy on Use of Large Language Models (LLMs)</w:t>
      </w:r>
    </w:p>
    <w:p>
      <w:pPr>
        <w:pStyle w:val="Normal"/>
        <w:spacing w:lineRule="auto" w:line="276" w:before="0" w:after="120"/>
        <w:rPr/>
      </w:pPr>
      <w:r>
        <w:rPr>
          <w:rFonts w:eastAsia="Arial"/>
          <w:sz w:val="20"/>
          <w:szCs w:val="20"/>
        </w:rPr>
        <w:t>Students are encouraged to use generative AI tools based on Large Language Models (LLMs) such as ChatGPT to learn more about the underlying ideas and concepts. If you use these tools for your assignments, please acknowledge this and include a couple of sentences about your experience with each submission. You will not be penalized for using these tools. However, originality will be considered in determining grades. Therefore, submitting ideas commonly generated by LLMs may not necessarily result in full points being awarded. Think of the LLM’s “answer” as a baseline—you should aim to do better than that.</w:t>
      </w:r>
    </w:p>
    <w:p>
      <w:pPr>
        <w:pStyle w:val="Normal"/>
        <w:spacing w:lineRule="auto" w:line="276" w:before="0" w:after="120"/>
        <w:rPr/>
      </w:pPr>
      <w:r>
        <w:rPr>
          <w:rFonts w:eastAsia="Arial"/>
          <w:sz w:val="20"/>
          <w:szCs w:val="20"/>
        </w:rPr>
        <w:t>If you use LLMs for the group project, you should include a one-slide description of how you used LLMs. This slide will not impact your grade (unless it is missing) and does not count towards the slide limit.</w:t>
      </w:r>
    </w:p>
    <w:p>
      <w:pPr>
        <w:pStyle w:val="Heading3"/>
        <w:spacing w:before="240" w:after="120"/>
        <w:rPr/>
      </w:pPr>
      <w:r>
        <w:rPr/>
        <w:t>Academic Integrity</w:t>
      </w:r>
    </w:p>
    <w:p>
      <w:pPr>
        <w:pStyle w:val="Normal"/>
        <w:spacing w:lineRule="auto" w:line="276" w:before="0" w:after="120"/>
        <w:rPr/>
      </w:pPr>
      <w:r>
        <w:rPr>
          <w:rFonts w:eastAsia="Arial"/>
          <w:sz w:val="20"/>
          <w:szCs w:val="20"/>
        </w:rPr>
        <w:t>Purdue prohibits “dishonesty in connection with any University activity. Cheating, plagiarism, or knowingly furnishing false information to the University are examples of dishonesty.” [Part 5, Section III-B-2-a, University Regulations] Furthermore, the University Senate has stipulated that “the commitment of acts of cheating, lying, and deceit in any of their diverse forms (such as the use of substitutes for taking examinations, the use of illegal cribs, plagiarism, and copying during examinations) is dishonest and must not be tolerated.” [University Senate Document 72-18, December 15, 1972]</w:t>
      </w:r>
    </w:p>
    <w:p>
      <w:pPr>
        <w:pStyle w:val="Normal"/>
        <w:spacing w:lineRule="auto" w:line="276" w:before="0" w:after="120"/>
        <w:rPr/>
      </w:pPr>
      <w:r>
        <w:rPr>
          <w:rFonts w:eastAsia="Arial"/>
          <w:b/>
          <w:bCs/>
          <w:sz w:val="20"/>
          <w:szCs w:val="20"/>
        </w:rPr>
        <w:t xml:space="preserve">Purdue’s Honor Pledge: </w:t>
      </w:r>
      <w:r>
        <w:rPr>
          <w:rFonts w:eastAsia="Arial"/>
          <w:i/>
          <w:iCs/>
          <w:sz w:val="20"/>
          <w:szCs w:val="20"/>
        </w:rPr>
        <w:t>“As a Boilermaker pursuing academic excellence, I pledge to be honest and true in all that I do. Accountable together — we are Purdue.”</w:t>
      </w:r>
    </w:p>
    <w:p>
      <w:pPr>
        <w:pStyle w:val="Heading3"/>
        <w:spacing w:before="240" w:after="120"/>
        <w:rPr/>
      </w:pPr>
      <w:r>
        <w:rPr/>
        <w:t>Accessibility and Accommodations</w:t>
      </w:r>
    </w:p>
    <w:p>
      <w:pPr>
        <w:pStyle w:val="Normal"/>
        <w:spacing w:lineRule="auto" w:line="276" w:before="0" w:after="120"/>
        <w:rPr/>
      </w:pPr>
      <w:r>
        <w:rPr>
          <w:rFonts w:eastAsia="Arial"/>
          <w:sz w:val="20"/>
          <w:szCs w:val="20"/>
        </w:rPr>
        <w:t>Purdue University is committed to maintaining a community that recognizes and values the inherent worth and dignity of every person. If you anticipate or experience physical or academic barriers based on disability, please contact the Disability Resource Center (DRC) at drc@purdue.edu or 765-494-1247. Students are encouraged to inform the instructor as early in the semester as possible so that appropriate accommodations can be arranged.</w:t>
      </w:r>
    </w:p>
    <w:p>
      <w:pPr>
        <w:pStyle w:val="Heading3"/>
        <w:spacing w:before="240" w:after="120"/>
        <w:rPr/>
      </w:pPr>
      <w:r>
        <w:rPr/>
        <w:t>Mental Health and Wellness</w:t>
      </w:r>
    </w:p>
    <w:p>
      <w:pPr>
        <w:pStyle w:val="Normal"/>
        <w:spacing w:lineRule="auto" w:line="276" w:before="0" w:after="120"/>
        <w:rPr/>
      </w:pPr>
      <w:r>
        <w:rPr>
          <w:rFonts w:eastAsia="Arial"/>
          <w:sz w:val="20"/>
          <w:szCs w:val="20"/>
        </w:rPr>
        <w:t>If you find yourself beginning to feel some stress, anxiety, and/or feeling slightly overwhelmed, try Purdue WellTrack. If you need support and information about options and resources, please contact or see the Office of the Dean of Students. If you find yourself struggling to find a healthy balance between academics, social life, stress, etc., sign up for free one-on-one virtual or in-person sessions with a Purdue Wellness Coach at RecWell. If you are in crisis, please call the Counseling and Psychological Services (CAPS) during business hours at 765-494-6995, or contact the CAPS On-Call Crisis Service after hours by calling the Purdue Police at 765-494-8221.</w:t>
      </w:r>
    </w:p>
    <w:p>
      <w:pPr>
        <w:pStyle w:val="Heading3"/>
        <w:spacing w:before="240" w:after="120"/>
        <w:rPr/>
      </w:pPr>
      <w:r>
        <w:rPr/>
        <w:t>Non-Discrimination Statement</w:t>
      </w:r>
    </w:p>
    <w:p>
      <w:pPr>
        <w:pStyle w:val="Normal"/>
        <w:spacing w:lineRule="auto" w:line="276" w:before="0" w:after="120"/>
        <w:rPr/>
      </w:pPr>
      <w:r>
        <w:rPr>
          <w:rFonts w:eastAsia="Arial"/>
          <w:sz w:val="20"/>
          <w:szCs w:val="20"/>
        </w:rPr>
        <w:t>Purdue University is committed to maintaining a community that recognizes and values the inherent worth and dignity of every person; fosters tolerance, sensitivity, understanding, and mutual respect among its members; and encourages each individual to strive to reach his or her potential. In pursuit of its goal of academic excellence, the University seeks to develop and nurture diversity. The University believes that diversity among its many members strengthens the institution, stimulates creativity, promotes the exchange of ideas, and enriches campus life.</w:t>
      </w:r>
    </w:p>
    <w:p>
      <w:pPr>
        <w:pStyle w:val="Heading3"/>
        <w:spacing w:before="240" w:after="120"/>
        <w:rPr/>
      </w:pPr>
      <w:r>
        <w:rPr/>
        <w:t>Emergency Preparedness</w:t>
      </w:r>
    </w:p>
    <w:p>
      <w:pPr>
        <w:pStyle w:val="Normal"/>
        <w:spacing w:lineRule="auto" w:line="276" w:before="0" w:after="120"/>
        <w:rPr/>
      </w:pPr>
      <w:r>
        <w:rPr>
          <w:rFonts w:eastAsia="Arial"/>
          <w:sz w:val="20"/>
          <w:szCs w:val="20"/>
        </w:rPr>
        <w:t>In the event of a major campus emergency, course requirements, deadlines, and grading percentages are subject to changes that may be necessitated by a revised semester calendar or other circumstances beyond the instructor’s control. Relevant changes to this course will be posted on Brightspace or can be obtained by contacting the instructor via email.</w:t>
      </w:r>
    </w:p>
    <w:sectPr>
      <w:headerReference w:type="even" r:id="rId41"/>
      <w:headerReference w:type="default" r:id="rId42"/>
      <w:headerReference w:type="first" r:id="rId43"/>
      <w:footerReference w:type="even" r:id="rId44"/>
      <w:footerReference w:type="default" r:id="rId45"/>
      <w:footerReference w:type="first" r:id="rId46"/>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EB888"/>
      </w:pBdr>
      <w:jc w:val="center"/>
      <w:rPr/>
    </w:pPr>
    <w:r>
      <w:rPr>
        <w:rFonts w:eastAsia="Arial"/>
        <w:color w:val="888888"/>
        <w:sz w:val="16"/>
        <w:szCs w:val="16"/>
      </w:rPr>
      <w:t xml:space="preserve">MKTG 68900 — New Course Proposal  |  Page </w:t>
    </w:r>
    <w:r>
      <w:rPr>
        <w:rFonts w:eastAsia="Arial"/>
        <w:color w:val="888888"/>
        <w:sz w:val="16"/>
        <w:szCs w:val="16"/>
      </w:rPr>
      <w:fldChar w:fldCharType="begin"/>
    </w:r>
    <w:r>
      <w:rPr>
        <w:rFonts w:eastAsia="Arial"/>
        <w:color w:val="888888"/>
        <w:sz w:val="16"/>
        <w:szCs w:val="16"/>
      </w:rPr>
      <w:instrText xml:space="preserve"> PAGE </w:instrText>
    </w:r>
    <w:r>
      <w:rPr>
        <w:rFonts w:eastAsia="Arial"/>
        <w:color w:val="888888"/>
        <w:sz w:val="16"/>
        <w:szCs w:val="16"/>
      </w:rPr>
      <w:fldChar w:fldCharType="separate"/>
    </w:r>
    <w:r>
      <w:rPr>
        <w:rFonts w:eastAsia="Arial"/>
        <w:color w:val="888888"/>
        <w:sz w:val="16"/>
        <w:szCs w:val="16"/>
      </w:rPr>
      <w:t>9</w:t>
    </w:r>
    <w:r>
      <w:rPr>
        <w:rFonts w:eastAsia="Arial"/>
        <w:color w:val="888888"/>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EB888"/>
      </w:pBdr>
      <w:jc w:val="center"/>
      <w:rPr/>
    </w:pPr>
    <w:r>
      <w:rPr>
        <w:rFonts w:eastAsia="Arial"/>
        <w:color w:val="888888"/>
        <w:sz w:val="16"/>
        <w:szCs w:val="16"/>
      </w:rPr>
      <w:t xml:space="preserve">MKTG 68900 — New Course Proposal  |  Page </w:t>
    </w:r>
    <w:r>
      <w:rPr>
        <w:rFonts w:eastAsia="Arial"/>
        <w:color w:val="888888"/>
        <w:sz w:val="16"/>
        <w:szCs w:val="16"/>
      </w:rPr>
      <w:fldChar w:fldCharType="begin"/>
    </w:r>
    <w:r>
      <w:rPr>
        <w:rFonts w:eastAsia="Arial"/>
        <w:color w:val="888888"/>
        <w:sz w:val="16"/>
        <w:szCs w:val="16"/>
      </w:rPr>
      <w:instrText xml:space="preserve"> PAGE </w:instrText>
    </w:r>
    <w:r>
      <w:rPr>
        <w:rFonts w:eastAsia="Arial"/>
        <w:color w:val="888888"/>
        <w:sz w:val="16"/>
        <w:szCs w:val="16"/>
      </w:rPr>
      <w:fldChar w:fldCharType="separate"/>
    </w:r>
    <w:r>
      <w:rPr>
        <w:rFonts w:eastAsia="Arial"/>
        <w:color w:val="888888"/>
        <w:sz w:val="16"/>
        <w:szCs w:val="16"/>
      </w:rPr>
      <w:t>9</w:t>
    </w:r>
    <w:r>
      <w:rPr>
        <w:rFonts w:eastAsia="Arial"/>
        <w:color w:val="888888"/>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EB888"/>
      </w:pBdr>
      <w:rPr/>
    </w:pPr>
    <w:r>
      <w:rPr>
        <w:rFonts w:eastAsia="Arial"/>
        <w:b/>
        <w:bCs/>
        <w:color w:val="000000"/>
        <w:sz w:val="18"/>
        <w:szCs w:val="18"/>
      </w:rPr>
      <w:t>PURDUE UNIVERSITY</w:t>
    </w:r>
    <w:r>
      <w:rPr>
        <w:rFonts w:eastAsia="Arial"/>
        <w:color w:val="999999"/>
        <w:sz w:val="18"/>
        <w:szCs w:val="18"/>
      </w:rPr>
      <w:t xml:space="preserve">  |  </w:t>
    </w:r>
    <w:r>
      <w:rPr>
        <w:rFonts w:eastAsia="Arial"/>
        <w:color w:val="8E6F3E"/>
        <w:sz w:val="18"/>
        <w:szCs w:val="18"/>
      </w:rPr>
      <w:t>Mitch E. Daniels, Jr. School of Business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EB888"/>
      </w:pBdr>
      <w:rPr/>
    </w:pPr>
    <w:r>
      <w:rPr>
        <w:rFonts w:eastAsia="Arial"/>
        <w:b/>
        <w:bCs/>
        <w:color w:val="000000"/>
        <w:sz w:val="18"/>
        <w:szCs w:val="18"/>
      </w:rPr>
      <w:t>PURDUE UNIVERSITY</w:t>
    </w:r>
    <w:r>
      <w:rPr>
        <w:rFonts w:eastAsia="Arial"/>
        <w:color w:val="999999"/>
        <w:sz w:val="18"/>
        <w:szCs w:val="18"/>
      </w:rPr>
      <w:t xml:space="preserve">  |  </w:t>
    </w:r>
    <w:r>
      <w:rPr>
        <w:rFonts w:eastAsia="Arial"/>
        <w:color w:val="8E6F3E"/>
        <w:sz w:val="18"/>
        <w:szCs w:val="18"/>
      </w:rPr>
      <w:t>Mitch E. Daniels, Jr. School of Business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880" w:hanging="440"/>
      </w:pPr>
      <w:rPr/>
    </w:lvl>
    <w:lvl w:ilvl="2">
      <w:start w:val="1"/>
      <w:numFmt w:val="lowerRoman"/>
      <w:lvlText w:val="%3."/>
      <w:lvlJc w:val="end"/>
      <w:pPr>
        <w:tabs>
          <w:tab w:val="num" w:pos="0"/>
        </w:tabs>
        <w:ind w:start="1320" w:hanging="440"/>
      </w:pPr>
      <w:rPr/>
    </w:lvl>
    <w:lvl w:ilvl="3">
      <w:start w:val="1"/>
      <w:numFmt w:val="decimal"/>
      <w:lvlText w:val="%4."/>
      <w:lvlJc w:val="start"/>
      <w:pPr>
        <w:tabs>
          <w:tab w:val="num" w:pos="0"/>
        </w:tabs>
        <w:ind w:start="1760" w:hanging="440"/>
      </w:pPr>
      <w:rPr/>
    </w:lvl>
    <w:lvl w:ilvl="4">
      <w:start w:val="1"/>
      <w:numFmt w:val="lowerLetter"/>
      <w:lvlText w:val="%5)"/>
      <w:lvlJc w:val="start"/>
      <w:pPr>
        <w:tabs>
          <w:tab w:val="num" w:pos="0"/>
        </w:tabs>
        <w:ind w:start="2200" w:hanging="440"/>
      </w:pPr>
      <w:rPr/>
    </w:lvl>
    <w:lvl w:ilvl="5">
      <w:start w:val="1"/>
      <w:numFmt w:val="lowerRoman"/>
      <w:lvlText w:val="%6."/>
      <w:lvlJc w:val="end"/>
      <w:pPr>
        <w:tabs>
          <w:tab w:val="num" w:pos="0"/>
        </w:tabs>
        <w:ind w:start="2640" w:hanging="440"/>
      </w:pPr>
      <w:rPr/>
    </w:lvl>
    <w:lvl w:ilvl="6">
      <w:start w:val="1"/>
      <w:numFmt w:val="decimal"/>
      <w:lvlText w:val="%7."/>
      <w:lvlJc w:val="start"/>
      <w:pPr>
        <w:tabs>
          <w:tab w:val="num" w:pos="0"/>
        </w:tabs>
        <w:ind w:start="3080" w:hanging="440"/>
      </w:pPr>
      <w:rPr/>
    </w:lvl>
    <w:lvl w:ilvl="7">
      <w:start w:val="1"/>
      <w:numFmt w:val="lowerLetter"/>
      <w:lvlText w:val="%8)"/>
      <w:lvlJc w:val="start"/>
      <w:pPr>
        <w:tabs>
          <w:tab w:val="num" w:pos="0"/>
        </w:tabs>
        <w:ind w:start="3520" w:hanging="440"/>
      </w:pPr>
      <w:rPr/>
    </w:lvl>
    <w:lvl w:ilvl="8">
      <w:start w:val="1"/>
      <w:numFmt w:val="lowerRoman"/>
      <w:lvlText w:val="%9."/>
      <w:lvlJc w:val="end"/>
      <w:pPr>
        <w:tabs>
          <w:tab w:val="num" w:pos="0"/>
        </w:tabs>
        <w:ind w:start="3960" w:hanging="44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 w:cs="Arial" w:eastAsiaTheme="minorEastAsia"/>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w:hAnsi="Arial" w:eastAsia="" w:cs="Arial" w:eastAsiaTheme="minorEastAsia"/>
      <w:color w:val="auto"/>
      <w:kern w:val="0"/>
      <w:sz w:val="22"/>
      <w:szCs w:val="22"/>
      <w:lang w:val="en-US" w:eastAsia="zh-CN" w:bidi="ar-SA"/>
    </w:rPr>
  </w:style>
  <w:style w:type="paragraph" w:styleId="Heading1">
    <w:name w:val="heading 1"/>
    <w:uiPriority w:val="9"/>
    <w:qFormat/>
    <w:pPr>
      <w:widowControl/>
      <w:suppressAutoHyphens w:val="true"/>
      <w:bidi w:val="0"/>
      <w:spacing w:before="240" w:after="240"/>
      <w:jc w:val="start"/>
      <w:outlineLvl w:val="0"/>
    </w:pPr>
    <w:rPr>
      <w:rFonts w:eastAsia="Arial" w:ascii="Arial" w:hAnsi="Arial" w:cs="Arial"/>
      <w:b/>
      <w:bCs/>
      <w:color w:val="000000"/>
      <w:kern w:val="0"/>
      <w:sz w:val="36"/>
      <w:szCs w:val="36"/>
      <w:lang w:val="en-US" w:eastAsia="zh-CN" w:bidi="ar-SA"/>
    </w:rPr>
  </w:style>
  <w:style w:type="paragraph" w:styleId="Heading2">
    <w:name w:val="heading 2"/>
    <w:uiPriority w:val="9"/>
    <w:unhideWhenUsed/>
    <w:qFormat/>
    <w:pPr>
      <w:widowControl/>
      <w:suppressAutoHyphens w:val="true"/>
      <w:bidi w:val="0"/>
      <w:spacing w:before="240" w:after="180"/>
      <w:jc w:val="start"/>
      <w:outlineLvl w:val="1"/>
    </w:pPr>
    <w:rPr>
      <w:rFonts w:eastAsia="Arial" w:ascii="Arial" w:hAnsi="Arial" w:cs="Arial"/>
      <w:b/>
      <w:bCs/>
      <w:color w:val="333333"/>
      <w:kern w:val="0"/>
      <w:sz w:val="28"/>
      <w:szCs w:val="28"/>
      <w:lang w:val="en-US" w:eastAsia="zh-CN" w:bidi="ar-SA"/>
    </w:rPr>
  </w:style>
  <w:style w:type="paragraph" w:styleId="Heading3">
    <w:name w:val="heading 3"/>
    <w:uiPriority w:val="9"/>
    <w:unhideWhenUsed/>
    <w:qFormat/>
    <w:pPr>
      <w:widowControl/>
      <w:suppressAutoHyphens w:val="true"/>
      <w:bidi w:val="0"/>
      <w:spacing w:before="200" w:after="120"/>
      <w:jc w:val="start"/>
      <w:outlineLvl w:val="2"/>
    </w:pPr>
    <w:rPr>
      <w:rFonts w:eastAsia="Arial" w:ascii="Arial" w:hAnsi="Arial" w:cs="Arial"/>
      <w:b/>
      <w:bCs/>
      <w:color w:val="8E6F3E"/>
      <w:kern w:val="0"/>
      <w:sz w:val="24"/>
      <w:szCs w:val="24"/>
      <w:lang w:val="en-US" w:eastAsia="zh-CN" w:bidi="ar-SA"/>
    </w:rPr>
  </w:style>
  <w:style w:type="paragraph" w:styleId="Heading4">
    <w:name w:val="heading 4"/>
    <w:uiPriority w:val="9"/>
    <w:semiHidden/>
    <w:unhideWhenUsed/>
    <w:qFormat/>
    <w:pPr>
      <w:widowControl/>
      <w:suppressAutoHyphens w:val="true"/>
      <w:bidi w:val="0"/>
      <w:spacing w:before="0" w:after="0"/>
      <w:jc w:val="start"/>
      <w:outlineLvl w:val="3"/>
    </w:pPr>
    <w:rPr>
      <w:rFonts w:eastAsia="等线" w:ascii="Arial" w:hAnsi="Arial" w:cs="Arial"/>
      <w:i/>
      <w:iCs/>
      <w:color w:val="2E74B5"/>
      <w:kern w:val="0"/>
      <w:sz w:val="22"/>
      <w:szCs w:val="22"/>
      <w:lang w:val="en-US" w:eastAsia="zh-CN" w:bidi="ar-SA"/>
    </w:rPr>
  </w:style>
  <w:style w:type="paragraph" w:styleId="Heading5">
    <w:name w:val="heading 5"/>
    <w:uiPriority w:val="9"/>
    <w:semiHidden/>
    <w:unhideWhenUsed/>
    <w:qFormat/>
    <w:pPr>
      <w:widowControl/>
      <w:suppressAutoHyphens w:val="true"/>
      <w:bidi w:val="0"/>
      <w:spacing w:before="0" w:after="0"/>
      <w:jc w:val="start"/>
      <w:outlineLvl w:val="4"/>
    </w:pPr>
    <w:rPr>
      <w:rFonts w:eastAsia="等线" w:ascii="Arial" w:hAnsi="Arial" w:cs="Arial"/>
      <w:color w:val="2E74B5"/>
      <w:kern w:val="0"/>
      <w:sz w:val="22"/>
      <w:szCs w:val="22"/>
      <w:lang w:val="en-US" w:eastAsia="zh-CN" w:bidi="ar-SA"/>
    </w:rPr>
  </w:style>
  <w:style w:type="paragraph" w:styleId="Heading6">
    <w:name w:val="heading 6"/>
    <w:uiPriority w:val="9"/>
    <w:semiHidden/>
    <w:unhideWhenUsed/>
    <w:qFormat/>
    <w:pPr>
      <w:widowControl/>
      <w:suppressAutoHyphens w:val="true"/>
      <w:bidi w:val="0"/>
      <w:spacing w:before="0" w:after="0"/>
      <w:jc w:val="start"/>
      <w:outlineLvl w:val="5"/>
    </w:pPr>
    <w:rPr>
      <w:rFonts w:eastAsia="等线" w:ascii="Arial" w:hAnsi="Arial" w:cs="Arial"/>
      <w:color w:val="1F4D78"/>
      <w:kern w:val="0"/>
      <w:sz w:val="22"/>
      <w:szCs w:val="22"/>
      <w:lang w:val="en-US" w:eastAsia="zh-CN"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e63a8a"/>
    <w:rPr>
      <w:color w:val="605E5C"/>
      <w:shd w:fill="E1DFDD" w:val="clear"/>
    </w:rPr>
  </w:style>
  <w:style w:type="character" w:styleId="FollowedHyperlink">
    <w:name w:val="FollowedHyperlink"/>
    <w:basedOn w:val="DefaultParagraphFont"/>
    <w:uiPriority w:val="99"/>
    <w:semiHidden/>
    <w:unhideWhenUsed/>
    <w:rsid w:val="00cb4888"/>
    <w:rPr>
      <w:color w:themeColor="followedHyperlink" w:val="96607D"/>
      <w:u w:val="single"/>
    </w:rPr>
  </w:style>
  <w:style w:type="paragraph" w:styleId="Heading" w:customStyle="1">
    <w:name w:val="Heading"/>
    <w:basedOn w:val="Normal"/>
    <w:next w:val="BodyText"/>
    <w:qFormat/>
    <w:pPr>
      <w:keepNext w:val="true"/>
      <w:spacing w:before="240" w:after="120"/>
    </w:pPr>
    <w:rPr>
      <w:rFonts w:ascii="Liberation Sans" w:hAnsi="Liberation Sans" w:eastAsia="微软雅黑"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le">
    <w:name w:val="Title"/>
    <w:uiPriority w:val="10"/>
    <w:qFormat/>
    <w:pPr>
      <w:widowControl/>
      <w:suppressAutoHyphens w:val="true"/>
      <w:bidi w:val="0"/>
      <w:spacing w:before="0" w:after="0"/>
      <w:jc w:val="start"/>
    </w:pPr>
    <w:rPr>
      <w:rFonts w:ascii="Arial" w:hAnsi="Arial" w:eastAsia="" w:cs="Arial" w:eastAsiaTheme="minorEastAsia"/>
      <w:color w:val="auto"/>
      <w:kern w:val="0"/>
      <w:sz w:val="56"/>
      <w:szCs w:val="56"/>
      <w:lang w:val="en-US" w:eastAsia="zh-CN" w:bidi="ar-SA"/>
    </w:rPr>
  </w:style>
  <w:style w:type="paragraph" w:styleId="Strong1" w:customStyle="1">
    <w:name w:val="Strong1"/>
    <w:qFormat/>
    <w:pPr>
      <w:widowControl/>
      <w:suppressAutoHyphens w:val="true"/>
      <w:bidi w:val="0"/>
      <w:spacing w:before="0" w:after="0"/>
      <w:jc w:val="start"/>
    </w:pPr>
    <w:rPr>
      <w:rFonts w:ascii="Arial" w:hAnsi="Arial" w:eastAsia="" w:cs="Arial" w:eastAsiaTheme="minorEastAsia"/>
      <w:b/>
      <w:bCs/>
      <w:color w:val="auto"/>
      <w:kern w:val="0"/>
      <w:sz w:val="22"/>
      <w:szCs w:val="22"/>
      <w:lang w:val="en-US" w:eastAsia="zh-CN" w:bidi="ar-SA"/>
    </w:rPr>
  </w:style>
  <w:style w:type="paragraph" w:styleId="ListParagraph">
    <w:name w:val="List Paragraph"/>
    <w:qFormat/>
    <w:pPr>
      <w:widowControl/>
      <w:suppressAutoHyphens w:val="true"/>
      <w:bidi w:val="0"/>
      <w:spacing w:before="0" w:after="0"/>
      <w:jc w:val="start"/>
    </w:pPr>
    <w:rPr>
      <w:rFonts w:ascii="Arial" w:hAnsi="Arial" w:eastAsia="" w:cs="Arial" w:eastAsiaTheme="minorEastAsia"/>
      <w:color w:val="auto"/>
      <w:kern w:val="0"/>
      <w:sz w:val="22"/>
      <w:szCs w:val="22"/>
      <w:lang w:val="en-US" w:eastAsia="zh-CN"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 w:cs="Arial" w:eastAsiaTheme="minorEastAsia"/>
      <w:color w:val="auto"/>
      <w:kern w:val="0"/>
      <w:sz w:val="20"/>
      <w:szCs w:val="20"/>
      <w:lang w:val="en-US" w:eastAsia="zh-CN"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 w:cs="Arial" w:eastAsiaTheme="minorEastAsia"/>
      <w:color w:val="auto"/>
      <w:kern w:val="0"/>
      <w:sz w:val="20"/>
      <w:szCs w:val="20"/>
      <w:lang w:val="en-US" w:eastAsia="zh-CN" w:bidi="ar-SA"/>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Revision">
    <w:name w:val="Revision"/>
    <w:uiPriority w:val="99"/>
    <w:semiHidden/>
    <w:qFormat/>
    <w:rsid w:val="00406a1b"/>
    <w:pPr>
      <w:widowControl/>
      <w:suppressAutoHyphens w:val="false"/>
      <w:bidi w:val="0"/>
      <w:spacing w:before="0" w:after="0"/>
      <w:jc w:val="start"/>
    </w:pPr>
    <w:rPr>
      <w:rFonts w:ascii="Arial" w:hAnsi="Arial" w:eastAsia="" w:cs="Arial" w:eastAsiaTheme="minorEastAsia"/>
      <w:color w:val="auto"/>
      <w:kern w:val="0"/>
      <w:sz w:val="22"/>
      <w:szCs w:val="22"/>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ckinsey.com/business-functions/mckinsey-analytics/our-insights/" TargetMode="External"/><Relationship Id="rId3" Type="http://schemas.openxmlformats.org/officeDocument/2006/relationships/hyperlink" Target="https://sloanreview.mit.edu/article/the-building-blocks-of-an-ai-strategy/" TargetMode="External"/><Relationship Id="rId4" Type="http://schemas.openxmlformats.org/officeDocument/2006/relationships/hyperlink" Target="https://www.bcg.com/publications/2017/technology-digital-strategy-building-b" TargetMode="External"/><Relationship Id="rId5" Type="http://schemas.openxmlformats.org/officeDocument/2006/relationships/hyperlink" Target="https://www.kdnuggets.com/2018/10/mitchell-paradigm-concise-explanation-lea" TargetMode="External"/><Relationship Id="rId6" Type="http://schemas.openxmlformats.org/officeDocument/2006/relationships/hyperlink" Target="https://developers.google.com/machine-learning/problem-framing" TargetMode="External"/><Relationship Id="rId7" Type="http://schemas.openxmlformats.org/officeDocument/2006/relationships/hyperlink" Target="https://nancyshnoudeh.medium.com/the-building-blocks-of-ai-31e5b3ad0857" TargetMode="External"/><Relationship Id="rId8" Type="http://schemas.openxmlformats.org/officeDocument/2006/relationships/hyperlink" Target="https://medium.com/swlh/recall-precision-f1-roc-auc-and-everything-542aedf32" TargetMode="External"/><Relationship Id="rId9" Type="http://schemas.openxmlformats.org/officeDocument/2006/relationships/hyperlink" Target="https://mitpress.mit.edu/978" TargetMode="External"/><Relationship Id="rId10" Type="http://schemas.openxmlformats.org/officeDocument/2006/relationships/hyperlink" Target="https://www.jeremyjordan.me/evaluating-a-machine-learning-model/" TargetMode="External"/><Relationship Id="rId11" Type="http://schemas.openxmlformats.org/officeDocument/2006/relationships/hyperlink" Target="https://towardsdatascience.com/reinforcement-learning-made-simple-part-1-int" TargetMode="External"/><Relationship Id="rId12" Type="http://schemas.openxmlformats.org/officeDocument/2006/relationships/hyperlink" Target="http://www.incompleteideas.net/sutton/book/" TargetMode="External"/><Relationship Id="rId13" Type="http://schemas.openxmlformats.org/officeDocument/2006/relationships/hyperlink" Target="https://medium.com/ordina-data/reinforcement-learning-in-business-a-sneak-p" TargetMode="External"/><Relationship Id="rId14" Type="http://schemas.openxmlformats.org/officeDocument/2006/relationships/hyperlink" Target="https://www.mckinsey.com/business-functions/mckinsey-analytics/our-insights/" TargetMode="External"/><Relationship Id="rId15" Type="http://schemas.openxmlformats.org/officeDocument/2006/relationships/hyperlink" Target="https://developers.google.com/machine-learning/gan/generative" TargetMode="External"/><Relationship Id="rId16" Type="http://schemas.openxmlformats.org/officeDocument/2006/relationships/hyperlink" Target="https://www.youtube.com/watch?v=zjkBMFhNj_g" TargetMode="External"/><Relationship Id="rId17" Type="http://schemas.openxmlformats.org/officeDocument/2006/relationships/hyperlink" Target="https://www.mckinsey.com/capabilities/mckinsey-digital/our-insights/a-gener" TargetMode="External"/><Relationship Id="rId18" Type="http://schemas.openxmlformats.org/officeDocument/2006/relationships/hyperlink" Target="https://www.mckinsey.com/capabilities/mckinsey-digital/our-insights/a-gener" TargetMode="External"/><Relationship Id="rId19" Type="http://schemas.openxmlformats.org/officeDocument/2006/relationships/hyperlink" Target="https://www.theatlantic.com/technology/archive/2024/09/does-ai-understand-l" TargetMode="External"/><Relationship Id="rId20" Type="http://schemas.openxmlformats.org/officeDocument/2006/relationships/hyperlink" Target="https://www.nytimes.com/2024/12/15/podcasts/the-daily/ai-hollywood-movies-cgi.html" TargetMode="External"/><Relationship Id="rId21" Type="http://schemas.openxmlformats.org/officeDocument/2006/relationships/hyperlink" Target="https://www.google.com/books/edition/Prediction_Machines/wJY4DwAAQBAJ" TargetMode="External"/><Relationship Id="rId22" Type="http://schemas.openxmlformats.org/officeDocument/2006/relationships/hyperlink" Target="https://www.mckinsey.com/business-functions/mckinsey-analytics/our-insights/" TargetMode="External"/><Relationship Id="rId23" Type="http://schemas.openxmlformats.org/officeDocument/2006/relationships/hyperlink" Target="https://sloanreview.mit.edu/article/the-human-factor-in-ai-based-decision-m" TargetMode="External"/><Relationship Id="rId24" Type="http://schemas.openxmlformats.org/officeDocument/2006/relationships/hyperlink" Target="https://hbsp.harvard.edu/tu/cfcb7051" TargetMode="External"/><Relationship Id="rId25" Type="http://schemas.openxmlformats.org/officeDocument/2006/relationships/hyperlink" Target="https://arxiv.org/pdf/1806.00069.pdf" TargetMode="External"/><Relationship Id="rId26" Type="http://schemas.openxmlformats.org/officeDocument/2006/relationships/hyperlink" Target="https://christophm.github.io/interpretable-ml-book/" TargetMode="External"/><Relationship Id="rId27" Type="http://schemas.openxmlformats.org/officeDocument/2006/relationships/hyperlink" Target="https://sitn.hms.harvard.edu/flash/2019/artificial-intelligence-in-medicin" TargetMode="External"/><Relationship Id="rId28" Type="http://schemas.openxmlformats.org/officeDocument/2006/relationships/hyperlink" Target="https://www.nature.com/articles/s41551-018-0305-z" TargetMode="External"/><Relationship Id="rId29" Type="http://schemas.openxmlformats.org/officeDocument/2006/relationships/hyperlink" Target="https://www.thelancet.com/journals/landig/article/PIIS2589-7500(20)30160-6/fulltext" TargetMode="External"/><Relationship Id="rId30" Type="http://schemas.openxmlformats.org/officeDocument/2006/relationships/hyperlink" Target="https://www.thelancet.com/journals/landig/article/PIIS2589-7500(20)30160-6/fulltext" TargetMode="External"/><Relationship Id="rId31" Type="http://schemas.openxmlformats.org/officeDocument/2006/relationships/hyperlink" Target="https://hbr.org/2019/11/how-machine-learning-pushes-us-to-define-fairness" TargetMode="External"/><Relationship Id="rId32" Type="http://schemas.openxmlformats.org/officeDocument/2006/relationships/hyperlink" Target="https://spectrum.ieee.org/what-is-deepfake" TargetMode="External"/><Relationship Id="rId33" Type="http://schemas.openxmlformats.org/officeDocument/2006/relationships/hyperlink" Target="https://fairmlbook.org/pdf/fairmlbook.pdf" TargetMode="External"/><Relationship Id="rId34" Type="http://schemas.openxmlformats.org/officeDocument/2006/relationships/hyperlink" Target="https://www.wsj.com/tech/ai/new-era-of-ai-deepfakes-complicates-2024-ele" TargetMode="External"/><Relationship Id="rId35" Type="http://schemas.openxmlformats.org/officeDocument/2006/relationships/hyperlink" Target="https://www.bloomberg.com/graphics/2024-openai-gpt-hiring-racial-discrimination/" TargetMode="External"/><Relationship Id="rId36" Type="http://schemas.openxmlformats.org/officeDocument/2006/relationships/hyperlink" Target="https://www.reuters.com/article/us-amazon-com-jobs-automation-insight/amazon-scraps-secret-ai-recruiting-tool-that-showed-bias-against-women-idUSKCN1MK08G/" TargetMode="External"/><Relationship Id="rId37" Type="http://schemas.openxmlformats.org/officeDocument/2006/relationships/hyperlink" Target="https://www.propublica.org/article/machine-bias-risk-assessments-in-criminal-sentencing" TargetMode="External"/><Relationship Id="rId38" Type="http://schemas.openxmlformats.org/officeDocument/2006/relationships/hyperlink" Target="https://www.npr.org/2022/03/14/1085160422/computer-science-inequality-bias-algorithms-technology" TargetMode="External"/><Relationship Id="rId39" Type="http://schemas.openxmlformats.org/officeDocument/2006/relationships/hyperlink" Target="https://www.theverge.com/features/23764584/ai-artificial-intelligence-data-notation-labor-scale-surge-remotasks-openai-chatbots" TargetMode="External"/><Relationship Id="rId40" Type="http://schemas.openxmlformats.org/officeDocument/2006/relationships/hyperlink" Target="https://www.theatlantic.com/technology/archive/2024/02/google-gemini-diverse-nazis/677575/" TargetMode="Externa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1388</TotalTime>
  <Application>LibreOffice/26.2.5.2$MacOSX_AARCH64 LibreOffice_project/cd7284b4cbbfeb507e630c1aac019f4157393acb</Application>
  <AppVersion>15.0000</AppVersion>
  <Pages>9</Pages>
  <Words>2637</Words>
  <Characters>14285</Characters>
  <CharactersWithSpaces>16668</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2026-03-27T17:36:00Z</dcterms:created>
  <dc:creator>Un-named</dc:creator>
  <dc:description/>
  <dc:language>en-US</dc:language>
  <cp:lastModifiedBy/>
  <dcterms:modified xsi:type="dcterms:W3CDTF">2026-09-11T10:39:10Z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