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Types>
</file>

<file path=_rels/.rels>&#65279;<?xml version="1.0" encoding="utf-8"?><Relationships xmlns="http://schemas.openxmlformats.org/package/2006/relationships"><Relationship Type="http://schemas.openxmlformats.org/officeDocument/2006/relationships/officeDocument" Target="/word/document.xml" Id="R4db3b6805a554765" /><Relationship Type="http://schemas.openxmlformats.org/package/2006/relationships/metadata/core-properties" Target="/docProps/core.xml" Id="R1f826d639d3a413a" /><Relationship Type="http://schemas.openxmlformats.org/officeDocument/2006/relationships/extended-properties" Target="/docProps/app.xml" Id="Rd09bf53bbdc84730" /><Relationship Type="http://schemas.openxmlformats.org/officeDocument/2006/relationships/custom-properties" Target="/docProps/custom.xml" Id="Rf92cd11dcb914ad0" /></Relationships>
</file>

<file path=word/document.xml><?xml version="1.0" encoding="utf-8"?>
<w:document xmlns:c="http://schemas.openxmlformats.org/drawingml/2006/char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Normal"/>
        <w:spacing w:after="0"/>
      </w:pPr>
      <w:r>
        <w:rPr>
          <w:sz w:val="144"/>
        </w:rPr>
        <w:t xml:space="preserve"/>
      </w:r>
    </w:p>
    <w:p w14:paraId="00100002" w14:textId="00100003">
      <w:pPr>
        <w:pStyle w:val="Normal"/>
        <w:shd w:val="clear" w:fill="1A3A5C"/>
        <w:spacing w:before="0" w:after="0"/>
        <w:jc w:val="center"/>
      </w:pPr>
      <w:r>
        <w:rPr>
          <w:b/>
          <w:color w:val="FFFFFF"/>
          <w:sz w:val="56"/>
        </w:rPr>
        <w:t xml:space="preserve">SALES PREDICTION SYSTEM</w:t>
      </w:r>
    </w:p>
    <w:p w14:paraId="00100004" w14:textId="00100005">
      <w:pPr>
        <w:pStyle w:val="Normal"/>
        <w:shd w:val="clear" w:fill="1A3A5C"/>
        <w:spacing w:before="0" w:after="0"/>
        <w:jc w:val="center"/>
      </w:pPr>
      <w:r>
        <w:rPr>
          <w:color w:val="FFFFFF"/>
          <w:sz w:val="28"/>
        </w:rPr>
        <w:t xml:space="preserve">Machine Learning &amp; Analytics Project Report</w:t>
      </w:r>
    </w:p>
    <w:p w14:paraId="00100006" w14:textId="00100007">
      <w:pPr>
        <w:pStyle w:val="Normal"/>
        <w:shd w:val="clear" w:fill="1A3A5C"/>
        <w:spacing w:before="0" w:after="0"/>
        <w:jc w:val="center"/>
      </w:pPr>
      <w:r>
        <w:rPr>
          <w:color w:val="FFFFFF"/>
          <w:sz w:val="28"/>
        </w:rPr>
        <w:t xml:space="preserve"/>
      </w:r>
    </w:p>
    <w:p w14:paraId="00100008" w14:textId="00100009">
      <w:pPr>
        <w:pStyle w:val="Normal"/>
        <w:shd w:val="clear" w:fill="1A3A5C"/>
        <w:spacing w:before="0" w:after="0"/>
        <w:jc w:val="center"/>
      </w:pPr>
      <w:r>
        <w:rPr>
          <w:color w:val="AED6F1"/>
          <w:sz w:val="22"/>
        </w:rPr>
        <w:t xml:space="preserve">Dataset: Sales Transactions 2022–2025   |   18,045 Records   |   37 Features</w:t>
      </w:r>
    </w:p>
    <w:p w14:paraId="0010000A" w14:textId="0010000B">
      <w:pPr>
        <w:pStyle w:val="Normal"/>
        <w:shd w:val="clear" w:fill="1A3A5C"/>
        <w:spacing w:before="0" w:after="0"/>
        <w:jc w:val="center"/>
      </w:pPr>
      <w:r>
        <w:rPr>
          <w:color w:val="AED6F1"/>
          <w:sz w:val="22"/>
        </w:rPr>
        <w:t xml:space="preserve">Technology Stack: Python · Streamlit · scikit-learn · Plotly · pandas</w:t>
      </w:r>
    </w:p>
    <w:p w14:paraId="0010000C" w14:textId="0010000D">
      <w:pPr>
        <w:pStyle w:val="Normal"/>
        <w:spacing w:after="0"/>
      </w:pPr>
      <w:r>
        <w:rPr>
          <w:sz w:val="72"/>
        </w:rPr>
        <w:t xml:space="preserve"/>
      </w:r>
    </w:p>
    <w:p w14:paraId="0010000E" w14:textId="0010000F">
      <w:pPr>
        <w:pStyle w:val="Heading1"/>
        <w:shd w:val="clear" w:fill="1A3A5C"/>
        <w:spacing w:before="360" w:after="40"/>
      </w:pPr>
      <w:r>
        <w:rPr>
          <w:b/>
          <w:color w:val="FFFFFF"/>
          <w:sz w:val="32"/>
        </w:rPr>
        <w:t xml:space="preserve">01  EXECUTIVE SUMMARY</w:t>
      </w:r>
    </w:p>
    <w:p w14:paraId="00100010" w14:textId="00100011">
      <w:pPr>
        <w:pStyle w:val="Normal"/>
        <w:spacing w:after="120"/>
      </w:pPr>
      <w:r>
        <w:rPr>
          <w:sz w:val="22"/>
        </w:rPr>
        <w:t xml:space="preserve">This report presents a comprehensive end-to-end Sales Prediction System developed entirely in Python. The system ingests four years of global retail transaction data (2022–2025), applies advanced machine learning algorithms to predict Sales Amount and Profit, and surfaces all insights through a polished interactive Streamlit dashboard.</w:t>
      </w:r>
    </w:p>
    <w:p w14:paraId="00100012" w14:textId="00100013">
      <w:pPr>
        <w:pStyle w:val="Normal"/>
        <w:spacing w:after="120"/>
      </w:pPr>
      <w:r>
        <w:rPr>
          <w:sz w:val="22"/>
        </w:rPr>
        <w:t xml:space="preserve">The application is packaged as a single file (app.py) — no separate API server, no database, no cloud dependency. Users launch one command, train models directly in the sidebar on first run, and immediately access live predictions, rich analytics, and multi-month revenue forecasts.</w:t>
      </w:r>
    </w:p>
    <w:p w14:paraId="00100014" w14:textId="00100015">
      <w:pPr>
        <w:pStyle w:val="Normal"/>
        <w:spacing w:after="120"/>
      </w:pPr>
      <w:r>
        <w:rPr>
          <w:b/>
          <w:color w:val="1A3A5C"/>
          <w:sz w:val="24"/>
        </w:rPr>
        <w:t xml:space="preserve">Headline Results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16" w14:textId="00100017">
            <w:r>
              <w:t xml:space="preserve">Metric</w:t>
            </w:r>
          </w:p>
        </w:tc>
        <w:tc>
          <w:p w14:paraId="00100018" w14:textId="00100019">
            <w:r>
              <w:t xml:space="preserve">Result</w:t>
            </w:r>
          </w:p>
        </w:tc>
        <w:tc>
          <w:p w14:paraId="0010001A" w14:textId="0010001B">
            <w:r>
              <w:t xml:space="preserve">Detail</w:t>
            </w:r>
          </w:p>
        </w:tc>
      </w:tr>
      <w:tr>
        <w:trPr/>
        <w:tc>
          <w:p w14:paraId="0010001C" w14:textId="0010001D">
            <w:r>
              <w:t xml:space="preserve">Sales Amount Model R²</w:t>
            </w:r>
          </w:p>
        </w:tc>
        <w:tc>
          <w:p w14:paraId="0010001E" w14:textId="0010001F">
            <w:r>
              <w:t xml:space="preserve">0.9990</w:t>
            </w:r>
          </w:p>
        </w:tc>
        <w:tc>
          <w:p w14:paraId="00100020" w14:textId="00100021">
            <w:r>
              <w:t xml:space="preserve">Gradient Boosting Regressor — 300 trees</w:t>
            </w:r>
          </w:p>
        </w:tc>
      </w:tr>
      <w:tr>
        <w:trPr/>
        <w:tc>
          <w:p w14:paraId="00100022" w14:textId="00100023">
            <w:r>
              <w:t xml:space="preserve">Profit Model R²</w:t>
            </w:r>
          </w:p>
        </w:tc>
        <w:tc>
          <w:p w14:paraId="00100024" w14:textId="00100025">
            <w:r>
              <w:t xml:space="preserve">0.9985</w:t>
            </w:r>
          </w:p>
        </w:tc>
        <w:tc>
          <w:p w14:paraId="00100026" w14:textId="00100027">
            <w:r>
              <w:t xml:space="preserve">Random Forest Regressor — 200 trees</w:t>
            </w:r>
          </w:p>
        </w:tc>
      </w:tr>
      <w:tr>
        <w:trPr/>
        <w:tc>
          <w:p w14:paraId="00100028" w14:textId="00100029">
            <w:r>
              <w:t xml:space="preserve">Total Transactions Analysed</w:t>
            </w:r>
          </w:p>
        </w:tc>
        <w:tc>
          <w:p w14:paraId="0010002A" w14:textId="0010002B">
            <w:r>
              <w:t xml:space="preserve">18,045</w:t>
            </w:r>
          </w:p>
        </w:tc>
        <w:tc>
          <w:p w14:paraId="0010002C" w14:textId="0010002D">
            <w:r>
              <w:t xml:space="preserve">Jan 2022 – Nov 2025, 6 countries</w:t>
            </w:r>
          </w:p>
        </w:tc>
      </w:tr>
      <w:tr>
        <w:trPr/>
        <w:tc>
          <w:p w14:paraId="0010002E" w14:textId="0010002F">
            <w:r>
              <w:t xml:space="preserve">Forecast Horizon</w:t>
            </w:r>
          </w:p>
        </w:tc>
        <w:tc>
          <w:p w14:paraId="00100030" w14:textId="00100031">
            <w:r>
              <w:t xml:space="preserve">Up to 24 months</w:t>
            </w:r>
          </w:p>
        </w:tc>
        <w:tc>
          <w:p w14:paraId="00100032" w14:textId="00100033">
            <w:r>
              <w:t xml:space="preserve">Linear trend on monthly aggregates</w:t>
            </w:r>
          </w:p>
        </w:tc>
      </w:tr>
    </w:tbl>
    <w:p w14:paraId="00100034" w14:textId="00100035">
      <w:pPr>
        <w:pStyle w:val="Normal"/>
        <w:spacing w:after="0"/>
      </w:pPr>
      <w:r>
        <w:rPr>
          <w:sz w:val="16"/>
        </w:rPr>
        <w:t xml:space="preserve"/>
      </w:r>
    </w:p>
    <w:p w14:paraId="00100036" w14:textId="00100037">
      <w:pPr>
        <w:pStyle w:val="Heading1"/>
        <w:shd w:val="clear" w:fill="1A3A5C"/>
        <w:spacing w:before="360" w:after="40"/>
      </w:pPr>
      <w:r>
        <w:rPr>
          <w:b/>
          <w:color w:val="FFFFFF"/>
          <w:sz w:val="32"/>
        </w:rPr>
        <w:t xml:space="preserve">02  DATASET OVERVIEW</w:t>
      </w:r>
    </w:p>
    <w:p w14:paraId="00100038" w14:textId="00100039">
      <w:pPr>
        <w:pStyle w:val="Normal"/>
        <w:spacing w:after="160"/>
      </w:pPr>
      <w:r>
        <w:rPr>
          <w:sz w:val="22"/>
        </w:rPr>
        <w:t xml:space="preserve">The source dataset Sales_transactions_2022_2025.csv contains 18,045 rows and 37 columns covering global retail sales. It spans six countries, four product categories, four sales channels, and multiple customer segments — providing a rich, diverse foundation for machine learning.</w:t>
      </w:r>
    </w:p>
    <w:p w14:paraId="0010003A" w14:textId="0010003B">
      <w:pPr>
        <w:pStyle w:val="Normal"/>
        <w:spacing w:after="120"/>
      </w:pPr>
      <w:r>
        <w:rPr>
          <w:b/>
          <w:color w:val="1A3A5C"/>
          <w:sz w:val="24"/>
        </w:rPr>
        <w:t xml:space="preserve">Dataset At a Glance</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3C" w14:textId="0010003D">
            <w:r>
              <w:t xml:space="preserve">Dimension</w:t>
            </w:r>
          </w:p>
        </w:tc>
        <w:tc>
          <w:p w14:paraId="0010003E" w14:textId="0010003F">
            <w:r>
              <w:t xml:space="preserve">Value</w:t>
            </w:r>
          </w:p>
        </w:tc>
        <w:tc>
          <w:p w14:paraId="00100040" w14:textId="00100041">
            <w:r>
              <w:t xml:space="preserve">Coverage</w:t>
            </w:r>
          </w:p>
        </w:tc>
      </w:tr>
      <w:tr>
        <w:trPr/>
        <w:tc>
          <w:p w14:paraId="00100042" w14:textId="00100043">
            <w:r>
              <w:t xml:space="preserve">Total Rows</w:t>
            </w:r>
          </w:p>
        </w:tc>
        <w:tc>
          <w:p w14:paraId="00100044" w14:textId="00100045">
            <w:r>
              <w:t xml:space="preserve">18,045</w:t>
            </w:r>
          </w:p>
        </w:tc>
        <w:tc>
          <w:p w14:paraId="00100046" w14:textId="00100047">
            <w:r>
              <w:t xml:space="preserve">Individual transactions</w:t>
            </w:r>
          </w:p>
        </w:tc>
      </w:tr>
      <w:tr>
        <w:trPr/>
        <w:tc>
          <w:p w14:paraId="00100048" w14:textId="00100049">
            <w:r>
              <w:t xml:space="preserve">Total Columns</w:t>
            </w:r>
          </w:p>
        </w:tc>
        <w:tc>
          <w:p w14:paraId="0010004A" w14:textId="0010004B">
            <w:r>
              <w:t xml:space="preserve">37</w:t>
            </w:r>
          </w:p>
        </w:tc>
        <w:tc>
          <w:p w14:paraId="0010004C" w14:textId="0010004D">
            <w:r>
              <w:t xml:space="preserve">Customer, product, sales, temporal</w:t>
            </w:r>
          </w:p>
        </w:tc>
      </w:tr>
      <w:tr>
        <w:trPr/>
        <w:tc>
          <w:p w14:paraId="0010004E" w14:textId="0010004F">
            <w:r>
              <w:t xml:space="preserve">Countries</w:t>
            </w:r>
          </w:p>
        </w:tc>
        <w:tc>
          <w:p w14:paraId="00100050" w14:textId="00100051">
            <w:r>
              <w:t xml:space="preserve">6</w:t>
            </w:r>
          </w:p>
        </w:tc>
        <w:tc>
          <w:p w14:paraId="00100052" w14:textId="00100053">
            <w:r>
              <w:t xml:space="preserve">US, UK, Canada, Australia, France, Germany</w:t>
            </w:r>
          </w:p>
        </w:tc>
      </w:tr>
      <w:tr>
        <w:trPr/>
        <w:tc>
          <w:p w14:paraId="00100054" w14:textId="00100055">
            <w:r>
              <w:t xml:space="preserve">Product Categories</w:t>
            </w:r>
          </w:p>
        </w:tc>
        <w:tc>
          <w:p w14:paraId="00100056" w14:textId="00100057">
            <w:r>
              <w:t xml:space="preserve">4</w:t>
            </w:r>
          </w:p>
        </w:tc>
        <w:tc>
          <w:p w14:paraId="00100058" w14:textId="00100059">
            <w:r>
              <w:t xml:space="preserve">Electronics, Furniture, Office Supplies, Appliances</w:t>
            </w:r>
          </w:p>
        </w:tc>
      </w:tr>
      <w:tr>
        <w:trPr/>
        <w:tc>
          <w:p w14:paraId="0010005A" w14:textId="0010005B">
            <w:r>
              <w:t xml:space="preserve">Product SKUs</w:t>
            </w:r>
          </w:p>
        </w:tc>
        <w:tc>
          <w:p w14:paraId="0010005C" w14:textId="0010005D">
            <w:r>
              <w:t xml:space="preserve">28+</w:t>
            </w:r>
          </w:p>
        </w:tc>
        <w:tc>
          <w:p w14:paraId="0010005E" w14:textId="0010005F">
            <w:r>
              <w:t xml:space="preserve">Laptops, Tablets, Chairs, Air Purifiers…</w:t>
            </w:r>
          </w:p>
        </w:tc>
      </w:tr>
      <w:tr>
        <w:trPr/>
        <w:tc>
          <w:p w14:paraId="00100060" w14:textId="00100061">
            <w:r>
              <w:t xml:space="preserve">Sales Channels</w:t>
            </w:r>
          </w:p>
        </w:tc>
        <w:tc>
          <w:p w14:paraId="00100062" w14:textId="00100063">
            <w:r>
              <w:t xml:space="preserve">4</w:t>
            </w:r>
          </w:p>
        </w:tc>
        <w:tc>
          <w:p w14:paraId="00100064" w14:textId="00100065">
            <w:r>
              <w:t xml:space="preserve">Online, Retail Store, B2B Portal, Phone Order</w:t>
            </w:r>
          </w:p>
        </w:tc>
      </w:tr>
      <w:tr>
        <w:trPr/>
        <w:tc>
          <w:p w14:paraId="00100066" w14:textId="00100067">
            <w:r>
              <w:t xml:space="preserve">Customer Segments</w:t>
            </w:r>
          </w:p>
        </w:tc>
        <w:tc>
          <w:p w14:paraId="00100068" w14:textId="00100069">
            <w:r>
              <w:t xml:space="preserve">6</w:t>
            </w:r>
          </w:p>
        </w:tc>
        <w:tc>
          <w:p w14:paraId="0010006A" w14:textId="0010006B">
            <w:r>
              <w:t xml:space="preserve">Consumer, Corporate, Premium, SMB, New, Returning</w:t>
            </w:r>
          </w:p>
        </w:tc>
      </w:tr>
      <w:tr>
        <w:trPr/>
        <w:tc>
          <w:p w14:paraId="0010006C" w14:textId="0010006D">
            <w:r>
              <w:t xml:space="preserve">Date Range</w:t>
            </w:r>
          </w:p>
        </w:tc>
        <w:tc>
          <w:p w14:paraId="0010006E" w14:textId="0010006F">
            <w:r>
              <w:t xml:space="preserve">Jan 2022 – Nov 2025</w:t>
            </w:r>
          </w:p>
        </w:tc>
        <w:tc>
          <w:p w14:paraId="00100070" w14:textId="00100071">
            <w:r>
              <w:t xml:space="preserve">~46 months of data</w:t>
            </w:r>
          </w:p>
        </w:tc>
      </w:tr>
      <w:tr>
        <w:trPr/>
        <w:tc>
          <w:p w14:paraId="00100072" w14:textId="00100073">
            <w:r>
              <w:t xml:space="preserve">Missing Value Rate</w:t>
            </w:r>
          </w:p>
        </w:tc>
        <w:tc>
          <w:p w14:paraId="00100074" w14:textId="00100075">
            <w:r>
              <w:t xml:space="preserve">&lt; 5% per column</w:t>
            </w:r>
          </w:p>
        </w:tc>
        <w:tc>
          <w:p w14:paraId="00100076" w14:textId="00100077">
            <w:r>
              <w:t xml:space="preserve">Handled by median / 'Unknown' imputation</w:t>
            </w:r>
          </w:p>
        </w:tc>
      </w:tr>
    </w:tbl>
    <w:p w14:paraId="00100078" w14:textId="00100079">
      <w:pPr>
        <w:pStyle w:val="Normal"/>
        <w:spacing w:after="0"/>
      </w:pPr>
      <w:r>
        <w:rPr>
          <w:sz w:val="16"/>
        </w:rPr>
        <w:t xml:space="preserve"/>
      </w:r>
    </w:p>
    <w:p w14:paraId="0010007A" w14:textId="0010007B">
      <w:pPr>
        <w:pStyle w:val="Normal"/>
        <w:spacing w:before="200" w:after="120"/>
      </w:pPr>
      <w:r>
        <w:rPr>
          <w:b/>
          <w:color w:val="1A3A5C"/>
          <w:sz w:val="24"/>
        </w:rPr>
        <w:t xml:space="preserve">Key Columns Used</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7C" w14:textId="0010007D">
            <w:r>
              <w:t xml:space="preserve">Column</w:t>
            </w:r>
          </w:p>
        </w:tc>
        <w:tc>
          <w:p w14:paraId="0010007E" w14:textId="0010007F">
            <w:r>
              <w:t xml:space="preserve">Type</w:t>
            </w:r>
          </w:p>
        </w:tc>
        <w:tc>
          <w:p w14:paraId="00100080" w14:textId="00100081">
            <w:r>
              <w:t xml:space="preserve">Role</w:t>
            </w:r>
          </w:p>
        </w:tc>
      </w:tr>
      <w:tr>
        <w:trPr/>
        <w:tc>
          <w:p w14:paraId="00100082" w14:textId="00100083">
            <w:r>
              <w:t xml:space="preserve">Sales_Amount</w:t>
            </w:r>
          </w:p>
        </w:tc>
        <w:tc>
          <w:p w14:paraId="00100084" w14:textId="00100085">
            <w:r>
              <w:t xml:space="preserve">Float</w:t>
            </w:r>
          </w:p>
        </w:tc>
        <w:tc>
          <w:p w14:paraId="00100086" w14:textId="00100087">
            <w:r>
              <w:t xml:space="preserve">Primary prediction target (revenue per transaction)</w:t>
            </w:r>
          </w:p>
        </w:tc>
      </w:tr>
      <w:tr>
        <w:trPr/>
        <w:tc>
          <w:p w14:paraId="00100088" w14:textId="00100089">
            <w:r>
              <w:t xml:space="preserve">Profit</w:t>
            </w:r>
          </w:p>
        </w:tc>
        <w:tc>
          <w:p w14:paraId="0010008A" w14:textId="0010008B">
            <w:r>
              <w:t xml:space="preserve">Float</w:t>
            </w:r>
          </w:p>
        </w:tc>
        <w:tc>
          <w:p w14:paraId="0010008C" w14:textId="0010008D">
            <w:r>
              <w:t xml:space="preserve">Secondary prediction target (gross profit)</w:t>
            </w:r>
          </w:p>
        </w:tc>
      </w:tr>
      <w:tr>
        <w:trPr/>
        <w:tc>
          <w:p w14:paraId="0010008E" w14:textId="0010008F">
            <w:r>
              <w:t xml:space="preserve">Quantity, Unit_Price</w:t>
            </w:r>
          </w:p>
        </w:tc>
        <w:tc>
          <w:p w14:paraId="00100090" w14:textId="00100091">
            <w:r>
              <w:t xml:space="preserve">Float</w:t>
            </w:r>
          </w:p>
        </w:tc>
        <w:tc>
          <w:p w14:paraId="00100092" w14:textId="00100093">
            <w:r>
              <w:t xml:space="preserve">Core numeric features</w:t>
            </w:r>
          </w:p>
        </w:tc>
      </w:tr>
      <w:tr>
        <w:trPr/>
        <w:tc>
          <w:p w14:paraId="00100094" w14:textId="00100095">
            <w:r>
              <w:t xml:space="preserve">Discount_Percentage</w:t>
            </w:r>
          </w:p>
        </w:tc>
        <w:tc>
          <w:p w14:paraId="00100096" w14:textId="00100097">
            <w:r>
              <w:t xml:space="preserve">Float</w:t>
            </w:r>
          </w:p>
        </w:tc>
        <w:tc>
          <w:p w14:paraId="00100098" w14:textId="00100099">
            <w:r>
              <w:t xml:space="preserve">Promotional impact feature</w:t>
            </w:r>
          </w:p>
        </w:tc>
      </w:tr>
      <w:tr>
        <w:trPr/>
        <w:tc>
          <w:p w14:paraId="0010009A" w14:textId="0010009B">
            <w:r>
              <w:t xml:space="preserve">Customer_Age, Delivery_Days</w:t>
            </w:r>
          </w:p>
        </w:tc>
        <w:tc>
          <w:p w14:paraId="0010009C" w14:textId="0010009D">
            <w:r>
              <w:t xml:space="preserve">Float</w:t>
            </w:r>
          </w:p>
        </w:tc>
        <w:tc>
          <w:p w14:paraId="0010009E" w14:textId="0010009F">
            <w:r>
              <w:t xml:space="preserve">Customer and logistics features</w:t>
            </w:r>
          </w:p>
        </w:tc>
      </w:tr>
      <w:tr>
        <w:trPr/>
        <w:tc>
          <w:p w14:paraId="001000A0" w14:textId="001000A1">
            <w:r>
              <w:t xml:space="preserve">Order_Date, Order_Time</w:t>
            </w:r>
          </w:p>
        </w:tc>
        <w:tc>
          <w:p w14:paraId="001000A2" w14:textId="001000A3">
            <w:r>
              <w:t xml:space="preserve">DateTime</w:t>
            </w:r>
          </w:p>
        </w:tc>
        <w:tc>
          <w:p w14:paraId="001000A4" w14:textId="001000A5">
            <w:r>
              <w:t xml:space="preserve">Parsed into Month, DayOfWeek, Hour features</w:t>
            </w:r>
          </w:p>
        </w:tc>
      </w:tr>
      <w:tr>
        <w:trPr/>
        <w:tc>
          <w:p w14:paraId="001000A6" w14:textId="001000A7">
            <w:r>
              <w:t xml:space="preserve">Sales_Channel, Product_Category, Region…</w:t>
            </w:r>
          </w:p>
        </w:tc>
        <w:tc>
          <w:p w14:paraId="001000A8" w14:textId="001000A9">
            <w:r>
              <w:t xml:space="preserve">Categorical</w:t>
            </w:r>
          </w:p>
        </w:tc>
        <w:tc>
          <w:p w14:paraId="001000AA" w14:textId="001000AB">
            <w:r>
              <w:t xml:space="preserve">One-hot encoded (9 columns → ~112 binary features)</w:t>
            </w:r>
          </w:p>
        </w:tc>
      </w:tr>
    </w:tbl>
    <w:p w14:paraId="001000AC" w14:textId="001000AD">
      <w:pPr>
        <w:pStyle w:val="Normal"/>
        <w:spacing w:after="0"/>
      </w:pPr>
      <w:r>
        <w:rPr>
          <w:sz w:val="16"/>
        </w:rPr>
        <w:t xml:space="preserve"/>
      </w:r>
    </w:p>
    <w:p w14:paraId="001000AE" w14:textId="001000AF">
      <w:pPr>
        <w:pStyle w:val="Heading1"/>
        <w:shd w:val="clear" w:fill="1A3A5C"/>
        <w:spacing w:before="360" w:after="40"/>
      </w:pPr>
      <w:r>
        <w:rPr>
          <w:b/>
          <w:color w:val="FFFFFF"/>
          <w:sz w:val="32"/>
        </w:rPr>
        <w:t xml:space="preserve">03  SALES &amp; REVENUE ANALYSIS</w:t>
      </w:r>
    </w:p>
    <w:p w14:paraId="001000B0" w14:textId="001000B1">
      <w:pPr>
        <w:pStyle w:val="Normal"/>
        <w:spacing w:after="200"/>
      </w:pPr>
      <w:r>
        <w:rPr>
          <w:sz w:val="22"/>
        </w:rPr>
        <w:t xml:space="preserve">The following analysis is derived directly from all 18,045 transactions. Charts are embedded below each analysis table to give an immediate visual understanding of the revenue distribution.</w:t>
      </w:r>
    </w:p>
    <w:p w14:paraId="001000B2" w14:textId="001000B3">
      <w:pPr>
        <w:pStyle w:val="Heading2"/>
        <w:spacing w:before="240" w:after="120"/>
      </w:pPr>
      <w:r>
        <w:rPr>
          <w:b/>
          <w:color w:val="1A3A5C"/>
          <w:sz w:val="26"/>
        </w:rPr>
        <w:t xml:space="preserve">3.1  Revenue by Product Category</w:t>
      </w:r>
    </w:p>
    <w:p w14:paraId="001000B4" w14:textId="001000B5">
      <w:pPr>
        <w:pStyle w:val="Normal"/>
        <w:spacing w:after="120"/>
      </w:pPr>
      <w:r>
        <w:rPr>
          <w:sz w:val="22"/>
        </w:rPr>
        <w:t xml:space="preserve">Electronics dominates with ~60% of all revenue, driven by high-value items such as laptops, tablets, and monitors. Furniture is the second-largest category at ~22%, anchored by office chairs and ergonomic accessories.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B6" w14:textId="001000B7">
            <w:r>
              <w:t xml:space="preserve">Product Category</w:t>
            </w:r>
          </w:p>
        </w:tc>
        <w:tc>
          <w:p w14:paraId="001000B8" w14:textId="001000B9">
            <w:r>
              <w:t xml:space="preserve">Revenue Share</w:t>
            </w:r>
          </w:p>
        </w:tc>
        <w:tc>
          <w:p w14:paraId="001000BA" w14:textId="001000BB">
            <w:r>
              <w:t xml:space="preserve">Approx. Revenue</w:t>
            </w:r>
          </w:p>
        </w:tc>
        <w:tc>
          <w:p w14:paraId="001000BC" w14:textId="001000BD">
            <w:r>
              <w:t xml:space="preserve">Top Products</w:t>
            </w:r>
          </w:p>
        </w:tc>
      </w:tr>
      <w:tr>
        <w:trPr/>
        <w:tc>
          <w:p w14:paraId="001000BE" w14:textId="001000BF">
            <w:r>
              <w:t xml:space="preserve">Electronics</w:t>
            </w:r>
          </w:p>
        </w:tc>
        <w:tc>
          <w:p w14:paraId="001000C0" w14:textId="001000C1">
            <w:r>
              <w:t xml:space="preserve">60%</w:t>
            </w:r>
          </w:p>
        </w:tc>
        <w:tc>
          <w:p w14:paraId="001000C2" w14:textId="001000C3">
            <w:r>
              <w:t xml:space="preserve">$7.8M+</w:t>
            </w:r>
          </w:p>
        </w:tc>
        <w:tc>
          <w:p w14:paraId="001000C4" w14:textId="001000C5">
            <w:r>
              <w:t xml:space="preserve">Laptops, Tablets, Monitors, Cameras</w:t>
            </w:r>
          </w:p>
        </w:tc>
      </w:tr>
      <w:tr>
        <w:trPr/>
        <w:tc>
          <w:p w14:paraId="001000C6" w14:textId="001000C7">
            <w:r>
              <w:t xml:space="preserve">Furniture</w:t>
            </w:r>
          </w:p>
        </w:tc>
        <w:tc>
          <w:p w14:paraId="001000C8" w14:textId="001000C9">
            <w:r>
              <w:t xml:space="preserve">22%</w:t>
            </w:r>
          </w:p>
        </w:tc>
        <w:tc>
          <w:p w14:paraId="001000CA" w14:textId="001000CB">
            <w:r>
              <w:t xml:space="preserve">$2.9M+</w:t>
            </w:r>
          </w:p>
        </w:tc>
        <w:tc>
          <w:p w14:paraId="001000CC" w14:textId="001000CD">
            <w:r>
              <w:t xml:space="preserve">Office Chair Pro, Ergo Footrest, Desk Lamp</w:t>
            </w:r>
          </w:p>
        </w:tc>
      </w:tr>
      <w:tr>
        <w:trPr/>
        <w:tc>
          <w:p w14:paraId="001000CE" w14:textId="001000CF">
            <w:r>
              <w:t xml:space="preserve">Appliances</w:t>
            </w:r>
          </w:p>
        </w:tc>
        <w:tc>
          <w:p w14:paraId="001000D0" w14:textId="001000D1">
            <w:r>
              <w:t xml:space="preserve">11%</w:t>
            </w:r>
          </w:p>
        </w:tc>
        <w:tc>
          <w:p w14:paraId="001000D2" w14:textId="001000D3">
            <w:r>
              <w:t xml:space="preserve">$1.4M+</w:t>
            </w:r>
          </w:p>
        </w:tc>
        <w:tc>
          <w:p w14:paraId="001000D4" w14:textId="001000D5">
            <w:r>
              <w:t xml:space="preserve">Air Purifier, Desk Fan, Climate units</w:t>
            </w:r>
          </w:p>
        </w:tc>
      </w:tr>
      <w:tr>
        <w:trPr/>
        <w:tc>
          <w:p w14:paraId="001000D6" w14:textId="001000D7">
            <w:r>
              <w:t xml:space="preserve">Office Supplies</w:t>
            </w:r>
          </w:p>
        </w:tc>
        <w:tc>
          <w:p w14:paraId="001000D8" w14:textId="001000D9">
            <w:r>
              <w:t xml:space="preserve">7%</w:t>
            </w:r>
          </w:p>
        </w:tc>
        <w:tc>
          <w:p w14:paraId="001000DA" w14:textId="001000DB">
            <w:r>
              <w:t xml:space="preserve">$0.9M+</w:t>
            </w:r>
          </w:p>
        </w:tc>
        <w:tc>
          <w:p w14:paraId="001000DC" w14:textId="001000DD">
            <w:r>
              <w:t xml:space="preserve">Copy Paper, Premium Pens, Notepads</w:t>
            </w:r>
          </w:p>
        </w:tc>
      </w:tr>
      <w:tr>
        <w:trPr/>
        <w:tc>
          <w:p w14:paraId="001000DE" w14:textId="001000DF">
            <w:r>
              <w:t xml:space="preserve">TOTAL</w:t>
            </w:r>
          </w:p>
        </w:tc>
        <w:tc>
          <w:p w14:paraId="001000E0" w14:textId="001000E1">
            <w:r>
              <w:t xml:space="preserve">100%</w:t>
            </w:r>
          </w:p>
        </w:tc>
        <w:tc>
          <w:p w14:paraId="001000E2" w14:textId="001000E3">
            <w:r>
              <w:t xml:space="preserve">~$13M+</w:t>
            </w:r>
          </w:p>
        </w:tc>
        <w:tc>
          <w:p w14:paraId="001000E4" w14:textId="001000E5">
            <w:r>
              <w:t xml:space="preserve">18,045 transactions</w:t>
            </w:r>
          </w:p>
        </w:tc>
      </w:tr>
    </w:tbl>
    <w:p w14:paraId="001000E6" w14:textId="001000E7">
      <w:pPr>
        <w:pStyle w:val="Normal"/>
        <w:spacing w:after="120"/>
      </w:pPr>
      <w:r>
        <w:rPr>
          <w:sz w:val="12"/>
        </w:rPr>
        <w:t xml:space="preserve"/>
      </w:r>
    </w:p>
    <w:p w14:paraId="001000E8" w14:textId="001000E9">
      <w:r>
        <w:drawing>
          <wp:inline distT="0" distB="0" distL="0" distR="0">
            <wp:extent cx="5040000" cy="3240000"/>
            <wp:effectExtent l="0" t="0" r="0" b="0"/>
            <wp:docPr id="1" name="Revenue Share by Product Category (%)"/>
            <wp:cNvGraphicFramePr/>
            <a:graphic>
              <a:graphicData uri="http://schemas.openxmlformats.org/drawingml/2006/chart">
                <c:chart xmlns:c="http://schemas.openxmlformats.org/drawingml/2006/chart" r:id="Ra897d3030a734e85"/>
              </a:graphicData>
            </a:graphic>
          </wp:inline>
        </w:drawing>
      </w:r>
    </w:p>
    <w:p w14:paraId="001000EA" w14:textId="001000EB">
      <w:pPr>
        <w:pStyle w:val="Normal"/>
        <w:spacing w:before="40" w:after="240"/>
        <w:jc w:val="center"/>
      </w:pPr>
      <w:r>
        <w:rPr>
          <w:color w:val="888888"/>
          <w:sz w:val="18"/>
        </w:rPr>
        <w:t xml:space="preserve">Figure 1: Revenue Share by Product Category — Bar Chart</w:t>
      </w:r>
    </w:p>
    <w:p w14:paraId="001000EC" w14:textId="001000ED">
      <w:pPr>
        <w:pStyle w:val="Heading2"/>
        <w:spacing w:before="240" w:after="120"/>
      </w:pPr>
      <w:r>
        <w:rPr>
          <w:b/>
          <w:color w:val="1A3A5C"/>
          <w:sz w:val="26"/>
        </w:rPr>
        <w:t xml:space="preserve">3.2  Revenue by Sales Channel</w:t>
      </w:r>
    </w:p>
    <w:p w14:paraId="001000EE" w14:textId="001000EF">
      <w:pPr>
        <w:pStyle w:val="Normal"/>
        <w:spacing w:after="120"/>
      </w:pPr>
      <w:r>
        <w:rPr>
          <w:sz w:val="22"/>
        </w:rPr>
        <w:t xml:space="preserve">Online ordering leads at ~42% of revenue — the dominant channel for Consumer and Returning Customer segments. The B2B Portal drives ~28%, reflecting strong Corporate and Small Business activity. Retail Stores contribute ~22% via walk-in and pickup orders.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F0" w14:textId="001000F1">
            <w:r>
              <w:t xml:space="preserve">Sales Channel</w:t>
            </w:r>
          </w:p>
        </w:tc>
        <w:tc>
          <w:p w14:paraId="001000F2" w14:textId="001000F3">
            <w:r>
              <w:t xml:space="preserve">Revenue Share</w:t>
            </w:r>
          </w:p>
        </w:tc>
        <w:tc>
          <w:p w14:paraId="001000F4" w14:textId="001000F5">
            <w:r>
              <w:t xml:space="preserve">Approx. Revenue</w:t>
            </w:r>
          </w:p>
        </w:tc>
        <w:tc>
          <w:p w14:paraId="001000F6" w14:textId="001000F7">
            <w:r>
              <w:t xml:space="preserve">Primary Segments</w:t>
            </w:r>
          </w:p>
        </w:tc>
      </w:tr>
      <w:tr>
        <w:trPr/>
        <w:tc>
          <w:p w14:paraId="001000F8" w14:textId="001000F9">
            <w:r>
              <w:t xml:space="preserve">Online</w:t>
            </w:r>
          </w:p>
        </w:tc>
        <w:tc>
          <w:p w14:paraId="001000FA" w14:textId="001000FB">
            <w:r>
              <w:t xml:space="preserve">42%</w:t>
            </w:r>
          </w:p>
        </w:tc>
        <w:tc>
          <w:p w14:paraId="001000FC" w14:textId="001000FD">
            <w:r>
              <w:t xml:space="preserve">$5.5M+</w:t>
            </w:r>
          </w:p>
        </w:tc>
        <w:tc>
          <w:p w14:paraId="001000FE" w14:textId="001000FF">
            <w:r>
              <w:t xml:space="preserve">Consumer, Returning Customer</w:t>
            </w:r>
          </w:p>
        </w:tc>
      </w:tr>
      <w:tr>
        <w:trPr/>
        <w:tc>
          <w:p w14:paraId="00100100" w14:textId="00100101">
            <w:r>
              <w:t xml:space="preserve">B2B Portal</w:t>
            </w:r>
          </w:p>
        </w:tc>
        <w:tc>
          <w:p w14:paraId="00100102" w14:textId="00100103">
            <w:r>
              <w:t xml:space="preserve">28%</w:t>
            </w:r>
          </w:p>
        </w:tc>
        <w:tc>
          <w:p w14:paraId="00100104" w14:textId="00100105">
            <w:r>
              <w:t xml:space="preserve">$3.6M+</w:t>
            </w:r>
          </w:p>
        </w:tc>
        <w:tc>
          <w:p w14:paraId="00100106" w14:textId="00100107">
            <w:r>
              <w:t xml:space="preserve">Corporate, Small Business</w:t>
            </w:r>
          </w:p>
        </w:tc>
      </w:tr>
      <w:tr>
        <w:trPr/>
        <w:tc>
          <w:p w14:paraId="00100108" w14:textId="00100109">
            <w:r>
              <w:t xml:space="preserve">Retail Store</w:t>
            </w:r>
          </w:p>
        </w:tc>
        <w:tc>
          <w:p w14:paraId="0010010A" w14:textId="0010010B">
            <w:r>
              <w:t xml:space="preserve">22%</w:t>
            </w:r>
          </w:p>
        </w:tc>
        <w:tc>
          <w:p w14:paraId="0010010C" w14:textId="0010010D">
            <w:r>
              <w:t xml:space="preserve">$2.9M+</w:t>
            </w:r>
          </w:p>
        </w:tc>
        <w:tc>
          <w:p w14:paraId="0010010E" w14:textId="0010010F">
            <w:r>
              <w:t xml:space="preserve">Walk-in, Pickup orders</w:t>
            </w:r>
          </w:p>
        </w:tc>
      </w:tr>
      <w:tr>
        <w:trPr/>
        <w:tc>
          <w:p w14:paraId="00100110" w14:textId="00100111">
            <w:r>
              <w:t xml:space="preserve">Phone Order</w:t>
            </w:r>
          </w:p>
        </w:tc>
        <w:tc>
          <w:p w14:paraId="00100112" w14:textId="00100113">
            <w:r>
              <w:t xml:space="preserve">8%</w:t>
            </w:r>
          </w:p>
        </w:tc>
        <w:tc>
          <w:p w14:paraId="00100114" w14:textId="00100115">
            <w:r>
              <w:t xml:space="preserve">$1.0M+</w:t>
            </w:r>
          </w:p>
        </w:tc>
        <w:tc>
          <w:p w14:paraId="00100116" w14:textId="00100117">
            <w:r>
              <w:t xml:space="preserve">Premium, New Customers</w:t>
            </w:r>
          </w:p>
        </w:tc>
      </w:tr>
      <w:tr>
        <w:trPr/>
        <w:tc>
          <w:p w14:paraId="00100118" w14:textId="00100119">
            <w:r>
              <w:t xml:space="preserve">TOTAL</w:t>
            </w:r>
          </w:p>
        </w:tc>
        <w:tc>
          <w:p w14:paraId="0010011A" w14:textId="0010011B">
            <w:r>
              <w:t xml:space="preserve">100%</w:t>
            </w:r>
          </w:p>
        </w:tc>
        <w:tc>
          <w:p w14:paraId="0010011C" w14:textId="0010011D">
            <w:r>
              <w:t xml:space="preserve">~$13M+</w:t>
            </w:r>
          </w:p>
        </w:tc>
        <w:tc>
          <w:p w14:paraId="0010011E" w14:textId="0010011F">
            <w:r>
              <w:t xml:space="preserve">18,045 transactions</w:t>
            </w:r>
          </w:p>
        </w:tc>
      </w:tr>
    </w:tbl>
    <w:p w14:paraId="00100120" w14:textId="00100121">
      <w:pPr>
        <w:pStyle w:val="Normal"/>
        <w:spacing w:after="120"/>
      </w:pPr>
      <w:r>
        <w:rPr>
          <w:sz w:val="12"/>
        </w:rPr>
        <w:t xml:space="preserve"/>
      </w:r>
    </w:p>
    <w:p w14:paraId="00100122" w14:textId="00100123">
      <w:r>
        <w:drawing>
          <wp:inline distT="0" distB="0" distL="0" distR="0">
            <wp:extent cx="5040000" cy="3240000"/>
            <wp:effectExtent l="0" t="0" r="0" b="0"/>
            <wp:docPr id="2" name="Revenue Share by Sales Channel (%)"/>
            <wp:cNvGraphicFramePr/>
            <a:graphic>
              <a:graphicData uri="http://schemas.openxmlformats.org/drawingml/2006/chart">
                <c:chart r:id="Rc5d1970d508a4102"/>
              </a:graphicData>
            </a:graphic>
          </wp:inline>
        </w:drawing>
      </w:r>
    </w:p>
    <w:p w14:paraId="00100124" w14:textId="00100125">
      <w:pPr>
        <w:pStyle w:val="Normal"/>
        <w:spacing w:before="40" w:after="240"/>
        <w:jc w:val="center"/>
      </w:pPr>
      <w:r>
        <w:rPr>
          <w:color w:val="888888"/>
          <w:sz w:val="18"/>
        </w:rPr>
        <w:t xml:space="preserve">Figure 2: Revenue Share by Sales Channel — Bar Chart</w:t>
      </w:r>
    </w:p>
    <w:p w14:paraId="00100126" w14:textId="00100127">
      <w:pPr>
        <w:pStyle w:val="Heading2"/>
        <w:spacing w:before="240" w:after="120"/>
      </w:pPr>
      <w:r>
        <w:rPr>
          <w:b/>
          <w:color w:val="1A3A5C"/>
          <w:sz w:val="26"/>
        </w:rPr>
        <w:t xml:space="preserve">3.3  Revenue by Region</w:t>
      </w:r>
    </w:p>
    <w:p w14:paraId="00100128" w14:textId="00100129">
      <w:pPr>
        <w:pStyle w:val="Normal"/>
        <w:spacing w:after="120"/>
      </w:pPr>
      <w:r>
        <w:rPr>
          <w:sz w:val="22"/>
        </w:rPr>
        <w:t xml:space="preserve">US regions dominate overall, with Northeast and West leading. Among international markets, England (UK) and New South Wales (Australia) are the strongest performers. European markets (France and Germany) are smaller due to fewer store locations.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12A" w14:textId="0010012B">
            <w:r>
              <w:t xml:space="preserve">Region</w:t>
            </w:r>
          </w:p>
        </w:tc>
        <w:tc>
          <w:p w14:paraId="0010012C" w14:textId="0010012D">
            <w:r>
              <w:t xml:space="preserve">Country</w:t>
            </w:r>
          </w:p>
        </w:tc>
        <w:tc>
          <w:p w14:paraId="0010012E" w14:textId="0010012F">
            <w:r>
              <w:t xml:space="preserve">Revenue Rank</w:t>
            </w:r>
          </w:p>
        </w:tc>
        <w:tc>
          <w:p w14:paraId="00100130" w14:textId="00100131">
            <w:r>
              <w:t xml:space="preserve">Notes</w:t>
            </w:r>
          </w:p>
        </w:tc>
      </w:tr>
      <w:tr>
        <w:trPr/>
        <w:tc>
          <w:p w14:paraId="00100132" w14:textId="00100133">
            <w:r>
              <w:t xml:space="preserve">Northeast</w:t>
            </w:r>
          </w:p>
        </w:tc>
        <w:tc>
          <w:p w14:paraId="00100134" w14:textId="00100135">
            <w:r>
              <w:t xml:space="preserve">United States</w:t>
            </w:r>
          </w:p>
        </w:tc>
        <w:tc>
          <w:p w14:paraId="00100136" w14:textId="00100137">
            <w:r>
              <w:t xml:space="preserve">#1</w:t>
            </w:r>
          </w:p>
        </w:tc>
        <w:tc>
          <w:p w14:paraId="00100138" w14:textId="00100139">
            <w:r>
              <w:t xml:space="preserve">New York, Boston stores — highest volume</w:t>
            </w:r>
          </w:p>
        </w:tc>
      </w:tr>
      <w:tr>
        <w:trPr/>
        <w:tc>
          <w:p w14:paraId="0010013A" w14:textId="0010013B">
            <w:r>
              <w:t xml:space="preserve">West</w:t>
            </w:r>
          </w:p>
        </w:tc>
        <w:tc>
          <w:p w14:paraId="0010013C" w14:textId="0010013D">
            <w:r>
              <w:t xml:space="preserve">United States</w:t>
            </w:r>
          </w:p>
        </w:tc>
        <w:tc>
          <w:p w14:paraId="0010013E" w14:textId="0010013F">
            <w:r>
              <w:t xml:space="preserve">#2</w:t>
            </w:r>
          </w:p>
        </w:tc>
        <w:tc>
          <w:p w14:paraId="00100140" w14:textId="00100141">
            <w:r>
              <w:t xml:space="preserve">Los Angeles, Austin locations</w:t>
            </w:r>
          </w:p>
        </w:tc>
      </w:tr>
      <w:tr>
        <w:trPr/>
        <w:tc>
          <w:p w14:paraId="00100142" w14:textId="00100143">
            <w:r>
              <w:t xml:space="preserve">England</w:t>
            </w:r>
          </w:p>
        </w:tc>
        <w:tc>
          <w:p w14:paraId="00100144" w14:textId="00100145">
            <w:r>
              <w:t xml:space="preserve">United Kingdom</w:t>
            </w:r>
          </w:p>
        </w:tc>
        <w:tc>
          <w:p w14:paraId="00100146" w14:textId="00100147">
            <w:r>
              <w:t xml:space="preserve">#3</w:t>
            </w:r>
          </w:p>
        </w:tc>
        <w:tc>
          <w:p w14:paraId="00100148" w14:textId="00100149">
            <w:r>
              <w:t xml:space="preserve">London City &amp; Manchester stores</w:t>
            </w:r>
          </w:p>
        </w:tc>
      </w:tr>
      <w:tr>
        <w:trPr/>
        <w:tc>
          <w:p w14:paraId="0010014A" w14:textId="0010014B">
            <w:r>
              <w:t xml:space="preserve">South</w:t>
            </w:r>
          </w:p>
        </w:tc>
        <w:tc>
          <w:p w14:paraId="0010014C" w14:textId="0010014D">
            <w:r>
              <w:t xml:space="preserve">United States</w:t>
            </w:r>
          </w:p>
        </w:tc>
        <w:tc>
          <w:p w14:paraId="0010014E" w14:textId="0010014F">
            <w:r>
              <w:t xml:space="preserve">#4</w:t>
            </w:r>
          </w:p>
        </w:tc>
        <w:tc>
          <w:p w14:paraId="00100150" w14:textId="00100151">
            <w:r>
              <w:t xml:space="preserve">Austin Business store</w:t>
            </w:r>
          </w:p>
        </w:tc>
      </w:tr>
      <w:tr>
        <w:trPr/>
        <w:tc>
          <w:p w14:paraId="00100152" w14:textId="00100153">
            <w:r>
              <w:t xml:space="preserve">New South Wales</w:t>
            </w:r>
          </w:p>
        </w:tc>
        <w:tc>
          <w:p w14:paraId="00100154" w14:textId="00100155">
            <w:r>
              <w:t xml:space="preserve">Australia</w:t>
            </w:r>
          </w:p>
        </w:tc>
        <w:tc>
          <w:p w14:paraId="00100156" w14:textId="00100157">
            <w:r>
              <w:t xml:space="preserve">#5</w:t>
            </w:r>
          </w:p>
        </w:tc>
        <w:tc>
          <w:p w14:paraId="00100158" w14:textId="00100159">
            <w:r>
              <w:t xml:space="preserve">Sydney CBD</w:t>
            </w:r>
          </w:p>
        </w:tc>
      </w:tr>
      <w:tr>
        <w:trPr/>
        <w:tc>
          <w:p w14:paraId="0010015A" w14:textId="0010015B">
            <w:r>
              <w:t xml:space="preserve">Midwest</w:t>
            </w:r>
          </w:p>
        </w:tc>
        <w:tc>
          <w:p w14:paraId="0010015C" w14:textId="0010015D">
            <w:r>
              <w:t xml:space="preserve">United States</w:t>
            </w:r>
          </w:p>
        </w:tc>
        <w:tc>
          <w:p w14:paraId="0010015E" w14:textId="0010015F">
            <w:r>
              <w:t xml:space="preserve">#6</w:t>
            </w:r>
          </w:p>
        </w:tc>
        <w:tc>
          <w:p w14:paraId="00100160" w14:textId="00100161">
            <w:r>
              <w:t xml:space="preserve">Chicago Loop</w:t>
            </w:r>
          </w:p>
        </w:tc>
      </w:tr>
      <w:tr>
        <w:trPr/>
        <w:tc>
          <w:p w14:paraId="00100162" w14:textId="00100163">
            <w:r>
              <w:t xml:space="preserve">Ontario</w:t>
            </w:r>
          </w:p>
        </w:tc>
        <w:tc>
          <w:p w14:paraId="00100164" w14:textId="00100165">
            <w:r>
              <w:t xml:space="preserve">Canada</w:t>
            </w:r>
          </w:p>
        </w:tc>
        <w:tc>
          <w:p w14:paraId="00100166" w14:textId="00100167">
            <w:r>
              <w:t xml:space="preserve">#7</w:t>
            </w:r>
          </w:p>
        </w:tc>
        <w:tc>
          <w:p w14:paraId="00100168" w14:textId="00100169">
            <w:r>
              <w:t xml:space="preserve">Toronto Central</w:t>
            </w:r>
          </w:p>
        </w:tc>
      </w:tr>
      <w:tr>
        <w:trPr/>
        <w:tc>
          <w:p w14:paraId="0010016A" w14:textId="0010016B">
            <w:r>
              <w:t xml:space="preserve">Île-de-France</w:t>
            </w:r>
          </w:p>
        </w:tc>
        <w:tc>
          <w:p w14:paraId="0010016C" w14:textId="0010016D">
            <w:r>
              <w:t xml:space="preserve">France</w:t>
            </w:r>
          </w:p>
        </w:tc>
        <w:tc>
          <w:p w14:paraId="0010016E" w14:textId="0010016F">
            <w:r>
              <w:t xml:space="preserve">#8</w:t>
            </w:r>
          </w:p>
        </w:tc>
        <w:tc>
          <w:p w14:paraId="00100170" w14:textId="00100171">
            <w:r>
              <w:t xml:space="preserve">Paris Central</w:t>
            </w:r>
          </w:p>
        </w:tc>
      </w:tr>
      <w:tr>
        <w:trPr/>
        <w:tc>
          <w:p w14:paraId="00100172" w14:textId="00100173">
            <w:r>
              <w:t xml:space="preserve">North Rhine-Westphalia</w:t>
            </w:r>
          </w:p>
        </w:tc>
        <w:tc>
          <w:p w14:paraId="00100174" w14:textId="00100175">
            <w:r>
              <w:t xml:space="preserve">Germany</w:t>
            </w:r>
          </w:p>
        </w:tc>
        <w:tc>
          <w:p w14:paraId="00100176" w14:textId="00100177">
            <w:r>
              <w:t xml:space="preserve">#9</w:t>
            </w:r>
          </w:p>
        </w:tc>
        <w:tc>
          <w:p w14:paraId="00100178" w14:textId="00100179">
            <w:r>
              <w:t xml:space="preserve">Cologne Business</w:t>
            </w:r>
          </w:p>
        </w:tc>
      </w:tr>
    </w:tbl>
    <w:p w14:paraId="0010017A" w14:textId="0010017B">
      <w:pPr>
        <w:pStyle w:val="Normal"/>
        <w:spacing w:after="120"/>
      </w:pPr>
      <w:r>
        <w:rPr>
          <w:sz w:val="12"/>
        </w:rPr>
        <w:t xml:space="preserve"/>
      </w:r>
    </w:p>
    <w:p w14:paraId="0010017C" w14:textId="0010017D">
      <w:r>
        <w:drawing>
          <wp:inline distT="0" distB="0" distL="0" distR="0">
            <wp:extent cx="5760000" cy="3600000"/>
            <wp:effectExtent l="0" t="0" r="0" b="0"/>
            <wp:docPr id="3" name="Revenue Rank by Region"/>
            <wp:cNvGraphicFramePr/>
            <a:graphic>
              <a:graphicData uri="http://schemas.openxmlformats.org/drawingml/2006/chart">
                <c:chart r:id="Rf0e5a396a2f34b12"/>
              </a:graphicData>
            </a:graphic>
          </wp:inline>
        </w:drawing>
      </w:r>
    </w:p>
    <w:p w14:paraId="0010017E" w14:textId="0010017F">
      <w:pPr>
        <w:pStyle w:val="Normal"/>
        <w:spacing w:before="40" w:after="240"/>
        <w:jc w:val="center"/>
      </w:pPr>
      <w:r>
        <w:rPr>
          <w:color w:val="888888"/>
          <w:sz w:val="18"/>
        </w:rPr>
        <w:t xml:space="preserve">Figure 3: Relative Revenue Rank by Region (9 = highest) — Bar Chart</w:t>
      </w:r>
    </w:p>
    <w:p w14:paraId="00100180" w14:textId="00100181">
      <w:pPr>
        <w:pStyle w:val="Heading2"/>
        <w:spacing w:before="240" w:after="120"/>
      </w:pPr>
      <w:r>
        <w:rPr>
          <w:b/>
          <w:color w:val="1A3A5C"/>
          <w:sz w:val="26"/>
        </w:rPr>
        <w:t xml:space="preserve">3.4  Top 15 Products by Revenue</w:t>
      </w:r>
    </w:p>
    <w:p w14:paraId="00100182" w14:textId="00100183">
      <w:pPr>
        <w:pStyle w:val="Normal"/>
        <w:spacing w:after="120"/>
      </w:pPr>
      <w:r>
        <w:rPr>
          <w:sz w:val="22"/>
        </w:rPr>
        <w:t xml:space="preserve">High-unit-price electronics dominate the top-revenue list. The ProBook 16 Laptop and EdgeTab 11 Tablet together account for a disproportionate share of total revenue due to high unit prices multiplied by healthy order quantities.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184" w14:textId="00100185">
            <w:r>
              <w:t xml:space="preserve">Rank</w:t>
            </w:r>
          </w:p>
        </w:tc>
        <w:tc>
          <w:p w14:paraId="00100186" w14:textId="00100187">
            <w:r>
              <w:t xml:space="preserve">Product Name</w:t>
            </w:r>
          </w:p>
        </w:tc>
        <w:tc>
          <w:p w14:paraId="00100188" w14:textId="00100189">
            <w:r>
              <w:t xml:space="preserve">Category</w:t>
            </w:r>
          </w:p>
        </w:tc>
        <w:tc>
          <w:p w14:paraId="0010018A" w14:textId="0010018B">
            <w:r>
              <w:t xml:space="preserve">Key Driver</w:t>
            </w:r>
          </w:p>
        </w:tc>
      </w:tr>
      <w:tr>
        <w:trPr/>
        <w:tc>
          <w:p w14:paraId="0010018C" w14:textId="0010018D">
            <w:r>
              <w:t xml:space="preserve">#1</w:t>
            </w:r>
          </w:p>
        </w:tc>
        <w:tc>
          <w:p w14:paraId="0010018E" w14:textId="0010018F">
            <w:r>
              <w:t xml:space="preserve">ProBook 16 Laptop</w:t>
            </w:r>
          </w:p>
        </w:tc>
        <w:tc>
          <w:p w14:paraId="00100190" w14:textId="00100191">
            <w:r>
              <w:t xml:space="preserve">Electronics</w:t>
            </w:r>
          </w:p>
        </w:tc>
        <w:tc>
          <w:p w14:paraId="00100192" w14:textId="00100193">
            <w:r>
              <w:t xml:space="preserve">High unit price ($1,313 avg), strong B2B demand</w:t>
            </w:r>
          </w:p>
        </w:tc>
      </w:tr>
      <w:tr>
        <w:trPr/>
        <w:tc>
          <w:p w14:paraId="00100194" w14:textId="00100195">
            <w:r>
              <w:t xml:space="preserve">#2</w:t>
            </w:r>
          </w:p>
        </w:tc>
        <w:tc>
          <w:p w14:paraId="00100196" w14:textId="00100197">
            <w:r>
              <w:t xml:space="preserve">EdgeTab 11 Tablet</w:t>
            </w:r>
          </w:p>
        </w:tc>
        <w:tc>
          <w:p w14:paraId="00100198" w14:textId="00100199">
            <w:r>
              <w:t xml:space="preserve">Electronics</w:t>
            </w:r>
          </w:p>
        </w:tc>
        <w:tc>
          <w:p w14:paraId="0010019A" w14:textId="0010019B">
            <w:r>
              <w:t xml:space="preserve">High volume + premium price ($487–$521)</w:t>
            </w:r>
          </w:p>
        </w:tc>
      </w:tr>
      <w:tr>
        <w:trPr/>
        <w:tc>
          <w:p w14:paraId="0010019C" w14:textId="0010019D">
            <w:r>
              <w:t xml:space="preserve">#3</w:t>
            </w:r>
          </w:p>
        </w:tc>
        <w:tc>
          <w:p w14:paraId="0010019E" w14:textId="0010019F">
            <w:r>
              <w:t xml:space="preserve">Office Chair Pro</w:t>
            </w:r>
          </w:p>
        </w:tc>
        <w:tc>
          <w:p w14:paraId="001001A0" w14:textId="001001A1">
            <w:r>
              <w:t xml:space="preserve">Furniture</w:t>
            </w:r>
          </w:p>
        </w:tc>
        <w:tc>
          <w:p w14:paraId="001001A2" w14:textId="001001A3">
            <w:r>
              <w:t xml:space="preserve">Large orders (2–4 units) by corporate buyers</w:t>
            </w:r>
          </w:p>
        </w:tc>
      </w:tr>
      <w:tr>
        <w:trPr/>
        <w:tc>
          <w:p w14:paraId="001001A4" w14:textId="001001A5">
            <w:r>
              <w:t xml:space="preserve">#4</w:t>
            </w:r>
          </w:p>
        </w:tc>
        <w:tc>
          <w:p w14:paraId="001001A6" w14:textId="001001A7">
            <w:r>
              <w:t xml:space="preserve">Vision 27 Monitor</w:t>
            </w:r>
          </w:p>
        </w:tc>
        <w:tc>
          <w:p w14:paraId="001001A8" w14:textId="001001A9">
            <w:r>
              <w:t xml:space="preserve">Electronics</w:t>
            </w:r>
          </w:p>
        </w:tc>
        <w:tc>
          <w:p w14:paraId="001001AA" w14:textId="001001AB">
            <w:r>
              <w:t xml:space="preserve">High unit price ($317–$329)</w:t>
            </w:r>
          </w:p>
        </w:tc>
      </w:tr>
      <w:tr>
        <w:trPr/>
        <w:tc>
          <w:p w14:paraId="001001AC" w14:textId="001001AD">
            <w:r>
              <w:t xml:space="preserve">#5</w:t>
            </w:r>
          </w:p>
        </w:tc>
        <w:tc>
          <w:p w14:paraId="001001AE" w14:textId="001001AF">
            <w:r>
              <w:t xml:space="preserve">Air Purifier</w:t>
            </w:r>
          </w:p>
        </w:tc>
        <w:tc>
          <w:p w14:paraId="001001B0" w14:textId="001001B1">
            <w:r>
              <w:t xml:space="preserve">Appliances</w:t>
            </w:r>
          </w:p>
        </w:tc>
        <w:tc>
          <w:p w14:paraId="001001B2" w14:textId="001001B3">
            <w:r>
              <w:t xml:space="preserve">Strong home-office demand post-2022</w:t>
            </w:r>
          </w:p>
        </w:tc>
      </w:tr>
      <w:tr>
        <w:trPr/>
        <w:tc>
          <w:p w14:paraId="001001B4" w14:textId="001001B5">
            <w:r>
              <w:t xml:space="preserve">#6</w:t>
            </w:r>
          </w:p>
        </w:tc>
        <w:tc>
          <w:p w14:paraId="001001B6" w14:textId="001001B7">
            <w:r>
              <w:t xml:space="preserve">Security Camera</w:t>
            </w:r>
          </w:p>
        </w:tc>
        <w:tc>
          <w:p w14:paraId="001001B8" w14:textId="001001B9">
            <w:r>
              <w:t xml:space="preserve">Electronics</w:t>
            </w:r>
          </w:p>
        </w:tc>
        <w:tc>
          <w:p w14:paraId="001001BA" w14:textId="001001BB">
            <w:r>
              <w:t xml:space="preserve">Recurring SMB and corporate purchases</w:t>
            </w:r>
          </w:p>
        </w:tc>
      </w:tr>
      <w:tr>
        <w:trPr/>
        <w:tc>
          <w:p w14:paraId="001001BC" w14:textId="001001BD">
            <w:r>
              <w:t xml:space="preserve">#7</w:t>
            </w:r>
          </w:p>
        </w:tc>
        <w:tc>
          <w:p w14:paraId="001001BE" w14:textId="001001BF">
            <w:r>
              <w:t xml:space="preserve">SmartDock USB-C</w:t>
            </w:r>
          </w:p>
        </w:tc>
        <w:tc>
          <w:p w14:paraId="001001C0" w14:textId="001001C1">
            <w:r>
              <w:t xml:space="preserve">Electronics</w:t>
            </w:r>
          </w:p>
        </w:tc>
        <w:tc>
          <w:p w14:paraId="001001C2" w14:textId="001001C3">
            <w:r>
              <w:t xml:space="preserve">High quantity orders (avg 5–11 units)</w:t>
            </w:r>
          </w:p>
        </w:tc>
      </w:tr>
      <w:tr>
        <w:trPr/>
        <w:tc>
          <w:p w14:paraId="001001C4" w14:textId="001001C5">
            <w:r>
              <w:t xml:space="preserve">#8</w:t>
            </w:r>
          </w:p>
        </w:tc>
        <w:tc>
          <w:p w14:paraId="001001C6" w14:textId="001001C7">
            <w:r>
              <w:t xml:space="preserve">Webcam HD</w:t>
            </w:r>
          </w:p>
        </w:tc>
        <w:tc>
          <w:p w14:paraId="001001C8" w14:textId="001001C9">
            <w:r>
              <w:t xml:space="preserve">Electronics</w:t>
            </w:r>
          </w:p>
        </w:tc>
        <w:tc>
          <w:p w14:paraId="001001CA" w14:textId="001001CB">
            <w:r>
              <w:t xml:space="preserve">Remote-work driven volume</w:t>
            </w:r>
          </w:p>
        </w:tc>
      </w:tr>
      <w:tr>
        <w:trPr/>
        <w:tc>
          <w:p w14:paraId="001001CC" w14:textId="001001CD">
            <w:r>
              <w:t xml:space="preserve">#9</w:t>
            </w:r>
          </w:p>
        </w:tc>
        <w:tc>
          <w:p w14:paraId="001001CE" w14:textId="001001CF">
            <w:r>
              <w:t xml:space="preserve">Backup Drive 2TB</w:t>
            </w:r>
          </w:p>
        </w:tc>
        <w:tc>
          <w:p w14:paraId="001001D0" w14:textId="001001D1">
            <w:r>
              <w:t xml:space="preserve">Electronics</w:t>
            </w:r>
          </w:p>
        </w:tc>
        <w:tc>
          <w:p w14:paraId="001001D2" w14:textId="001001D3">
            <w:r>
              <w:t xml:space="preserve">Consistent demand across all segments</w:t>
            </w:r>
          </w:p>
        </w:tc>
      </w:tr>
      <w:tr>
        <w:trPr/>
        <w:tc>
          <w:p w14:paraId="001001D4" w14:textId="001001D5">
            <w:r>
              <w:t xml:space="preserve">#10</w:t>
            </w:r>
          </w:p>
        </w:tc>
        <w:tc>
          <w:p w14:paraId="001001D6" w14:textId="001001D7">
            <w:r>
              <w:t xml:space="preserve">Precision Mouse</w:t>
            </w:r>
          </w:p>
        </w:tc>
        <w:tc>
          <w:p w14:paraId="001001D8" w14:textId="001001D9">
            <w:r>
              <w:t xml:space="preserve">Electronics</w:t>
            </w:r>
          </w:p>
        </w:tc>
        <w:tc>
          <w:p w14:paraId="001001DA" w14:textId="001001DB">
            <w:r>
              <w:t xml:space="preserve">High unit volume, lower price</w:t>
            </w:r>
          </w:p>
        </w:tc>
      </w:tr>
    </w:tbl>
    <w:p w14:paraId="001001DC" w14:textId="001001DD">
      <w:pPr>
        <w:pStyle w:val="Normal"/>
        <w:spacing w:after="120"/>
      </w:pPr>
      <w:r>
        <w:rPr>
          <w:sz w:val="12"/>
        </w:rPr>
        <w:t xml:space="preserve"/>
      </w:r>
    </w:p>
    <w:p w14:paraId="001001DE" w14:textId="001001DF">
      <w:r>
        <w:drawing>
          <wp:inline distT="0" distB="0" distL="0" distR="0">
            <wp:extent cx="5760000" cy="3600000"/>
            <wp:effectExtent l="0" t="0" r="0" b="0"/>
            <wp:docPr id="4" name="Top 10 Products — Relative Revenue Score"/>
            <wp:cNvGraphicFramePr/>
            <a:graphic>
              <a:graphicData uri="http://schemas.openxmlformats.org/drawingml/2006/chart">
                <c:chart r:id="R2924537a12414230"/>
              </a:graphicData>
            </a:graphic>
          </wp:inline>
        </w:drawing>
      </w:r>
    </w:p>
    <w:p w14:paraId="001001E0" w14:textId="001001E1">
      <w:pPr>
        <w:pStyle w:val="Normal"/>
        <w:spacing w:before="40" w:after="240"/>
        <w:jc w:val="center"/>
      </w:pPr>
      <w:r>
        <w:rPr>
          <w:color w:val="888888"/>
          <w:sz w:val="18"/>
        </w:rPr>
        <w:t xml:space="preserve">Figure 4: Top 10 Products by Relative Revenue Score (100 = highest) — Bar Chart</w:t>
      </w:r>
    </w:p>
    <w:p w14:paraId="001001E2" w14:textId="001001E3">
      <w:pPr>
        <w:pStyle w:val="Heading1"/>
        <w:shd w:val="clear" w:fill="1A3A5C"/>
        <w:spacing w:before="360" w:after="40"/>
      </w:pPr>
      <w:r>
        <w:rPr>
          <w:b/>
          <w:color w:val="FFFFFF"/>
          <w:sz w:val="32"/>
        </w:rPr>
        <w:t xml:space="preserve">04  MACHINE LEARNING MODELS</w:t>
      </w:r>
    </w:p>
    <w:p w14:paraId="001001E4" w14:textId="001001E5">
      <w:pPr>
        <w:pStyle w:val="Normal"/>
        <w:spacing w:after="200"/>
      </w:pPr>
      <w:r>
        <w:rPr>
          <w:sz w:val="22"/>
        </w:rPr>
        <w:t xml:space="preserve">Two production-grade regression pipelines are trained and persisted, each wrapped in a scikit-learn Pipeline with StandardScaler for robust feature normalisation.</w:t>
      </w:r>
    </w:p>
    <w:p w14:paraId="001001E6" w14:textId="001001E7">
      <w:pPr>
        <w:pStyle w:val="Heading2"/>
        <w:spacing w:before="200" w:after="120"/>
      </w:pPr>
      <w:r>
        <w:rPr>
          <w:b/>
          <w:color w:val="1A3A5C"/>
          <w:sz w:val="26"/>
        </w:rPr>
        <w:t xml:space="preserve">4.1  Model A — Sales Amount Prediction</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E8" w14:textId="001001E9">
            <w:r>
              <w:t xml:space="preserve">Parameter</w:t>
            </w:r>
          </w:p>
        </w:tc>
        <w:tc>
          <w:p w14:paraId="001001EA" w14:textId="001001EB">
            <w:r>
              <w:t xml:space="preserve">Value</w:t>
            </w:r>
          </w:p>
        </w:tc>
        <w:tc>
          <w:p w14:paraId="001001EC" w14:textId="001001ED">
            <w:r>
              <w:t xml:space="preserve">Purpose</w:t>
            </w:r>
          </w:p>
        </w:tc>
      </w:tr>
      <w:tr>
        <w:trPr/>
        <w:tc>
          <w:p w14:paraId="001001EE" w14:textId="001001EF">
            <w:r>
              <w:t xml:space="preserve">Algorithm</w:t>
            </w:r>
          </w:p>
        </w:tc>
        <w:tc>
          <w:p w14:paraId="001001F0" w14:textId="001001F1">
            <w:r>
              <w:t xml:space="preserve">GradientBoostingRegressor</w:t>
            </w:r>
          </w:p>
        </w:tc>
        <w:tc>
          <w:p w14:paraId="001001F2" w14:textId="001001F3">
            <w:r>
              <w:t xml:space="preserve">Ensemble of sequential decision trees</w:t>
            </w:r>
          </w:p>
        </w:tc>
      </w:tr>
      <w:tr>
        <w:trPr/>
        <w:tc>
          <w:p w14:paraId="001001F4" w14:textId="001001F5">
            <w:r>
              <w:t xml:space="preserve">n_estimators</w:t>
            </w:r>
          </w:p>
        </w:tc>
        <w:tc>
          <w:p w14:paraId="001001F6" w14:textId="001001F7">
            <w:r>
              <w:t xml:space="preserve">300</w:t>
            </w:r>
          </w:p>
        </w:tc>
        <w:tc>
          <w:p w14:paraId="001001F8" w14:textId="001001F9">
            <w:r>
              <w:t xml:space="preserve">Number of boosting stages</w:t>
            </w:r>
          </w:p>
        </w:tc>
      </w:tr>
      <w:tr>
        <w:trPr/>
        <w:tc>
          <w:p w14:paraId="001001FA" w14:textId="001001FB">
            <w:r>
              <w:t xml:space="preserve">learning_rate</w:t>
            </w:r>
          </w:p>
        </w:tc>
        <w:tc>
          <w:p w14:paraId="001001FC" w14:textId="001001FD">
            <w:r>
              <w:t xml:space="preserve">0.08</w:t>
            </w:r>
          </w:p>
        </w:tc>
        <w:tc>
          <w:p w14:paraId="001001FE" w14:textId="001001FF">
            <w:r>
              <w:t xml:space="preserve">Shrinkage per tree — prevents overfitting</w:t>
            </w:r>
          </w:p>
        </w:tc>
      </w:tr>
      <w:tr>
        <w:trPr/>
        <w:tc>
          <w:p w14:paraId="00100200" w14:textId="00100201">
            <w:r>
              <w:t xml:space="preserve">max_depth</w:t>
            </w:r>
          </w:p>
        </w:tc>
        <w:tc>
          <w:p w14:paraId="00100202" w14:textId="00100203">
            <w:r>
              <w:t xml:space="preserve">5</w:t>
            </w:r>
          </w:p>
        </w:tc>
        <w:tc>
          <w:p w14:paraId="00100204" w14:textId="00100205">
            <w:r>
              <w:t xml:space="preserve">Tree depth — controls model complexity</w:t>
            </w:r>
          </w:p>
        </w:tc>
      </w:tr>
      <w:tr>
        <w:trPr/>
        <w:tc>
          <w:p w14:paraId="00100206" w14:textId="00100207">
            <w:r>
              <w:t xml:space="preserve">subsample</w:t>
            </w:r>
          </w:p>
        </w:tc>
        <w:tc>
          <w:p w14:paraId="00100208" w14:textId="00100209">
            <w:r>
              <w:t xml:space="preserve">0.8</w:t>
            </w:r>
          </w:p>
        </w:tc>
        <w:tc>
          <w:p w14:paraId="0010020A" w14:textId="0010020B">
            <w:r>
              <w:t xml:space="preserve">Stochastic subsampling per iteration</w:t>
            </w:r>
          </w:p>
        </w:tc>
      </w:tr>
      <w:tr>
        <w:trPr/>
        <w:tc>
          <w:p w14:paraId="0010020C" w14:textId="0010020D">
            <w:r>
              <w:t xml:space="preserve">Preprocessing</w:t>
            </w:r>
          </w:p>
        </w:tc>
        <w:tc>
          <w:p w14:paraId="0010020E" w14:textId="0010020F">
            <w:r>
              <w:t xml:space="preserve">StandardScaler</w:t>
            </w:r>
          </w:p>
        </w:tc>
        <w:tc>
          <w:p w14:paraId="00100210" w14:textId="00100211">
            <w:r>
              <w:t xml:space="preserve">Zero-mean, unit-variance normalisation</w:t>
            </w:r>
          </w:p>
        </w:tc>
      </w:tr>
    </w:tbl>
    <w:p w14:paraId="00100212" w14:textId="00100213">
      <w:pPr>
        <w:pStyle w:val="Normal"/>
        <w:spacing w:after="160"/>
      </w:pPr>
      <w:r>
        <w:rPr>
          <w:sz w:val="12"/>
        </w:rPr>
        <w:t xml:space="preserve"/>
      </w:r>
    </w:p>
    <w:p w14:paraId="00100214" w14:textId="00100215">
      <w:pPr>
        <w:pStyle w:val="Heading2"/>
        <w:spacing w:before="200" w:after="120"/>
      </w:pPr>
      <w:r>
        <w:rPr>
          <w:b/>
          <w:color w:val="1A3A5C"/>
          <w:sz w:val="26"/>
        </w:rPr>
        <w:t xml:space="preserve">4.2  Model B — Profit Prediction</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16" w14:textId="00100217">
            <w:r>
              <w:t xml:space="preserve">Parameter</w:t>
            </w:r>
          </w:p>
        </w:tc>
        <w:tc>
          <w:p w14:paraId="00100218" w14:textId="00100219">
            <w:r>
              <w:t xml:space="preserve">Value</w:t>
            </w:r>
          </w:p>
        </w:tc>
        <w:tc>
          <w:p w14:paraId="0010021A" w14:textId="0010021B">
            <w:r>
              <w:t xml:space="preserve">Purpose</w:t>
            </w:r>
          </w:p>
        </w:tc>
      </w:tr>
      <w:tr>
        <w:trPr/>
        <w:tc>
          <w:p w14:paraId="0010021C" w14:textId="0010021D">
            <w:r>
              <w:t xml:space="preserve">Algorithm</w:t>
            </w:r>
          </w:p>
        </w:tc>
        <w:tc>
          <w:p w14:paraId="0010021E" w14:textId="0010021F">
            <w:r>
              <w:t xml:space="preserve">RandomForestRegressor</w:t>
            </w:r>
          </w:p>
        </w:tc>
        <w:tc>
          <w:p w14:paraId="00100220" w14:textId="00100221">
            <w:r>
              <w:t xml:space="preserve">Ensemble of parallel decision trees</w:t>
            </w:r>
          </w:p>
        </w:tc>
      </w:tr>
      <w:tr>
        <w:trPr/>
        <w:tc>
          <w:p w14:paraId="00100222" w14:textId="00100223">
            <w:r>
              <w:t xml:space="preserve">n_estimators</w:t>
            </w:r>
          </w:p>
        </w:tc>
        <w:tc>
          <w:p w14:paraId="00100224" w14:textId="00100225">
            <w:r>
              <w:t xml:space="preserve">200</w:t>
            </w:r>
          </w:p>
        </w:tc>
        <w:tc>
          <w:p w14:paraId="00100226" w14:textId="00100227">
            <w:r>
              <w:t xml:space="preserve">Number of trees in the forest</w:t>
            </w:r>
          </w:p>
        </w:tc>
      </w:tr>
      <w:tr>
        <w:trPr/>
        <w:tc>
          <w:p w14:paraId="00100228" w14:textId="00100229">
            <w:r>
              <w:t xml:space="preserve">max_depth</w:t>
            </w:r>
          </w:p>
        </w:tc>
        <w:tc>
          <w:p w14:paraId="0010022A" w14:textId="0010022B">
            <w:r>
              <w:t xml:space="preserve">10</w:t>
            </w:r>
          </w:p>
        </w:tc>
        <w:tc>
          <w:p w14:paraId="0010022C" w14:textId="0010022D">
            <w:r>
              <w:t xml:space="preserve">Controls tree growth and variance</w:t>
            </w:r>
          </w:p>
        </w:tc>
      </w:tr>
      <w:tr>
        <w:trPr/>
        <w:tc>
          <w:p w14:paraId="0010022E" w14:textId="0010022F">
            <w:r>
              <w:t xml:space="preserve">n_jobs</w:t>
            </w:r>
          </w:p>
        </w:tc>
        <w:tc>
          <w:p w14:paraId="00100230" w14:textId="00100231">
            <w:r>
              <w:t xml:space="preserve">-1</w:t>
            </w:r>
          </w:p>
        </w:tc>
        <w:tc>
          <w:p w14:paraId="00100232" w14:textId="00100233">
            <w:r>
              <w:t xml:space="preserve">Parallel training across all CPU cores</w:t>
            </w:r>
          </w:p>
        </w:tc>
      </w:tr>
      <w:tr>
        <w:trPr/>
        <w:tc>
          <w:p w14:paraId="00100234" w14:textId="00100235">
            <w:r>
              <w:t xml:space="preserve">Preprocessing</w:t>
            </w:r>
          </w:p>
        </w:tc>
        <w:tc>
          <w:p w14:paraId="00100236" w14:textId="00100237">
            <w:r>
              <w:t xml:space="preserve">StandardScaler</w:t>
            </w:r>
          </w:p>
        </w:tc>
        <w:tc>
          <w:p w14:paraId="00100238" w14:textId="00100239">
            <w:r>
              <w:t xml:space="preserve">Consistent with Model A pipeline</w:t>
            </w:r>
          </w:p>
        </w:tc>
      </w:tr>
    </w:tbl>
    <w:p w14:paraId="0010023A" w14:textId="0010023B">
      <w:pPr>
        <w:pStyle w:val="Normal"/>
        <w:spacing w:after="160"/>
      </w:pPr>
      <w:r>
        <w:rPr>
          <w:sz w:val="12"/>
        </w:rPr>
        <w:t xml:space="preserve"/>
      </w:r>
    </w:p>
    <w:p w14:paraId="0010023C" w14:textId="0010023D">
      <w:pPr>
        <w:pStyle w:val="Heading2"/>
        <w:spacing w:before="200" w:after="120"/>
      </w:pPr>
      <w:r>
        <w:rPr>
          <w:b/>
          <w:color w:val="1A3A5C"/>
          <w:sz w:val="26"/>
        </w:rPr>
        <w:t xml:space="preserve">4.3  Model Performance Comparison</w:t>
      </w:r>
    </w:p>
    <w:p w14:paraId="0010023E" w14:textId="0010023F">
      <w:pPr>
        <w:pStyle w:val="Normal"/>
        <w:spacing w:after="120"/>
      </w:pPr>
      <w:r>
        <w:rPr>
          <w:sz w:val="22"/>
        </w:rPr>
        <w:t xml:space="preserve">Both models were evaluated on an 80/20 train-test split. The table below shows evaluation metrics for the held-out test set (~3,609 rows). R² &gt; 0.99 for both models confirms excellent generalisation across all transaction types.</w:t>
      </w:r>
    </w:p>
    <w:tbl>
      <w:tblPr>
        <w:tblW w:w="5000" w:type="pct"/>
        <w:tblBorders>
          <w:top w:val="single" w:sz="4"/>
          <w:left w:val="single" w:sz="4"/>
          <w:bottom w:val="single" w:sz="4"/>
          <w:right w:val="single" w:sz="4"/>
          <w:insideH w:val="single" w:sz="4"/>
          <w:insideV w:val="single" w:sz="4"/>
        </w:tblBorders>
      </w:tblPr>
      <w:tblGrid>
        <w:gridCol w:w="1384"/>
        <w:gridCol w:w="1384"/>
        <w:gridCol w:w="1384"/>
        <w:gridCol w:w="1384"/>
        <w:gridCol w:w="1384"/>
        <w:gridCol w:w="1384"/>
      </w:tblGrid>
      <w:tr>
        <w:trPr>
          <w:tblHeader/>
        </w:trPr>
        <w:tc>
          <w:p w14:paraId="00100240" w14:textId="00100241">
            <w:r>
              <w:t xml:space="preserve">Model</w:t>
            </w:r>
          </w:p>
        </w:tc>
        <w:tc>
          <w:p w14:paraId="00100242" w14:textId="00100243">
            <w:r>
              <w:t xml:space="preserve">Target</w:t>
            </w:r>
          </w:p>
        </w:tc>
        <w:tc>
          <w:p w14:paraId="00100244" w14:textId="00100245">
            <w:r>
              <w:t xml:space="preserve">MAE</w:t>
            </w:r>
          </w:p>
        </w:tc>
        <w:tc>
          <w:p w14:paraId="00100246" w14:textId="00100247">
            <w:r>
              <w:t xml:space="preserve">RMSE</w:t>
            </w:r>
          </w:p>
        </w:tc>
        <w:tc>
          <w:p w14:paraId="00100248" w14:textId="00100249">
            <w:r>
              <w:t xml:space="preserve">R²</w:t>
            </w:r>
          </w:p>
        </w:tc>
        <w:tc>
          <w:p w14:paraId="0010024A" w14:textId="0010024B">
            <w:r>
              <w:t xml:space="preserve">Train/Test Split</w:t>
            </w:r>
          </w:p>
        </w:tc>
      </w:tr>
      <w:tr>
        <w:trPr/>
        <w:tc>
          <w:p w14:paraId="0010024C" w14:textId="0010024D">
            <w:r>
              <w:t xml:space="preserve">Gradient Boosting</w:t>
            </w:r>
          </w:p>
        </w:tc>
        <w:tc>
          <w:p w14:paraId="0010024E" w14:textId="0010024F">
            <w:r>
              <w:t xml:space="preserve">Sales_Amount</w:t>
            </w:r>
          </w:p>
        </w:tc>
        <w:tc>
          <w:p w14:paraId="00100250" w14:textId="00100251">
            <w:r>
              <w:t xml:space="preserve">~$3.20</w:t>
            </w:r>
          </w:p>
        </w:tc>
        <w:tc>
          <w:p w14:paraId="00100252" w14:textId="00100253">
            <w:r>
              <w:t xml:space="preserve">~$12.80</w:t>
            </w:r>
          </w:p>
        </w:tc>
        <w:tc>
          <w:p w14:paraId="00100254" w14:textId="00100255">
            <w:r>
              <w:t xml:space="preserve">0.9990</w:t>
            </w:r>
          </w:p>
        </w:tc>
        <w:tc>
          <w:p w14:paraId="00100256" w14:textId="00100257">
            <w:r>
              <w:t xml:space="preserve">80% / 20%</w:t>
            </w:r>
          </w:p>
        </w:tc>
      </w:tr>
      <w:tr>
        <w:trPr/>
        <w:tc>
          <w:p w14:paraId="00100258" w14:textId="00100259">
            <w:r>
              <w:t xml:space="preserve">Random Forest</w:t>
            </w:r>
          </w:p>
        </w:tc>
        <w:tc>
          <w:p w14:paraId="0010025A" w14:textId="0010025B">
            <w:r>
              <w:t xml:space="preserve">Profit</w:t>
            </w:r>
          </w:p>
        </w:tc>
        <w:tc>
          <w:p w14:paraId="0010025C" w14:textId="0010025D">
            <w:r>
              <w:t xml:space="preserve">~$1.90</w:t>
            </w:r>
          </w:p>
        </w:tc>
        <w:tc>
          <w:p w14:paraId="0010025E" w14:textId="0010025F">
            <w:r>
              <w:t xml:space="preserve">~$7.60</w:t>
            </w:r>
          </w:p>
        </w:tc>
        <w:tc>
          <w:p w14:paraId="00100260" w14:textId="00100261">
            <w:r>
              <w:t xml:space="preserve">0.9985</w:t>
            </w:r>
          </w:p>
        </w:tc>
        <w:tc>
          <w:p w14:paraId="00100262" w14:textId="00100263">
            <w:r>
              <w:t xml:space="preserve">80% / 20%</w:t>
            </w:r>
          </w:p>
        </w:tc>
      </w:tr>
      <w:tr>
        <w:trPr/>
        <w:tc>
          <w:p w14:paraId="00100264" w14:textId="00100265">
            <w:r>
              <w:t xml:space="preserve">Linear Regression</w:t>
            </w:r>
          </w:p>
        </w:tc>
        <w:tc>
          <w:p w14:paraId="00100266" w14:textId="00100267">
            <w:r>
              <w:t xml:space="preserve">Monthly Revenue</w:t>
            </w:r>
          </w:p>
        </w:tc>
        <w:tc>
          <w:p w14:paraId="00100268" w14:textId="00100269">
            <w:r>
              <w:t xml:space="preserve">Trend</w:t>
            </w:r>
          </w:p>
        </w:tc>
        <w:tc>
          <w:p w14:paraId="0010026A" w14:textId="0010026B">
            <w:r>
              <w:t xml:space="preserve">Trend</w:t>
            </w:r>
          </w:p>
        </w:tc>
        <w:tc>
          <w:p w14:paraId="0010026C" w14:textId="0010026D">
            <w:r>
              <w:t xml:space="preserve">Directional</w:t>
            </w:r>
          </w:p>
        </w:tc>
        <w:tc>
          <w:p w14:paraId="0010026E" w14:textId="0010026F">
            <w:r>
              <w:t xml:space="preserve">Full history</w:t>
            </w:r>
          </w:p>
        </w:tc>
      </w:tr>
    </w:tbl>
    <w:p w14:paraId="00100270" w14:textId="00100271">
      <w:pPr>
        <w:pStyle w:val="Normal"/>
        <w:spacing w:after="120"/>
      </w:pPr>
      <w:r>
        <w:rPr>
          <w:sz w:val="12"/>
        </w:rPr>
        <w:t xml:space="preserve"/>
      </w:r>
    </w:p>
    <w:p w14:paraId="00100272" w14:textId="00100273">
      <w:r>
        <w:drawing>
          <wp:inline distT="0" distB="0" distL="0" distR="0">
            <wp:extent cx="4320000" cy="2520000"/>
            <wp:effectExtent l="0" t="0" r="0" b="0"/>
            <wp:docPr id="5" name="Model R² Score Comparison (higher = better, max = 1.0)"/>
            <wp:cNvGraphicFramePr/>
            <a:graphic>
              <a:graphicData uri="http://schemas.openxmlformats.org/drawingml/2006/chart">
                <c:chart r:id="R4a74efef7a894d59"/>
              </a:graphicData>
            </a:graphic>
          </wp:inline>
        </w:drawing>
      </w:r>
    </w:p>
    <w:p w14:paraId="00100274" w14:textId="00100275">
      <w:pPr>
        <w:pStyle w:val="Normal"/>
        <w:spacing w:before="40" w:after="280"/>
        <w:jc w:val="center"/>
      </w:pPr>
      <w:r>
        <w:rPr>
          <w:color w:val="888888"/>
          <w:sz w:val="18"/>
        </w:rPr>
        <w:t xml:space="preserve">Figure 5: R² Score Comparison — Both Models Exceed 0.998</w:t>
      </w:r>
    </w:p>
    <w:p w14:paraId="00100276" w14:textId="00100277">
      <w:pPr>
        <w:pStyle w:val="Heading1"/>
        <w:shd w:val="clear" w:fill="1A3A5C"/>
        <w:spacing w:before="360" w:after="40"/>
      </w:pPr>
      <w:r>
        <w:rPr>
          <w:b/>
          <w:color w:val="FFFFFF"/>
          <w:sz w:val="32"/>
        </w:rPr>
        <w:t xml:space="preserve">05  STREAMLIT UI — DASHBOARD PAGES</w:t>
      </w:r>
    </w:p>
    <w:p w14:paraId="00100278" w14:textId="00100279">
      <w:pPr>
        <w:pStyle w:val="Normal"/>
        <w:spacing w:after="160"/>
      </w:pPr>
      <w:r>
        <w:rPr>
          <w:sz w:val="22"/>
        </w:rPr>
        <w:t xml:space="preserve">The Streamlit dashboard (app.py) opens at http://localhost:8501 and is divided into four pages accessible from the left navigation sidebar. All charts are built with Plotly for interactive zooming, hovering, and filtering.</w:t>
      </w:r>
    </w:p>
    <w:p w14:paraId="0010027A" w14:textId="0010027B">
      <w:pPr>
        <w:pStyle w:val="Heading2"/>
        <w:spacing w:before="200" w:after="80"/>
      </w:pPr>
      <w:r>
        <w:rPr>
          <w:b/>
          <w:color w:val="1A3A5C"/>
          <w:sz w:val="26"/>
        </w:rPr>
        <w:t xml:space="preserve">Page 1  —  Overview Dashboard</w:t>
      </w:r>
    </w:p>
    <w:p w14:paraId="0010027C" w14:textId="0010027D">
      <w:pPr>
        <w:pStyle w:val="Normal"/>
        <w:spacing w:after="80"/>
      </w:pPr>
      <w:r>
        <w:rPr>
          <w:sz w:val="22"/>
        </w:rPr>
        <w:t xml:space="preserve">The landing page shows a full business overview at a glance:</w:t>
      </w:r>
    </w:p>
    <w:p w14:paraId="0010027E" w14:textId="0010027F">
      <w:pPr>
        <w:pStyle w:val="Normal"/>
        <w:spacing w:after="60"/>
      </w:pPr>
      <w:r>
        <w:rPr>
          <w:sz w:val="22"/>
        </w:rPr>
        <w:t xml:space="preserve">•  5 KPI Tiles:  Total Revenue  |  Total Profit  |  Total Orders  |  Avg Order Value  |  Profit Margin %</w:t>
      </w:r>
    </w:p>
    <w:p w14:paraId="00100280" w14:textId="00100281">
      <w:pPr>
        <w:pStyle w:val="Normal"/>
        <w:spacing w:after="60"/>
      </w:pPr>
      <w:r>
        <w:rPr>
          <w:sz w:val="22"/>
        </w:rPr>
        <w:t xml:space="preserve">•  Monthly Revenue Line Chart: 2022–2025, markers on every month, interactive hover</w:t>
      </w:r>
    </w:p>
    <w:p w14:paraId="00100282" w14:textId="00100283">
      <w:pPr>
        <w:pStyle w:val="Normal"/>
        <w:spacing w:after="60"/>
      </w:pPr>
      <w:r>
        <w:rPr>
          <w:sz w:val="22"/>
        </w:rPr>
        <w:t xml:space="preserve">•  Revenue by Channel: Plotly pie chart coloured by Set2 palette</w:t>
      </w:r>
    </w:p>
    <w:p w14:paraId="00100284" w14:textId="00100285">
      <w:pPr>
        <w:pStyle w:val="Normal"/>
        <w:spacing w:after="60"/>
      </w:pPr>
      <w:r>
        <w:rPr>
          <w:sz w:val="22"/>
        </w:rPr>
        <w:t xml:space="preserve">•  Revenue by Category: Pastel bar chart with annotated values</w:t>
      </w:r>
    </w:p>
    <w:p w14:paraId="00100286" w14:textId="00100287">
      <w:pPr>
        <w:pStyle w:val="Normal"/>
        <w:spacing w:after="160"/>
      </w:pPr>
      <w:r>
        <w:rPr>
          <w:sz w:val="22"/>
        </w:rPr>
        <w:t xml:space="preserve">•  Model Metrics Row: MAE, RMSE, R² tiles for both ML models</w:t>
      </w:r>
    </w:p>
    <w:p w14:paraId="00100288" w14:textId="00100289">
      <w:pPr>
        <w:pStyle w:val="Normal"/>
        <w:shd w:val="clear" w:fill="EBF5FB"/>
        <w:spacing w:before="80" w:after="240"/>
        <w:jc w:val="center"/>
      </w:pPr>
      <w:r>
        <w:rPr>
          <w:color w:val="1A3A5C"/>
          <w:sz w:val="18"/>
        </w:rPr>
        <w:t xml:space="preserve">[ UI — Page 1: KPI tiles at top, monthly revenue line chart below, channel pie + category bar in 2-column layout, model metrics row at bottom ]</w:t>
      </w:r>
    </w:p>
    <w:p w14:paraId="0010028A" w14:textId="0010028B">
      <w:pPr>
        <w:pStyle w:val="Heading2"/>
        <w:spacing w:before="200" w:after="80"/>
      </w:pPr>
      <w:r>
        <w:rPr>
          <w:b/>
          <w:color w:val="1A3A5C"/>
          <w:sz w:val="26"/>
        </w:rPr>
        <w:t xml:space="preserve">Page 2  —  Predict Sales</w:t>
      </w:r>
    </w:p>
    <w:p w14:paraId="0010028C" w14:textId="0010028D">
      <w:pPr>
        <w:pStyle w:val="Normal"/>
        <w:spacing w:after="80"/>
      </w:pPr>
      <w:r>
        <w:rPr>
          <w:sz w:val="22"/>
        </w:rPr>
        <w:t xml:space="preserve">An interactive order entry form with real-time ML predictions:</w:t>
      </w:r>
    </w:p>
    <w:p w14:paraId="0010028E" w14:textId="0010028F">
      <w:pPr>
        <w:pStyle w:val="Normal"/>
        <w:spacing w:after="60"/>
      </w:pPr>
      <w:r>
        <w:rPr>
          <w:sz w:val="22"/>
        </w:rPr>
        <w:t xml:space="preserve">•  Column 1:  Quantity (number input), Unit Price, Discount % (slider), Customer Age (slider)</w:t>
      </w:r>
    </w:p>
    <w:p w14:paraId="00100290" w14:textId="00100291">
      <w:pPr>
        <w:pStyle w:val="Normal"/>
        <w:spacing w:after="60"/>
      </w:pPr>
      <w:r>
        <w:rPr>
          <w:sz w:val="22"/>
        </w:rPr>
        <w:t xml:space="preserve">•  Column 2:  Sales Channel, Product Category + Subcategory, Customer Segment</w:t>
      </w:r>
    </w:p>
    <w:p w14:paraId="00100292" w14:textId="00100293">
      <w:pPr>
        <w:pStyle w:val="Normal"/>
        <w:spacing w:after="60"/>
      </w:pPr>
      <w:r>
        <w:rPr>
          <w:sz w:val="22"/>
        </w:rPr>
        <w:t xml:space="preserve">•  Column 3:  Gender, Payment Method, Shipping Method, Delivery Days</w:t>
      </w:r>
    </w:p>
    <w:p w14:paraId="00100294" w14:textId="00100295">
      <w:pPr>
        <w:pStyle w:val="Normal"/>
        <w:spacing w:after="60"/>
      </w:pPr>
      <w:r>
        <w:rPr>
          <w:sz w:val="22"/>
        </w:rPr>
        <w:t xml:space="preserve">•  Location row:  Country → Region → Order Month → Day of Week → Hour</w:t>
      </w:r>
    </w:p>
    <w:p w14:paraId="00100296" w14:textId="00100297">
      <w:pPr>
        <w:pStyle w:val="Normal"/>
        <w:spacing w:after="160"/>
      </w:pPr>
      <w:r>
        <w:rPr>
          <w:sz w:val="22"/>
        </w:rPr>
        <w:t xml:space="preserve">•  Results:  Predicted Sales Amount  |  Predicted Profit  |  Profit Margin %  +  animated gauge chart</w:t>
      </w:r>
    </w:p>
    <w:p w14:paraId="00100298" w14:textId="00100299">
      <w:pPr>
        <w:pStyle w:val="Normal"/>
        <w:shd w:val="clear" w:fill="EBF5FB"/>
        <w:spacing w:before="80" w:after="240"/>
        <w:jc w:val="center"/>
      </w:pPr>
      <w:r>
        <w:rPr>
          <w:color w:val="1A3A5C"/>
          <w:sz w:val="18"/>
        </w:rPr>
        <w:t xml:space="preserve">[ UI — Page 2: 3-column form at top, Location &amp; Timing row below, Predict button, result metrics with profit gauge ]</w:t>
      </w:r>
    </w:p>
    <w:p w14:paraId="0010029A" w14:textId="0010029B">
      <w:pPr>
        <w:pStyle w:val="Heading2"/>
        <w:spacing w:before="200" w:after="80"/>
      </w:pPr>
      <w:r>
        <w:rPr>
          <w:b/>
          <w:color w:val="1A3A5C"/>
          <w:sz w:val="26"/>
        </w:rPr>
        <w:t xml:space="preserve">Page 3  —  Product &amp; Region Analysis</w:t>
      </w:r>
    </w:p>
    <w:p w14:paraId="0010029C" w14:textId="0010029D">
      <w:pPr>
        <w:pStyle w:val="Normal"/>
        <w:spacing w:after="80"/>
      </w:pPr>
      <w:r>
        <w:rPr>
          <w:sz w:val="22"/>
        </w:rPr>
        <w:t xml:space="preserve">Deep-dive analytics on product performance and geographic distribution:</w:t>
      </w:r>
    </w:p>
    <w:p w14:paraId="0010029E" w14:textId="0010029F">
      <w:pPr>
        <w:pStyle w:val="Normal"/>
        <w:spacing w:after="60"/>
      </w:pPr>
      <w:r>
        <w:rPr>
          <w:sz w:val="22"/>
        </w:rPr>
        <w:t xml:space="preserve">•  Left: Horizontal bar chart — Top 15 Products by Revenue, Blue colour scale</w:t>
      </w:r>
    </w:p>
    <w:p w14:paraId="001002A0" w14:textId="001002A1">
      <w:pPr>
        <w:pStyle w:val="Normal"/>
        <w:spacing w:after="60"/>
      </w:pPr>
      <w:r>
        <w:rPr>
          <w:sz w:val="22"/>
        </w:rPr>
        <w:t xml:space="preserve">•  Right: Vertical bar chart — Revenue by Region, Purple colour scale</w:t>
      </w:r>
    </w:p>
    <w:p w14:paraId="001002A2" w14:textId="001002A3">
      <w:pPr>
        <w:pStyle w:val="Normal"/>
        <w:spacing w:after="160"/>
      </w:pPr>
      <w:r>
        <w:rPr>
          <w:sz w:val="22"/>
        </w:rPr>
        <w:t xml:space="preserve">•  Full-width: Monthly Order Volume bar chart (violet) showing demand seasonality</w:t>
      </w:r>
    </w:p>
    <w:p w14:paraId="001002A4" w14:textId="001002A5">
      <w:pPr>
        <w:pStyle w:val="Normal"/>
        <w:shd w:val="clear" w:fill="EBF5FB"/>
        <w:spacing w:before="80" w:after="240"/>
        <w:jc w:val="center"/>
      </w:pPr>
      <w:r>
        <w:rPr>
          <w:color w:val="1A3A5C"/>
          <w:sz w:val="18"/>
        </w:rPr>
        <w:t xml:space="preserve">[ UI — Page 3: Side-by-side product and regional bar charts, full-width monthly order volume below ]</w:t>
      </w:r>
    </w:p>
    <w:p w14:paraId="001002A6" w14:textId="001002A7">
      <w:pPr>
        <w:pStyle w:val="Heading2"/>
        <w:spacing w:before="200" w:after="80"/>
      </w:pPr>
      <w:r>
        <w:rPr>
          <w:b/>
          <w:color w:val="1A3A5C"/>
          <w:sz w:val="26"/>
        </w:rPr>
        <w:t xml:space="preserve">Page 4  —  Revenue Forecasting</w:t>
      </w:r>
    </w:p>
    <w:p w14:paraId="001002A8" w14:textId="001002A9">
      <w:pPr>
        <w:pStyle w:val="Normal"/>
        <w:spacing w:after="80"/>
      </w:pPr>
      <w:r>
        <w:rPr>
          <w:sz w:val="22"/>
        </w:rPr>
        <w:t xml:space="preserve">Multi-month linear trend forecast with user-configurable horizon:</w:t>
      </w:r>
    </w:p>
    <w:p w14:paraId="001002AA" w14:textId="001002AB">
      <w:pPr>
        <w:pStyle w:val="Normal"/>
        <w:spacing w:after="60"/>
      </w:pPr>
      <w:r>
        <w:rPr>
          <w:sz w:val="22"/>
        </w:rPr>
        <w:t xml:space="preserve">•  Slider: Choose 3 to 24 months ahead</w:t>
      </w:r>
    </w:p>
    <w:p w14:paraId="001002AC" w14:textId="001002AD">
      <w:pPr>
        <w:pStyle w:val="Normal"/>
        <w:spacing w:after="60"/>
      </w:pPr>
      <w:r>
        <w:rPr>
          <w:sz w:val="22"/>
        </w:rPr>
        <w:t xml:space="preserve">•  Line Chart: Historical (blue) + Forecast (orange) with dashed vertical cut-off line</w:t>
      </w:r>
    </w:p>
    <w:p w14:paraId="001002AE" w14:textId="001002AF">
      <w:pPr>
        <w:pStyle w:val="Normal"/>
        <w:spacing w:after="60"/>
      </w:pPr>
      <w:r>
        <w:rPr>
          <w:sz w:val="22"/>
        </w:rPr>
        <w:t xml:space="preserve">•  Summary tiles: Avg Forecast Revenue/Month  |  Total Forecast Revenue  |  Projected Growth %</w:t>
      </w:r>
    </w:p>
    <w:p w14:paraId="001002B0" w14:textId="001002B1">
      <w:pPr>
        <w:pStyle w:val="Normal"/>
        <w:spacing w:after="160"/>
      </w:pPr>
      <w:r>
        <w:rPr>
          <w:sz w:val="22"/>
        </w:rPr>
        <w:t xml:space="preserve">•  Expandable table: Raw monthly forecast values</w:t>
      </w:r>
    </w:p>
    <w:p w14:paraId="001002B2" w14:textId="001002B3">
      <w:pPr>
        <w:pStyle w:val="Normal"/>
        <w:shd w:val="clear" w:fill="EBF5FB"/>
        <w:spacing w:before="80" w:after="280"/>
        <w:jc w:val="center"/>
      </w:pPr>
      <w:r>
        <w:rPr>
          <w:color w:val="1A3A5C"/>
          <w:sz w:val="18"/>
        </w:rPr>
        <w:t xml:space="preserve">[ UI — Page 4: Forecast horizon slider, combined historical+forecast line chart, summary metric tiles, raw data table in expander ]</w:t>
      </w:r>
    </w:p>
    <w:p w14:paraId="001002B4" w14:textId="001002B5">
      <w:pPr>
        <w:pStyle w:val="Heading1"/>
        <w:shd w:val="clear" w:fill="1A3A5C"/>
        <w:spacing w:before="360" w:after="40"/>
      </w:pPr>
      <w:r>
        <w:rPr>
          <w:b/>
          <w:color w:val="FFFFFF"/>
          <w:sz w:val="32"/>
        </w:rPr>
        <w:t xml:space="preserve">06  REVENUE FORECASTING</w:t>
      </w:r>
    </w:p>
    <w:p w14:paraId="001002B6" w14:textId="001002B7">
      <w:pPr>
        <w:pStyle w:val="Normal"/>
        <w:spacing w:after="160"/>
      </w:pPr>
      <w:r>
        <w:rPr>
          <w:sz w:val="22"/>
        </w:rPr>
        <w:t xml:space="preserve">The forecasting module fits a Linear Regression model on a sequential integer index of monthly revenue totals. The fitted line extrapolates forward by the user-selected horizon (3–24 months). This captures the macro upward trend visible in the 2022–2025 data and provides directional guidance for budgeting.</w:t>
      </w:r>
    </w:p>
    <w:p w14:paraId="001002B8" w14:textId="001002B9">
      <w:pPr>
        <w:pStyle w:val="Normal"/>
        <w:spacing w:after="120"/>
      </w:pPr>
      <w:r>
        <w:rPr>
          <w:b/>
          <w:color w:val="1A3A5C"/>
          <w:sz w:val="24"/>
        </w:rPr>
        <w:t xml:space="preserve">Sample 12-Month Forecast Output</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2BA" w14:textId="001002BB">
            <w:r>
              <w:t xml:space="preserve">Forecast Month</w:t>
            </w:r>
          </w:p>
        </w:tc>
        <w:tc>
          <w:p w14:paraId="001002BC" w14:textId="001002BD">
            <w:r>
              <w:t xml:space="preserve">Projected Revenue</w:t>
            </w:r>
          </w:p>
        </w:tc>
        <w:tc>
          <w:p w14:paraId="001002BE" w14:textId="001002BF">
            <w:r>
              <w:t xml:space="preserve">Month-on-Month Growth</w:t>
            </w:r>
          </w:p>
        </w:tc>
        <w:tc>
          <w:p w14:paraId="001002C0" w14:textId="001002C1">
            <w:r>
              <w:t xml:space="preserve">Cumulative</w:t>
            </w:r>
          </w:p>
        </w:tc>
      </w:tr>
      <w:tr>
        <w:trPr/>
        <w:tc>
          <w:p w14:paraId="001002C2" w14:textId="001002C3">
            <w:r>
              <w:t xml:space="preserve">Month +1</w:t>
            </w:r>
          </w:p>
        </w:tc>
        <w:tc>
          <w:p w14:paraId="001002C4" w14:textId="001002C5">
            <w:r>
              <w:t xml:space="preserve">$485,000</w:t>
            </w:r>
          </w:p>
        </w:tc>
        <w:tc>
          <w:p w14:paraId="001002C6" w14:textId="001002C7">
            <w:r>
              <w:t xml:space="preserve">Baseline</w:t>
            </w:r>
          </w:p>
        </w:tc>
        <w:tc>
          <w:p w14:paraId="001002C8" w14:textId="001002C9">
            <w:r>
              <w:t xml:space="preserve">$485,000</w:t>
            </w:r>
          </w:p>
        </w:tc>
      </w:tr>
      <w:tr>
        <w:trPr/>
        <w:tc>
          <w:p w14:paraId="001002CA" w14:textId="001002CB">
            <w:r>
              <w:t xml:space="preserve">Month +3</w:t>
            </w:r>
          </w:p>
        </w:tc>
        <w:tc>
          <w:p w14:paraId="001002CC" w14:textId="001002CD">
            <w:r>
              <w:t xml:space="preserve">$492,100</w:t>
            </w:r>
          </w:p>
        </w:tc>
        <w:tc>
          <w:p w14:paraId="001002CE" w14:textId="001002CF">
            <w:r>
              <w:t xml:space="preserve">+1.5%</w:t>
            </w:r>
          </w:p>
        </w:tc>
        <w:tc>
          <w:p w14:paraId="001002D0" w14:textId="001002D1">
            <w:r>
              <w:t xml:space="preserve">$1,465,600</w:t>
            </w:r>
          </w:p>
        </w:tc>
      </w:tr>
      <w:tr>
        <w:trPr/>
        <w:tc>
          <w:p w14:paraId="001002D2" w14:textId="001002D3">
            <w:r>
              <w:t xml:space="preserve">Month +6</w:t>
            </w:r>
          </w:p>
        </w:tc>
        <w:tc>
          <w:p w14:paraId="001002D4" w14:textId="001002D5">
            <w:r>
              <w:t xml:space="preserve">$503,100</w:t>
            </w:r>
          </w:p>
        </w:tc>
        <w:tc>
          <w:p w14:paraId="001002D6" w14:textId="001002D7">
            <w:r>
              <w:t xml:space="preserve">$2,964,700</w:t>
            </w:r>
          </w:p>
        </w:tc>
        <w:tc>
          <w:p w14:paraId="001002D8" w14:textId="001002D9"/>
        </w:tc>
      </w:tr>
      <w:tr>
        <w:trPr/>
        <w:tc>
          <w:p w14:paraId="001002DA" w14:textId="001002DB">
            <w:r>
              <w:t xml:space="preserve">Month +9</w:t>
            </w:r>
          </w:p>
        </w:tc>
        <w:tc>
          <w:p w14:paraId="001002DC" w14:textId="001002DD">
            <w:r>
              <w:t xml:space="preserve">$514,600</w:t>
            </w:r>
          </w:p>
        </w:tc>
        <w:tc>
          <w:p w14:paraId="001002DE" w14:textId="001002DF">
            <w:r>
              <w:t xml:space="preserve">+0.8%</w:t>
            </w:r>
          </w:p>
        </w:tc>
        <w:tc>
          <w:p w14:paraId="001002E0" w14:textId="001002E1">
            <w:r>
              <w:t xml:space="preserve">$4,519,500</w:t>
            </w:r>
          </w:p>
        </w:tc>
      </w:tr>
      <w:tr>
        <w:trPr/>
        <w:tc>
          <w:p w14:paraId="001002E2" w14:textId="001002E3">
            <w:r>
              <w:t xml:space="preserve">Month +12</w:t>
            </w:r>
          </w:p>
        </w:tc>
        <w:tc>
          <w:p w14:paraId="001002E4" w14:textId="001002E5">
            <w:r>
              <w:t xml:space="preserve">$526,600</w:t>
            </w:r>
          </w:p>
        </w:tc>
        <w:tc>
          <w:p w14:paraId="001002E6" w14:textId="001002E7">
            <w:r>
              <w:t xml:space="preserve">+2.3%</w:t>
            </w:r>
          </w:p>
        </w:tc>
        <w:tc>
          <w:p w14:paraId="001002E8" w14:textId="001002E9">
            <w:r>
              <w:t xml:space="preserve">$6,136,000</w:t>
            </w:r>
          </w:p>
        </w:tc>
      </w:tr>
    </w:tbl>
    <w:p w14:paraId="001002EA" w14:textId="001002EB">
      <w:pPr>
        <w:pStyle w:val="Normal"/>
        <w:spacing w:after="120"/>
      </w:pPr>
      <w:r>
        <w:rPr>
          <w:sz w:val="12"/>
        </w:rPr>
        <w:t xml:space="preserve"/>
      </w:r>
    </w:p>
    <w:p w14:paraId="001002EC" w14:textId="001002ED">
      <w:r>
        <w:drawing>
          <wp:inline distT="0" distB="0" distL="0" distR="0">
            <wp:extent cx="5760000" cy="3240000"/>
            <wp:effectExtent l="0" t="0" r="0" b="0"/>
            <wp:docPr id="6" name="12-Month Revenue Forecast — Monthly Projected Revenue ($)"/>
            <wp:cNvGraphicFramePr/>
            <a:graphic>
              <a:graphicData uri="http://schemas.openxmlformats.org/drawingml/2006/chart">
                <c:chart r:id="R9860ba227f9e4722"/>
              </a:graphicData>
            </a:graphic>
          </wp:inline>
        </w:drawing>
      </w:r>
    </w:p>
    <w:p w14:paraId="001002EE" w14:textId="001002EF">
      <w:pPr>
        <w:pStyle w:val="Normal"/>
        <w:spacing w:before="40" w:after="280"/>
        <w:jc w:val="center"/>
      </w:pPr>
      <w:r>
        <w:rPr>
          <w:color w:val="888888"/>
          <w:sz w:val="18"/>
        </w:rPr>
        <w:t xml:space="preserve">Figure 6: 12-Month Revenue Forecast — Linear Trend Projection</w:t>
      </w:r>
    </w:p>
    <w:p w14:paraId="001002F0" w14:textId="001002F1">
      <w:pPr>
        <w:pStyle w:val="Heading1"/>
        <w:shd w:val="clear" w:fill="1A3A5C"/>
        <w:spacing w:before="360" w:after="40"/>
      </w:pPr>
      <w:r>
        <w:rPr>
          <w:b/>
          <w:color w:val="FFFFFF"/>
          <w:sz w:val="32"/>
        </w:rPr>
        <w:t xml:space="preserve">07  SYSTEM ARCHITECTURE</w:t>
      </w:r>
    </w:p>
    <w:p w14:paraId="001002F2" w14:textId="001002F3">
      <w:pPr>
        <w:pStyle w:val="Normal"/>
        <w:spacing w:after="160"/>
      </w:pPr>
      <w:r>
        <w:rPr>
          <w:sz w:val="22"/>
        </w:rPr>
        <w:t xml:space="preserve">The entire system is packaged as a single file (app.py). There is no separate server, API, or database. The Streamlit app calls Python functions directly, making deployment a single command.</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F4" w14:textId="001002F5">
            <w:r>
              <w:t xml:space="preserve">Layer</w:t>
            </w:r>
          </w:p>
        </w:tc>
        <w:tc>
          <w:p w14:paraId="001002F6" w14:textId="001002F7">
            <w:r>
              <w:t xml:space="preserve">Technology</w:t>
            </w:r>
          </w:p>
        </w:tc>
        <w:tc>
          <w:p w14:paraId="001002F8" w14:textId="001002F9">
            <w:r>
              <w:t xml:space="preserve">Responsibility</w:t>
            </w:r>
          </w:p>
        </w:tc>
      </w:tr>
      <w:tr>
        <w:trPr/>
        <w:tc>
          <w:p w14:paraId="001002FA" w14:textId="001002FB">
            <w:r>
              <w:t xml:space="preserve">UI / Frontend</w:t>
            </w:r>
          </w:p>
        </w:tc>
        <w:tc>
          <w:p w14:paraId="001002FC" w14:textId="001002FD">
            <w:r>
              <w:t xml:space="preserve">Streamlit + Plotly</w:t>
            </w:r>
          </w:p>
        </w:tc>
        <w:tc>
          <w:p w14:paraId="001002FE" w14:textId="001002FF">
            <w:r>
              <w:t xml:space="preserve">4-page interactive dashboard, charts, forms</w:t>
            </w:r>
          </w:p>
        </w:tc>
      </w:tr>
      <w:tr>
        <w:trPr/>
        <w:tc>
          <w:p w14:paraId="00100300" w14:textId="00100301">
            <w:r>
              <w:t xml:space="preserve">ML / Inference</w:t>
            </w:r>
          </w:p>
        </w:tc>
        <w:tc>
          <w:p w14:paraId="00100302" w14:textId="00100303">
            <w:r>
              <w:t xml:space="preserve">scikit-learn (GBR + RF)</w:t>
            </w:r>
          </w:p>
        </w:tc>
        <w:tc>
          <w:p w14:paraId="00100304" w14:textId="00100305">
            <w:r>
              <w:t xml:space="preserve">Sales Amount &amp; Profit prediction pipelines</w:t>
            </w:r>
          </w:p>
        </w:tc>
      </w:tr>
      <w:tr>
        <w:trPr/>
        <w:tc>
          <w:p w14:paraId="00100306" w14:textId="00100307">
            <w:r>
              <w:t xml:space="preserve">Data Layer</w:t>
            </w:r>
          </w:p>
        </w:tc>
        <w:tc>
          <w:p w14:paraId="00100308" w14:textId="00100309">
            <w:r>
              <w:t xml:space="preserve">pandas + numpy</w:t>
            </w:r>
          </w:p>
        </w:tc>
        <w:tc>
          <w:p w14:paraId="0010030A" w14:textId="0010030B">
            <w:r>
              <w:t xml:space="preserve">Cleaning, encoding, feature engineering</w:t>
            </w:r>
          </w:p>
        </w:tc>
      </w:tr>
      <w:tr>
        <w:trPr/>
        <w:tc>
          <w:p w14:paraId="0010030C" w14:textId="0010030D">
            <w:r>
              <w:t xml:space="preserve">Model Persistence</w:t>
            </w:r>
          </w:p>
        </w:tc>
        <w:tc>
          <w:p w14:paraId="0010030E" w14:textId="0010030F">
            <w:r>
              <w:t xml:space="preserve">pickle + json</w:t>
            </w:r>
          </w:p>
        </w:tc>
        <w:tc>
          <w:p w14:paraId="00100310" w14:textId="00100311">
            <w:r>
              <w:t xml:space="preserve">Saved to models/ directory, cached on load</w:t>
            </w:r>
          </w:p>
        </w:tc>
      </w:tr>
      <w:tr>
        <w:trPr/>
        <w:tc>
          <w:p w14:paraId="00100312" w14:textId="00100313">
            <w:r>
              <w:t xml:space="preserve">Forecasting</w:t>
            </w:r>
          </w:p>
        </w:tc>
        <w:tc>
          <w:p w14:paraId="00100314" w14:textId="00100315">
            <w:r>
              <w:t xml:space="preserve">scikit-learn LinearRegression</w:t>
            </w:r>
          </w:p>
        </w:tc>
        <w:tc>
          <w:p w14:paraId="00100316" w14:textId="00100317">
            <w:r>
              <w:t xml:space="preserve">Monthly trend extrapolation (3–24 months)</w:t>
            </w:r>
          </w:p>
        </w:tc>
      </w:tr>
    </w:tbl>
    <w:p w14:paraId="00100318" w14:textId="00100319">
      <w:pPr>
        <w:pStyle w:val="Normal"/>
        <w:spacing w:after="160"/>
      </w:pPr>
      <w:r>
        <w:rPr>
          <w:sz w:val="12"/>
        </w:rPr>
        <w:t xml:space="preserve"/>
      </w:r>
    </w:p>
    <w:p w14:paraId="0010031A" w14:textId="0010031B">
      <w:pPr>
        <w:pStyle w:val="Normal"/>
        <w:spacing w:before="200" w:after="120"/>
      </w:pPr>
      <w:r>
        <w:rPr>
          <w:b/>
          <w:color w:val="1A3A5C"/>
          <w:sz w:val="24"/>
        </w:rPr>
        <w:t xml:space="preserve">Project File Structure</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31C" w14:textId="0010031D">
            <w:r>
              <w:t xml:space="preserve">Path</w:t>
            </w:r>
          </w:p>
        </w:tc>
        <w:tc>
          <w:p w14:paraId="0010031E" w14:textId="0010031F">
            <w:r>
              <w:t xml:space="preserve">Contents</w:t>
            </w:r>
          </w:p>
        </w:tc>
        <w:tc>
          <w:p w14:paraId="00100320" w14:textId="00100321">
            <w:r>
              <w:t xml:space="preserve">Notes</w:t>
            </w:r>
          </w:p>
        </w:tc>
      </w:tr>
      <w:tr>
        <w:trPr/>
        <w:tc>
          <w:p w14:paraId="00100322" w14:textId="00100323">
            <w:r>
              <w:t xml:space="preserve">app.py</w:t>
            </w:r>
          </w:p>
        </w:tc>
        <w:tc>
          <w:p w14:paraId="00100324" w14:textId="00100325">
            <w:r>
              <w:t xml:space="preserve">All code: preprocessing + training + UI</w:t>
            </w:r>
          </w:p>
        </w:tc>
        <w:tc>
          <w:p w14:paraId="00100326" w14:textId="00100327">
            <w:r>
              <w:t xml:space="preserve">Single entry point</w:t>
            </w:r>
          </w:p>
        </w:tc>
      </w:tr>
      <w:tr>
        <w:trPr/>
        <w:tc>
          <w:p w14:paraId="00100328" w14:textId="00100329">
            <w:r>
              <w:t xml:space="preserve">data/Sales_transactions_2022_2025.csv</w:t>
            </w:r>
          </w:p>
        </w:tc>
        <w:tc>
          <w:p w14:paraId="0010032A" w14:textId="0010032B">
            <w:r>
              <w:t xml:space="preserve">18,045 raw transactions</w:t>
            </w:r>
          </w:p>
        </w:tc>
        <w:tc>
          <w:p w14:paraId="0010032C" w14:textId="0010032D">
            <w:r>
              <w:t xml:space="preserve">Source of truth</w:t>
            </w:r>
          </w:p>
        </w:tc>
      </w:tr>
      <w:tr>
        <w:trPr/>
        <w:tc>
          <w:p w14:paraId="0010032E" w14:textId="0010032F">
            <w:r>
              <w:t xml:space="preserve">models/sales_model.pkl</w:t>
            </w:r>
          </w:p>
        </w:tc>
        <w:tc>
          <w:p w14:paraId="00100330" w14:textId="00100331">
            <w:r>
              <w:t xml:space="preserve">Trained GBR pipeline</w:t>
            </w:r>
          </w:p>
        </w:tc>
        <w:tc>
          <w:p w14:paraId="00100332" w14:textId="00100333">
            <w:r>
              <w:t xml:space="preserve">Auto-created on first train</w:t>
            </w:r>
          </w:p>
        </w:tc>
      </w:tr>
      <w:tr>
        <w:trPr/>
        <w:tc>
          <w:p w14:paraId="00100334" w14:textId="00100335">
            <w:r>
              <w:t xml:space="preserve">models/profit_model.pkl</w:t>
            </w:r>
          </w:p>
        </w:tc>
        <w:tc>
          <w:p w14:paraId="00100336" w14:textId="00100337">
            <w:r>
              <w:t xml:space="preserve">Trained RF pipeline</w:t>
            </w:r>
          </w:p>
        </w:tc>
        <w:tc>
          <w:p w14:paraId="00100338" w14:textId="00100339">
            <w:r>
              <w:t xml:space="preserve">Auto-created on first train</w:t>
            </w:r>
          </w:p>
        </w:tc>
      </w:tr>
      <w:tr>
        <w:trPr/>
        <w:tc>
          <w:p w14:paraId="0010033A" w14:textId="0010033B">
            <w:r>
              <w:t xml:space="preserve">models/feature_names.json</w:t>
            </w:r>
          </w:p>
        </w:tc>
        <w:tc>
          <w:p w14:paraId="0010033C" w14:textId="0010033D">
            <w:r>
              <w:t xml:space="preserve">Feature column order</w:t>
            </w:r>
          </w:p>
        </w:tc>
        <w:tc>
          <w:p w14:paraId="0010033E" w14:textId="0010033F">
            <w:r>
              <w:t xml:space="preserve">Required for inference alignment</w:t>
            </w:r>
          </w:p>
        </w:tc>
      </w:tr>
      <w:tr>
        <w:trPr/>
        <w:tc>
          <w:p w14:paraId="00100340" w14:textId="00100341">
            <w:r>
              <w:t xml:space="preserve">requirements.txt</w:t>
            </w:r>
          </w:p>
        </w:tc>
        <w:tc>
          <w:p w14:paraId="00100342" w14:textId="00100343">
            <w:r>
              <w:t xml:space="preserve">All Python dependencies</w:t>
            </w:r>
          </w:p>
        </w:tc>
        <w:tc>
          <w:p w14:paraId="00100344" w14:textId="00100345">
            <w:r>
              <w:t xml:space="preserve">pip install -r requirements.txt</w:t>
            </w:r>
          </w:p>
        </w:tc>
      </w:tr>
    </w:tbl>
    <w:p w14:paraId="00100346" w14:textId="00100347">
      <w:pPr>
        <w:pStyle w:val="Normal"/>
        <w:spacing w:after="160"/>
      </w:pPr>
      <w:r>
        <w:rPr>
          <w:sz w:val="12"/>
        </w:rPr>
        <w:t xml:space="preserve"/>
      </w:r>
    </w:p>
    <w:p w14:paraId="00100348" w14:textId="00100349">
      <w:pPr>
        <w:pStyle w:val="Normal"/>
        <w:spacing w:before="200" w:after="120"/>
      </w:pPr>
      <w:r>
        <w:rPr>
          <w:b/>
          <w:color w:val="1A3A5C"/>
          <w:sz w:val="24"/>
        </w:rPr>
        <w:t xml:space="preserve">Quick Start Commands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34A" w14:textId="0010034B">
            <w:r>
              <w:t xml:space="preserve">Step</w:t>
            </w:r>
          </w:p>
        </w:tc>
        <w:tc>
          <w:p w14:paraId="0010034C" w14:textId="0010034D">
            <w:r>
              <w:t xml:space="preserve">Command</w:t>
            </w:r>
          </w:p>
        </w:tc>
        <w:tc>
          <w:p w14:paraId="0010034E" w14:textId="0010034F">
            <w:r>
              <w:t xml:space="preserve">Purpose</w:t>
            </w:r>
          </w:p>
        </w:tc>
      </w:tr>
      <w:tr>
        <w:trPr/>
        <w:tc>
          <w:p w14:paraId="00100350" w14:textId="00100351">
            <w:r>
              <w:t xml:space="preserve">1. Install</w:t>
            </w:r>
          </w:p>
        </w:tc>
        <w:tc>
          <w:p w14:paraId="00100352" w14:textId="00100353">
            <w:r>
              <w:t xml:space="preserve">pip install -r requirements.txt</w:t>
            </w:r>
          </w:p>
        </w:tc>
        <w:tc>
          <w:p w14:paraId="00100354" w14:textId="00100355">
            <w:r>
              <w:t xml:space="preserve">Install all dependencies</w:t>
            </w:r>
          </w:p>
        </w:tc>
      </w:tr>
      <w:tr>
        <w:trPr/>
        <w:tc>
          <w:p w14:paraId="00100356" w14:textId="00100357">
            <w:r>
              <w:t xml:space="preserve">2. Train (optional)</w:t>
            </w:r>
          </w:p>
        </w:tc>
        <w:tc>
          <w:p w14:paraId="00100358" w14:textId="00100359">
            <w:r>
              <w:t xml:space="preserve">python app.py train</w:t>
            </w:r>
          </w:p>
        </w:tc>
        <w:tc>
          <w:p w14:paraId="0010035A" w14:textId="0010035B">
            <w:r>
              <w:t xml:space="preserve">Pre-train models from CLI</w:t>
            </w:r>
          </w:p>
        </w:tc>
      </w:tr>
      <w:tr>
        <w:trPr/>
        <w:tc>
          <w:p w14:paraId="0010035C" w14:textId="0010035D">
            <w:r>
              <w:t xml:space="preserve">3. Launch</w:t>
            </w:r>
          </w:p>
        </w:tc>
        <w:tc>
          <w:p w14:paraId="0010035E" w14:textId="0010035F">
            <w:r>
              <w:t xml:space="preserve">streamlit run app.py</w:t>
            </w:r>
          </w:p>
        </w:tc>
        <w:tc>
          <w:p w14:paraId="00100360" w14:textId="00100361">
            <w:r>
              <w:t xml:space="preserve">Opens at http://localhost:8501</w:t>
            </w:r>
          </w:p>
        </w:tc>
      </w:tr>
    </w:tbl>
    <w:p w14:paraId="00100362" w14:textId="00100363">
      <w:pPr>
        <w:pStyle w:val="Normal"/>
        <w:spacing w:after="160"/>
      </w:pPr>
      <w:r>
        <w:rPr>
          <w:sz w:val="12"/>
        </w:rPr>
        <w:t xml:space="preserve"/>
      </w:r>
    </w:p>
    <w:p w14:paraId="00100364" w14:textId="00100365">
      <w:pPr>
        <w:pStyle w:val="Heading1"/>
        <w:shd w:val="clear" w:fill="1A3A5C"/>
        <w:spacing w:before="360" w:after="40"/>
      </w:pPr>
      <w:r>
        <w:rPr>
          <w:b/>
          <w:color w:val="FFFFFF"/>
          <w:sz w:val="32"/>
        </w:rPr>
        <w:t xml:space="preserve">08  CONCLUSION &amp; FUTURE WORK</w:t>
      </w:r>
    </w:p>
    <w:p w14:paraId="00100366" w14:textId="00100367">
      <w:pPr>
        <w:pStyle w:val="Normal"/>
        <w:spacing w:after="160"/>
      </w:pPr>
      <w:r>
        <w:rPr>
          <w:sz w:val="22"/>
        </w:rPr>
        <w:t xml:space="preserve">This project successfully delivers a production-ready sales prediction system that combines robust machine learning with an intuitive, visually rich dashboard. Starting from a single CSV file, the system automatically handles data cleaning, feature engineering, model training, and live inference — all accessible through a polished four-page Streamlit UI.</w:t>
      </w:r>
    </w:p>
    <w:p w14:paraId="00100368" w14:textId="00100369">
      <w:pPr>
        <w:pStyle w:val="Normal"/>
        <w:spacing w:after="120"/>
      </w:pPr>
      <w:r>
        <w:rPr>
          <w:b/>
          <w:color w:val="1A3A5C"/>
          <w:sz w:val="24"/>
        </w:rPr>
        <w:t xml:space="preserve">Key Achievements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36A" w14:textId="0010036B">
            <w:r>
              <w:t xml:space="preserve">Achievement</w:t>
            </w:r>
          </w:p>
        </w:tc>
        <w:tc>
          <w:p w14:paraId="0010036C" w14:textId="0010036D">
            <w:r>
              <w:t xml:space="preserve">Detail</w:t>
            </w:r>
          </w:p>
        </w:tc>
      </w:tr>
      <w:tr>
        <w:trPr/>
        <w:tc>
          <w:p w14:paraId="0010036E" w14:textId="0010036F">
            <w:r>
              <w:t xml:space="preserve">R² &gt; 0.99 on both models</w:t>
            </w:r>
          </w:p>
        </w:tc>
        <w:tc>
          <w:p w14:paraId="00100370" w14:textId="00100371">
            <w:r>
              <w:t xml:space="preserve">Gradient Boosting (Sales) and Random Forest (Profit) both exceed 0.998 on held-out test data</w:t>
            </w:r>
          </w:p>
        </w:tc>
      </w:tr>
      <w:tr>
        <w:trPr/>
        <w:tc>
          <w:p w14:paraId="00100372" w14:textId="00100373">
            <w:r>
              <w:t xml:space="preserve">Single-file deployment</w:t>
            </w:r>
          </w:p>
        </w:tc>
        <w:tc>
          <w:p w14:paraId="00100374" w14:textId="00100375">
            <w:r>
              <w:t xml:space="preserve">app.py contains all logic — no microservices, no Docker, no cloud required</w:t>
            </w:r>
          </w:p>
        </w:tc>
      </w:tr>
      <w:tr>
        <w:trPr/>
        <w:tc>
          <w:p w14:paraId="00100376" w14:textId="00100377">
            <w:r>
              <w:t xml:space="preserve">4-page Streamlit dashboard</w:t>
            </w:r>
          </w:p>
        </w:tc>
        <w:tc>
          <w:p w14:paraId="00100378" w14:textId="00100379">
            <w:r>
              <w:t xml:space="preserve">Overview, Predict, Product/Region, and Forecast pages all driven by direct Python calls</w:t>
            </w:r>
          </w:p>
        </w:tc>
      </w:tr>
      <w:tr>
        <w:trPr/>
        <w:tc>
          <w:p w14:paraId="0010037A" w14:textId="0010037B">
            <w:r>
              <w:t xml:space="preserve">In-app model training</w:t>
            </w:r>
          </w:p>
        </w:tc>
        <w:tc>
          <w:p w14:paraId="0010037C" w14:textId="0010037D">
            <w:r>
              <w:t xml:space="preserve">One-click train button in sidebar — models saved and cached automatically</w:t>
            </w:r>
          </w:p>
        </w:tc>
      </w:tr>
      <w:tr>
        <w:trPr/>
        <w:tc>
          <w:p w14:paraId="0010037E" w14:textId="0010037F">
            <w:r>
              <w:t xml:space="preserve">6 embedded bar charts</w:t>
            </w:r>
          </w:p>
        </w:tc>
        <w:tc>
          <w:p w14:paraId="00100380" w14:textId="00100381">
            <w:r>
              <w:t xml:space="preserve">Figures 1–6 covering category, channel, region, products, model metrics, and forecast</w:t>
            </w:r>
          </w:p>
        </w:tc>
      </w:tr>
    </w:tbl>
    <w:p w14:paraId="00100382" w14:textId="00100383">
      <w:pPr>
        <w:pStyle w:val="Normal"/>
        <w:spacing w:after="160"/>
      </w:pPr>
      <w:r>
        <w:rPr>
          <w:sz w:val="12"/>
        </w:rPr>
        <w:t xml:space="preserve"/>
      </w:r>
    </w:p>
    <w:p w14:paraId="00100384" w14:textId="00100385">
      <w:pPr>
        <w:pStyle w:val="Normal"/>
        <w:spacing w:before="200" w:after="120"/>
      </w:pPr>
      <w:r>
        <w:rPr>
          <w:b/>
          <w:color w:val="1A3A5C"/>
          <w:sz w:val="24"/>
        </w:rPr>
        <w:t xml:space="preserve">Recommended Future Enhancements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386" w14:textId="00100387">
            <w:r>
              <w:t xml:space="preserve">Enhancement</w:t>
            </w:r>
          </w:p>
        </w:tc>
        <w:tc>
          <w:p w14:paraId="00100388" w14:textId="00100389">
            <w:r>
              <w:t xml:space="preserve">Technology</w:t>
            </w:r>
          </w:p>
        </w:tc>
        <w:tc>
          <w:p w14:paraId="0010038A" w14:textId="0010038B">
            <w:r>
              <w:t xml:space="preserve">Benefit</w:t>
            </w:r>
          </w:p>
        </w:tc>
      </w:tr>
      <w:tr>
        <w:trPr/>
        <w:tc>
          <w:p w14:paraId="0010038C" w14:textId="0010038D">
            <w:r>
              <w:t xml:space="preserve">Time-series forecasting</w:t>
            </w:r>
          </w:p>
        </w:tc>
        <w:tc>
          <w:p w14:paraId="0010038E" w14:textId="0010038F">
            <w:r>
              <w:t xml:space="preserve">Facebook Prophet / ARIMA</w:t>
            </w:r>
          </w:p>
        </w:tc>
        <w:tc>
          <w:p w14:paraId="00100390" w14:textId="00100391">
            <w:r>
              <w:t xml:space="preserve">Captures seasonality and holiday effects</w:t>
            </w:r>
          </w:p>
        </w:tc>
      </w:tr>
      <w:tr>
        <w:trPr/>
        <w:tc>
          <w:p w14:paraId="00100392" w14:textId="00100393">
            <w:r>
              <w:t xml:space="preserve">Explainability (XAI)</w:t>
            </w:r>
          </w:p>
        </w:tc>
        <w:tc>
          <w:p w14:paraId="00100394" w14:textId="00100395">
            <w:r>
              <w:t xml:space="preserve">SHAP values</w:t>
            </w:r>
          </w:p>
        </w:tc>
        <w:tc>
          <w:p w14:paraId="00100396" w14:textId="00100397">
            <w:r>
              <w:t xml:space="preserve">Shows which features drive each prediction</w:t>
            </w:r>
          </w:p>
        </w:tc>
      </w:tr>
      <w:tr>
        <w:trPr/>
        <w:tc>
          <w:p w14:paraId="00100398" w14:textId="00100399">
            <w:r>
              <w:t xml:space="preserve">Hyperparameter tuning</w:t>
            </w:r>
          </w:p>
        </w:tc>
        <w:tc>
          <w:p w14:paraId="0010039A" w14:textId="0010039B">
            <w:r>
              <w:t xml:space="preserve">Optuna / GridSearchCV</w:t>
            </w:r>
          </w:p>
        </w:tc>
        <w:tc>
          <w:p w14:paraId="0010039C" w14:textId="0010039D">
            <w:r>
              <w:t xml:space="preserve">Further improve R² and reduce RMSE</w:t>
            </w:r>
          </w:p>
        </w:tc>
      </w:tr>
      <w:tr>
        <w:trPr/>
        <w:tc>
          <w:p w14:paraId="0010039E" w14:textId="0010039F">
            <w:r>
              <w:t xml:space="preserve">Customer churn module</w:t>
            </w:r>
          </w:p>
        </w:tc>
        <w:tc>
          <w:p w14:paraId="001003A0" w14:textId="001003A1">
            <w:r>
              <w:t xml:space="preserve">XGBoost Classifier</w:t>
            </w:r>
          </w:p>
        </w:tc>
        <w:tc>
          <w:p w14:paraId="001003A2" w14:textId="001003A3">
            <w:r>
              <w:t xml:space="preserve">Predict which customers are at risk of churning</w:t>
            </w:r>
          </w:p>
        </w:tc>
      </w:tr>
      <w:tr>
        <w:trPr/>
        <w:tc>
          <w:p w14:paraId="001003A4" w14:textId="001003A5">
            <w:r>
              <w:t xml:space="preserve">Cloud deployment</w:t>
            </w:r>
          </w:p>
        </w:tc>
        <w:tc>
          <w:p w14:paraId="001003A6" w14:textId="001003A7">
            <w:r>
              <w:t xml:space="preserve">Streamlit Cloud / Docker</w:t>
            </w:r>
          </w:p>
        </w:tc>
        <w:tc>
          <w:p w14:paraId="001003A8" w14:textId="001003A9">
            <w:r>
              <w:t xml:space="preserve">Shareable URL, persistent models, multi-user access</w:t>
            </w:r>
          </w:p>
        </w:tc>
      </w:tr>
    </w:tbl>
    <w:p w14:paraId="001003AA" w14:textId="001003AB">
      <w:pPr>
        <w:pStyle w:val="Normal"/>
        <w:spacing w:after="400"/>
      </w:pPr>
      <w:r>
        <w:rPr>
          <w:sz w:val="12"/>
        </w:rPr>
        <w:t xml:space="preserve"/>
      </w:r>
    </w:p>
    <w:p w14:paraId="001003AC" w14:textId="001003AD">
      <w:pPr>
        <w:pStyle w:val="Normal"/>
        <w:spacing w:before="200" w:after="80"/>
        <w:jc w:val="center"/>
      </w:pPr>
      <w:r>
        <w:rPr>
          <w:color w:val="CCCCCC"/>
          <w:sz w:val="20"/>
        </w:rPr>
        <w:t xml:space="preserve">━━━━━━━━━━━━━━━━━━━━━━━━━━━━━━━━━━━━━━━━</w:t>
      </w:r>
    </w:p>
    <w:p w14:paraId="001003AE" w14:textId="001003AF">
      <w:pPr>
        <w:pStyle w:val="Normal"/>
        <w:spacing w:after="40"/>
        <w:jc w:val="center"/>
      </w:pPr>
      <w:r>
        <w:rPr>
          <w:b/>
          <w:color w:val="1A3A5C"/>
          <w:sz w:val="18"/>
        </w:rPr>
        <w:t xml:space="preserve">SALES PREDICTION SYSTEM  ·  PROJECT REPORT  ·  2022–2025 DATASET</w:t>
      </w:r>
    </w:p>
    <w:p w14:paraId="001003B0" w14:textId="001003B1">
      <w:pPr>
        <w:pStyle w:val="Normal"/>
        <w:spacing w:after="80"/>
        <w:jc w:val="center"/>
      </w:pPr>
      <w:r>
        <w:rPr>
          <w:color w:val="888888"/>
          <w:sz w:val="18"/>
        </w:rPr>
        <w:t xml:space="preserve">Built with Python · Streamlit · scikit-learn · pandas · Plotly</w:t>
      </w:r>
    </w:p>
    <w:p w14:paraId="001003B2" w14:textId="001003B3">
      <w:pPr>
        <w:pStyle w:val="Normal"/>
        <w:spacing w:before="0" w:after="80"/>
        <w:jc w:val="center"/>
      </w:pPr>
      <w:r>
        <w:rPr>
          <w:color w:val="CCCCCC"/>
          <w:sz w:val="20"/>
        </w:rPr>
        <w:t xml:space="preserve">━━━━━━━━━━━━━━━━━━━━━━━━━━━━━━━━━━━━━━━━</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013256dd90a84cd0" /><Relationship Type="http://schemas.openxmlformats.org/officeDocument/2006/relationships/styles" Target="/word/styles.xml" Id="R35a53d801ea04f5d" /><Relationship Type="http://schemas.openxmlformats.org/officeDocument/2006/relationships/theme" Target="/word/theme/theme1.xml" Id="Ra19eb78db52d4fa4" /><Relationship Type="http://schemas.openxmlformats.org/officeDocument/2006/relationships/numbering" Target="/word/numbering.xml" Id="R7fa8cea783e44cc3" /><Relationship Type="http://schemas.openxmlformats.org/officeDocument/2006/relationships/chart" Target="/word/charts/chart1.xml" Id="Ra897d3030a734e85" /><Relationship Type="http://schemas.openxmlformats.org/officeDocument/2006/relationships/chart" Target="/word/charts/chart2.xml" Id="Rc5d1970d508a4102" /><Relationship Type="http://schemas.openxmlformats.org/officeDocument/2006/relationships/chart" Target="/word/charts/chart3.xml" Id="Rf0e5a396a2f34b12" /><Relationship Type="http://schemas.openxmlformats.org/officeDocument/2006/relationships/chart" Target="/word/charts/chart4.xml" Id="R2924537a12414230" /><Relationship Type="http://schemas.openxmlformats.org/officeDocument/2006/relationships/chart" Target="/word/charts/chart5.xml" Id="R4a74efef7a894d59" /><Relationship Type="http://schemas.openxmlformats.org/officeDocument/2006/relationships/chart" Target="/word/charts/chart6.xml" Id="R9860ba227f9e4722" /></Relationships>
</file>

<file path=word/charts/chart1.xml><?xml version="1.0" encoding="utf-8"?>
<c:chartSpace xmlns:c="http://schemas.openxmlformats.org/drawingml/2006/chart">
  <c:date1904 val="0"/>
  <c:chart>
    <c:title>
      <c:tx>
        <c:rich>
          <a:bodyPr xmlns:a="http://schemas.openxmlformats.org/drawingml/2006/main"/>
          <a:lstStyle xmlns:a="http://schemas.openxmlformats.org/drawingml/2006/main"/>
          <a:p xmlns:a="http://schemas.openxmlformats.org/drawingml/2006/main">
            <a:pPr>
              <a:defRPr sz="1400" b="1"/>
            </a:pPr>
            <a:r>
              <a:rPr lang="en-US" sz="1400" b="1"/>
              <a:t>Revenue Share by Product Category (%)</a:t>
            </a:r>
          </a:p>
        </c:rich>
      </c:tx>
      <c:overlay val="0"/>
    </c:title>
    <c:plotArea>
      <c:layout/>
      <c:barChart>
        <c:barDir val="col"/>
        <c:grouping val="clustered"/>
        <c:varyColors val="0"/>
        <c:ser>
          <c:idx val="0"/>
          <c:order val="0"/>
          <c:tx>
            <c:v>Revenue %</c:v>
          </c:tx>
          <c:spPr>
            <a:solidFill xmlns:a="http://schemas.openxmlformats.org/drawingml/2006/main">
              <a:srgbClr val="1E6BB8"/>
            </a:solidFill>
          </c:spPr>
          <c:invertIfNegative val="0"/>
          <c:cat>
            <c:strLit>
              <c:ptCount val="4"/>
              <c:pt idx="0">
                <c:v>Electronics</c:v>
              </c:pt>
              <c:pt idx="1">
                <c:v>Furniture</c:v>
              </c:pt>
              <c:pt idx="2">
                <c:v>Appliances</c:v>
              </c:pt>
              <c:pt idx="3">
                <c:v>Office Supplies</c:v>
              </c:pt>
            </c:strLit>
          </c:cat>
          <c:val>
            <c:numLit>
              <c:formatCode>General</c:formatCode>
              <c:ptCount val="4"/>
              <c:pt idx="0">
                <c:v>60</c:v>
              </c:pt>
              <c:pt idx="1">
                <c:v>22</c:v>
              </c:pt>
              <c:pt idx="2">
                <c:v>11</c:v>
              </c:pt>
              <c:pt idx="3">
                <c:v>7</c:v>
              </c:pt>
            </c:numLit>
          </c:val>
        </c:ser>
        <c:dLbls>
          <c:showLegendKey val="0"/>
          <c:showVal val="1"/>
          <c:showCatName val="0"/>
          <c:showSerName val="0"/>
          <c:showPercent val="0"/>
        </c:dLbls>
        <c:gapWidth val="150"/>
        <c:axId val="1"/>
        <c:axId val="2"/>
      </c:barChart>
      <c:catAx>
        <c:axId val="1"/>
        <c:scaling>
          <c:orientation val="minMax"/>
        </c:scaling>
        <c:delete val="0"/>
        <c:axPos val="b"/>
        <c:majorTickMark val="out"/>
        <c:minorTickMark val="none"/>
        <c:tickLblPos val="nextTo"/>
        <c:crossAx val="2"/>
        <c:crosses val="autoZero"/>
        <c:auto val="1"/>
        <c:lblAlgn val="ctr"/>
        <c:lblOffset val="100"/>
      </c:catAx>
      <c:valAx>
        <c:axId val="2"/>
        <c:scaling>
          <c:orientation val="minMax"/>
        </c:scaling>
        <c:delete val="0"/>
        <c:axPos val="l"/>
        <c:majorGridlines/>
        <c:numFmt formatCode="General" sourceLinked="1"/>
        <c:majorTickMark val="out"/>
        <c:minorTickMark val="none"/>
        <c:tickLblPos val="nextTo"/>
        <c:crossAx val="1"/>
        <c:crosses val="autoZero"/>
        <c:crossBetween val="between"/>
      </c:valAx>
    </c:plotArea>
    <c:legend>
      <c:legendPos val="b"/>
      <c:overlay val="0"/>
    </c:legend>
    <c:plotVisOnly val="1"/>
    <c:dispBlanksAs val="gap"/>
  </c:chart>
</c:chartSpace>
</file>

<file path=word/charts/chart2.xml><?xml version="1.0" encoding="utf-8"?>
<c:chartSpace xmlns:c="http://schemas.openxmlformats.org/drawingml/2006/chart">
  <c:date1904 val="0"/>
  <c:chart>
    <c:title>
      <c:tx>
        <c:rich>
          <a:bodyPr xmlns:a="http://schemas.openxmlformats.org/drawingml/2006/main"/>
          <a:lstStyle xmlns:a="http://schemas.openxmlformats.org/drawingml/2006/main"/>
          <a:p xmlns:a="http://schemas.openxmlformats.org/drawingml/2006/main">
            <a:pPr>
              <a:defRPr sz="1400" b="1"/>
            </a:pPr>
            <a:r>
              <a:rPr lang="en-US" sz="1400" b="1"/>
              <a:t>Revenue Share by Sales Channel (%)</a:t>
            </a:r>
          </a:p>
        </c:rich>
      </c:tx>
      <c:overlay val="0"/>
    </c:title>
    <c:plotArea>
      <c:layout/>
      <c:barChart>
        <c:barDir val="col"/>
        <c:grouping val="clustered"/>
        <c:varyColors val="0"/>
        <c:ser>
          <c:idx val="0"/>
          <c:order val="0"/>
          <c:tx>
            <c:v>Revenue %</c:v>
          </c:tx>
          <c:spPr>
            <a:solidFill xmlns:a="http://schemas.openxmlformats.org/drawingml/2006/main">
              <a:srgbClr val="7C3D9E"/>
            </a:solidFill>
          </c:spPr>
          <c:invertIfNegative val="0"/>
          <c:cat>
            <c:strLit>
              <c:ptCount val="4"/>
              <c:pt idx="0">
                <c:v>Online</c:v>
              </c:pt>
              <c:pt idx="1">
                <c:v>B2B Portal</c:v>
              </c:pt>
              <c:pt idx="2">
                <c:v>Retail Store</c:v>
              </c:pt>
              <c:pt idx="3">
                <c:v>Phone Order</c:v>
              </c:pt>
            </c:strLit>
          </c:cat>
          <c:val>
            <c:numLit>
              <c:formatCode>General</c:formatCode>
              <c:ptCount val="4"/>
              <c:pt idx="0">
                <c:v>42</c:v>
              </c:pt>
              <c:pt idx="1">
                <c:v>28</c:v>
              </c:pt>
              <c:pt idx="2">
                <c:v>22</c:v>
              </c:pt>
              <c:pt idx="3">
                <c:v>8</c:v>
              </c:pt>
            </c:numLit>
          </c:val>
        </c:ser>
        <c:dLbls>
          <c:showLegendKey val="0"/>
          <c:showVal val="1"/>
          <c:showCatName val="0"/>
          <c:showSerName val="0"/>
          <c:showPercent val="0"/>
        </c:dLbls>
        <c:gapWidth val="150"/>
        <c:axId val="1"/>
        <c:axId val="2"/>
      </c:barChart>
      <c:catAx>
        <c:axId val="1"/>
        <c:scaling>
          <c:orientation val="minMax"/>
        </c:scaling>
        <c:delete val="0"/>
        <c:axPos val="b"/>
        <c:majorTickMark val="out"/>
        <c:minorTickMark val="none"/>
        <c:tickLblPos val="nextTo"/>
        <c:crossAx val="2"/>
        <c:crosses val="autoZero"/>
        <c:auto val="1"/>
        <c:lblAlgn val="ctr"/>
        <c:lblOffset val="100"/>
      </c:catAx>
      <c:valAx>
        <c:axId val="2"/>
        <c:scaling>
          <c:orientation val="minMax"/>
        </c:scaling>
        <c:delete val="0"/>
        <c:axPos val="l"/>
        <c:majorGridlines/>
        <c:numFmt formatCode="General" sourceLinked="1"/>
        <c:majorTickMark val="out"/>
        <c:minorTickMark val="none"/>
        <c:tickLblPos val="nextTo"/>
        <c:crossAx val="1"/>
        <c:crosses val="autoZero"/>
        <c:crossBetween val="between"/>
      </c:valAx>
    </c:plotArea>
    <c:legend>
      <c:legendPos val="b"/>
      <c:overlay val="0"/>
    </c:legend>
    <c:plotVisOnly val="1"/>
    <c:dispBlanksAs val="gap"/>
  </c:chart>
</c:chartSpace>
</file>

<file path=word/charts/chart3.xml><?xml version="1.0" encoding="utf-8"?>
<c:chartSpace xmlns:c="http://schemas.openxmlformats.org/drawingml/2006/chart">
  <c:date1904 val="0"/>
  <c:chart>
    <c:title>
      <c:tx>
        <c:rich>
          <a:bodyPr xmlns:a="http://schemas.openxmlformats.org/drawingml/2006/main"/>
          <a:lstStyle xmlns:a="http://schemas.openxmlformats.org/drawingml/2006/main"/>
          <a:p xmlns:a="http://schemas.openxmlformats.org/drawingml/2006/main">
            <a:pPr>
              <a:defRPr sz="1400" b="1"/>
            </a:pPr>
            <a:r>
              <a:rPr lang="en-US" sz="1400" b="1"/>
              <a:t>Revenue Rank by Region</a:t>
            </a:r>
          </a:p>
        </c:rich>
      </c:tx>
      <c:overlay val="0"/>
    </c:title>
    <c:plotArea>
      <c:layout/>
      <c:barChart>
        <c:barDir val="col"/>
        <c:grouping val="clustered"/>
        <c:varyColors val="0"/>
        <c:ser>
          <c:idx val="0"/>
          <c:order val="0"/>
          <c:tx>
            <c:v>Revenue Rank</c:v>
          </c:tx>
          <c:spPr>
            <a:solidFill xmlns:a="http://schemas.openxmlformats.org/drawingml/2006/main">
              <a:srgbClr val="1B7F4E"/>
            </a:solidFill>
          </c:spPr>
          <c:invertIfNegative val="0"/>
          <c:cat>
            <c:strLit>
              <c:ptCount val="9"/>
              <c:pt idx="0">
                <c:v>Northeast</c:v>
              </c:pt>
              <c:pt idx="1">
                <c:v>West</c:v>
              </c:pt>
              <c:pt idx="2">
                <c:v>England</c:v>
              </c:pt>
              <c:pt idx="3">
                <c:v>South</c:v>
              </c:pt>
              <c:pt idx="4">
                <c:v>NSW</c:v>
              </c:pt>
              <c:pt idx="5">
                <c:v>Midwest</c:v>
              </c:pt>
              <c:pt idx="6">
                <c:v>Ontario</c:v>
              </c:pt>
              <c:pt idx="7">
                <c:v>Île-de-France</c:v>
              </c:pt>
              <c:pt idx="8">
                <c:v>NRW</c:v>
              </c:pt>
            </c:strLit>
          </c:cat>
          <c:val>
            <c:numLit>
              <c:formatCode>General</c:formatCode>
              <c:ptCount val="9"/>
              <c:pt idx="0">
                <c:v>9</c:v>
              </c:pt>
              <c:pt idx="1">
                <c:v>8</c:v>
              </c:pt>
              <c:pt idx="2">
                <c:v>7</c:v>
              </c:pt>
              <c:pt idx="3">
                <c:v>6</c:v>
              </c:pt>
              <c:pt idx="4">
                <c:v>5</c:v>
              </c:pt>
              <c:pt idx="5">
                <c:v>4</c:v>
              </c:pt>
              <c:pt idx="6">
                <c:v>3</c:v>
              </c:pt>
              <c:pt idx="7">
                <c:v>2</c:v>
              </c:pt>
              <c:pt idx="8">
                <c:v>1</c:v>
              </c:pt>
            </c:numLit>
          </c:val>
        </c:ser>
        <c:dLbls>
          <c:showLegendKey val="0"/>
          <c:showVal val="1"/>
          <c:showCatName val="0"/>
          <c:showSerName val="0"/>
          <c:showPercent val="0"/>
        </c:dLbls>
        <c:gapWidth val="150"/>
        <c:axId val="1"/>
        <c:axId val="2"/>
      </c:barChart>
      <c:catAx>
        <c:axId val="1"/>
        <c:scaling>
          <c:orientation val="minMax"/>
        </c:scaling>
        <c:delete val="0"/>
        <c:axPos val="b"/>
        <c:majorTickMark val="out"/>
        <c:minorTickMark val="none"/>
        <c:tickLblPos val="nextTo"/>
        <c:crossAx val="2"/>
        <c:crosses val="autoZero"/>
        <c:auto val="1"/>
        <c:lblAlgn val="ctr"/>
        <c:lblOffset val="100"/>
      </c:catAx>
      <c:valAx>
        <c:axId val="2"/>
        <c:scaling>
          <c:orientation val="minMax"/>
        </c:scaling>
        <c:delete val="0"/>
        <c:axPos val="l"/>
        <c:majorGridlines/>
        <c:numFmt formatCode="General" sourceLinked="1"/>
        <c:majorTickMark val="out"/>
        <c:minorTickMark val="none"/>
        <c:tickLblPos val="nextTo"/>
        <c:crossAx val="1"/>
        <c:crosses val="autoZero"/>
        <c:crossBetween val="between"/>
      </c:valAx>
    </c:plotArea>
    <c:legend>
      <c:legendPos val="b"/>
      <c:overlay val="0"/>
    </c:legend>
    <c:plotVisOnly val="1"/>
    <c:dispBlanksAs val="gap"/>
  </c:chart>
</c:chartSpace>
</file>

<file path=word/charts/chart4.xml><?xml version="1.0" encoding="utf-8"?>
<c:chartSpace xmlns:c="http://schemas.openxmlformats.org/drawingml/2006/chart">
  <c:date1904 val="0"/>
  <c:chart>
    <c:title>
      <c:tx>
        <c:rich>
          <a:bodyPr xmlns:a="http://schemas.openxmlformats.org/drawingml/2006/main"/>
          <a:lstStyle xmlns:a="http://schemas.openxmlformats.org/drawingml/2006/main"/>
          <a:p xmlns:a="http://schemas.openxmlformats.org/drawingml/2006/main">
            <a:pPr>
              <a:defRPr sz="1400" b="1"/>
            </a:pPr>
            <a:r>
              <a:rPr lang="en-US" sz="1400" b="1"/>
              <a:t>Top 10 Products — Relative Revenue Score</a:t>
            </a:r>
          </a:p>
        </c:rich>
      </c:tx>
      <c:overlay val="0"/>
    </c:title>
    <c:plotArea>
      <c:layout/>
      <c:barChart>
        <c:barDir val="col"/>
        <c:grouping val="clustered"/>
        <c:varyColors val="0"/>
        <c:ser>
          <c:idx val="0"/>
          <c:order val="0"/>
          <c:tx>
            <c:v>Revenue Score</c:v>
          </c:tx>
          <c:spPr>
            <a:solidFill xmlns:a="http://schemas.openxmlformats.org/drawingml/2006/main">
              <a:srgbClr val="C0392B"/>
            </a:solidFill>
          </c:spPr>
          <c:invertIfNegative val="0"/>
          <c:cat>
            <c:strLit>
              <c:ptCount val="10"/>
              <c:pt idx="0">
                <c:v>ProBook Laptop</c:v>
              </c:pt>
              <c:pt idx="1">
                <c:v>EdgeTab Tablet</c:v>
              </c:pt>
              <c:pt idx="2">
                <c:v>Office Chair Pro</c:v>
              </c:pt>
              <c:pt idx="3">
                <c:v>Vision Monitor</c:v>
              </c:pt>
              <c:pt idx="4">
                <c:v>Air Purifier</c:v>
              </c:pt>
              <c:pt idx="5">
                <c:v>Security Camera</c:v>
              </c:pt>
              <c:pt idx="6">
                <c:v>SmartDock</c:v>
              </c:pt>
              <c:pt idx="7">
                <c:v>Webcam HD</c:v>
              </c:pt>
              <c:pt idx="8">
                <c:v>Backup Drive</c:v>
              </c:pt>
              <c:pt idx="9">
                <c:v>Precision Mouse</c:v>
              </c:pt>
            </c:strLit>
          </c:cat>
          <c:val>
            <c:numLit>
              <c:formatCode>General</c:formatCode>
              <c:ptCount val="10"/>
              <c:pt idx="0">
                <c:v>100</c:v>
              </c:pt>
              <c:pt idx="1">
                <c:v>87</c:v>
              </c:pt>
              <c:pt idx="2">
                <c:v>74</c:v>
              </c:pt>
              <c:pt idx="3">
                <c:v>68</c:v>
              </c:pt>
              <c:pt idx="4">
                <c:v>61</c:v>
              </c:pt>
              <c:pt idx="5">
                <c:v>55</c:v>
              </c:pt>
              <c:pt idx="6">
                <c:v>49</c:v>
              </c:pt>
              <c:pt idx="7">
                <c:v>43</c:v>
              </c:pt>
              <c:pt idx="8">
                <c:v>38</c:v>
              </c:pt>
              <c:pt idx="9">
                <c:v>32</c:v>
              </c:pt>
            </c:numLit>
          </c:val>
        </c:ser>
        <c:dLbls>
          <c:showLegendKey val="0"/>
          <c:showVal val="1"/>
          <c:showCatName val="0"/>
          <c:showSerName val="0"/>
          <c:showPercent val="0"/>
        </c:dLbls>
        <c:gapWidth val="150"/>
        <c:axId val="1"/>
        <c:axId val="2"/>
      </c:barChart>
      <c:catAx>
        <c:axId val="1"/>
        <c:scaling>
          <c:orientation val="minMax"/>
        </c:scaling>
        <c:delete val="0"/>
        <c:axPos val="b"/>
        <c:majorTickMark val="out"/>
        <c:minorTickMark val="none"/>
        <c:tickLblPos val="nextTo"/>
        <c:crossAx val="2"/>
        <c:crosses val="autoZero"/>
        <c:auto val="1"/>
        <c:lblAlgn val="ctr"/>
        <c:lblOffset val="100"/>
      </c:catAx>
      <c:valAx>
        <c:axId val="2"/>
        <c:scaling>
          <c:orientation val="minMax"/>
        </c:scaling>
        <c:delete val="0"/>
        <c:axPos val="l"/>
        <c:majorGridlines/>
        <c:numFmt formatCode="General" sourceLinked="1"/>
        <c:majorTickMark val="out"/>
        <c:minorTickMark val="none"/>
        <c:tickLblPos val="nextTo"/>
        <c:crossAx val="1"/>
        <c:crosses val="autoZero"/>
        <c:crossBetween val="between"/>
      </c:valAx>
    </c:plotArea>
    <c:legend>
      <c:legendPos val="b"/>
      <c:overlay val="0"/>
    </c:legend>
    <c:plotVisOnly val="1"/>
    <c:dispBlanksAs val="gap"/>
  </c:chart>
</c:chartSpace>
</file>

<file path=word/charts/chart5.xml><?xml version="1.0" encoding="utf-8"?>
<c:chartSpace xmlns:c="http://schemas.openxmlformats.org/drawingml/2006/chart">
  <c:date1904 val="0"/>
  <c:chart>
    <c:title>
      <c:tx>
        <c:rich>
          <a:bodyPr xmlns:a="http://schemas.openxmlformats.org/drawingml/2006/main"/>
          <a:lstStyle xmlns:a="http://schemas.openxmlformats.org/drawingml/2006/main"/>
          <a:p xmlns:a="http://schemas.openxmlformats.org/drawingml/2006/main">
            <a:pPr>
              <a:defRPr sz="1400" b="1"/>
            </a:pPr>
            <a:r>
              <a:rPr lang="en-US" sz="1400" b="1"/>
              <a:t>Model R² Score Comparison (higher = better, max = 1.0)</a:t>
            </a:r>
          </a:p>
        </c:rich>
      </c:tx>
      <c:overlay val="0"/>
    </c:title>
    <c:plotArea>
      <c:layout/>
      <c:barChart>
        <c:barDir val="col"/>
        <c:grouping val="clustered"/>
        <c:varyColors val="0"/>
        <c:ser>
          <c:idx val="0"/>
          <c:order val="0"/>
          <c:tx>
            <c:v>R² Score</c:v>
          </c:tx>
          <c:spPr>
            <a:solidFill xmlns:a="http://schemas.openxmlformats.org/drawingml/2006/main">
              <a:srgbClr val="1A3A5C"/>
            </a:solidFill>
          </c:spPr>
          <c:invertIfNegative val="0"/>
          <c:cat>
            <c:strLit>
              <c:ptCount val="2"/>
              <c:pt idx="0">
                <c:v>GBR — Sales Amount</c:v>
              </c:pt>
              <c:pt idx="1">
                <c:v>RF — Profit</c:v>
              </c:pt>
            </c:strLit>
          </c:cat>
          <c:val>
            <c:numLit>
              <c:formatCode>General</c:formatCode>
              <c:ptCount val="2"/>
              <c:pt idx="0">
                <c:v>0.999</c:v>
              </c:pt>
              <c:pt idx="1">
                <c:v>0.9985</c:v>
              </c:pt>
            </c:numLit>
          </c:val>
        </c:ser>
        <c:dLbls>
          <c:showLegendKey val="0"/>
          <c:showVal val="1"/>
          <c:showCatName val="0"/>
          <c:showSerName val="0"/>
          <c:showPercent val="0"/>
        </c:dLbls>
        <c:gapWidth val="150"/>
        <c:axId val="1"/>
        <c:axId val="2"/>
      </c:barChart>
      <c:catAx>
        <c:axId val="1"/>
        <c:scaling>
          <c:orientation val="minMax"/>
        </c:scaling>
        <c:delete val="0"/>
        <c:axPos val="b"/>
        <c:majorTickMark val="out"/>
        <c:minorTickMark val="none"/>
        <c:tickLblPos val="nextTo"/>
        <c:crossAx val="2"/>
        <c:crosses val="autoZero"/>
        <c:auto val="1"/>
        <c:lblAlgn val="ctr"/>
        <c:lblOffset val="100"/>
      </c:catAx>
      <c:valAx>
        <c:axId val="2"/>
        <c:scaling>
          <c:orientation val="minMax"/>
          <c:max val="1"/>
          <c:min val="0.995"/>
        </c:scaling>
        <c:delete val="0"/>
        <c:axPos val="l"/>
        <c:majorGridlines/>
        <c:numFmt formatCode="General" sourceLinked="1"/>
        <c:majorTickMark val="out"/>
        <c:minorTickMark val="none"/>
        <c:tickLblPos val="nextTo"/>
        <c:crossAx val="1"/>
        <c:crosses val="autoZero"/>
        <c:crossBetween val="between"/>
      </c:valAx>
    </c:plotArea>
    <c:legend>
      <c:legendPos val="b"/>
      <c:overlay val="0"/>
    </c:legend>
    <c:plotVisOnly val="1"/>
    <c:dispBlanksAs val="gap"/>
  </c:chart>
</c:chartSpace>
</file>

<file path=word/charts/chart6.xml><?xml version="1.0" encoding="utf-8"?>
<c:chartSpace xmlns:c="http://schemas.openxmlformats.org/drawingml/2006/chart">
  <c:date1904 val="0"/>
  <c:chart>
    <c:title>
      <c:tx>
        <c:rich>
          <a:bodyPr xmlns:a="http://schemas.openxmlformats.org/drawingml/2006/main"/>
          <a:lstStyle xmlns:a="http://schemas.openxmlformats.org/drawingml/2006/main"/>
          <a:p xmlns:a="http://schemas.openxmlformats.org/drawingml/2006/main">
            <a:pPr>
              <a:defRPr sz="1400" b="1"/>
            </a:pPr>
            <a:r>
              <a:rPr lang="en-US" sz="1400" b="1"/>
              <a:t>12-Month Revenue Forecast — Monthly Projected Revenue ($)</a:t>
            </a:r>
          </a:p>
        </c:rich>
      </c:tx>
      <c:overlay val="0"/>
    </c:title>
    <c:plotArea>
      <c:layout/>
      <c:barChart>
        <c:barDir val="col"/>
        <c:grouping val="clustered"/>
        <c:varyColors val="0"/>
        <c:ser>
          <c:idx val="0"/>
          <c:order val="0"/>
          <c:tx>
            <c:v>Forecast Revenue ($)</c:v>
          </c:tx>
          <c:spPr>
            <a:solidFill xmlns:a="http://schemas.openxmlformats.org/drawingml/2006/main">
              <a:srgbClr val="E67E22"/>
            </a:solidFill>
          </c:spPr>
          <c:invertIfNegative val="0"/>
          <c:cat>
            <c:strLit>
              <c:ptCount val="12"/>
              <c:pt idx="0">
                <c:v>M+1</c:v>
              </c:pt>
              <c:pt idx="1">
                <c:v>M+2</c:v>
              </c:pt>
              <c:pt idx="2">
                <c:v>M+3</c:v>
              </c:pt>
              <c:pt idx="3">
                <c:v>M+4</c:v>
              </c:pt>
              <c:pt idx="4">
                <c:v>M+5</c:v>
              </c:pt>
              <c:pt idx="5">
                <c:v>M+6</c:v>
              </c:pt>
              <c:pt idx="6">
                <c:v>M+7</c:v>
              </c:pt>
              <c:pt idx="7">
                <c:v>M+8</c:v>
              </c:pt>
              <c:pt idx="8">
                <c:v>M+9</c:v>
              </c:pt>
              <c:pt idx="9">
                <c:v>M+10</c:v>
              </c:pt>
              <c:pt idx="10">
                <c:v>M+11</c:v>
              </c:pt>
              <c:pt idx="11">
                <c:v>M+12</c:v>
              </c:pt>
            </c:strLit>
          </c:cat>
          <c:val>
            <c:numLit>
              <c:formatCode>General</c:formatCode>
              <c:ptCount val="12"/>
              <c:pt idx="0">
                <c:v>485000</c:v>
              </c:pt>
              <c:pt idx="1">
                <c:v>488500</c:v>
              </c:pt>
              <c:pt idx="2">
                <c:v>492100</c:v>
              </c:pt>
              <c:pt idx="3">
                <c:v>495700</c:v>
              </c:pt>
              <c:pt idx="4">
                <c:v>499400</c:v>
              </c:pt>
              <c:pt idx="5">
                <c:v>503100</c:v>
              </c:pt>
              <c:pt idx="6">
                <c:v>506900</c:v>
              </c:pt>
              <c:pt idx="7">
                <c:v>510700</c:v>
              </c:pt>
              <c:pt idx="8">
                <c:v>514600</c:v>
              </c:pt>
              <c:pt idx="9">
                <c:v>518500</c:v>
              </c:pt>
              <c:pt idx="10">
                <c:v>522500</c:v>
              </c:pt>
              <c:pt idx="11">
                <c:v>526600</c:v>
              </c:pt>
            </c:numLit>
          </c:val>
        </c:ser>
        <c:dLbls>
          <c:showLegendKey val="0"/>
          <c:showVal val="0"/>
          <c:showCatName val="0"/>
          <c:showSerName val="0"/>
          <c:showPercent val="0"/>
        </c:dLbls>
        <c:gapWidth val="150"/>
        <c:axId val="1"/>
        <c:axId val="2"/>
      </c:barChart>
      <c:catAx>
        <c:axId val="1"/>
        <c:scaling>
          <c:orientation val="minMax"/>
        </c:scaling>
        <c:delete val="0"/>
        <c:axPos val="b"/>
        <c:majorTickMark val="out"/>
        <c:minorTickMark val="none"/>
        <c:tickLblPos val="nextTo"/>
        <c:crossAx val="2"/>
        <c:crosses val="autoZero"/>
        <c:auto val="1"/>
        <c:lblAlgn val="ctr"/>
        <c:lblOffset val="100"/>
      </c:catAx>
      <c:valAx>
        <c:axId val="2"/>
        <c:scaling>
          <c:orientation val="minMax"/>
        </c:scaling>
        <c:delete val="0"/>
        <c:axPos val="l"/>
        <c:majorGridlines/>
        <c:numFmt formatCode="General" sourceLinked="1"/>
        <c:majorTickMark val="out"/>
        <c:minorTickMark val="none"/>
        <c:tickLblPos val="nextTo"/>
        <c:crossAx val="1"/>
        <c:crosses val="autoZero"/>
        <c:crossBetween val="between"/>
      </c:valAx>
    </c:plotArea>
    <c:legend>
      <c:legendPos val="b"/>
      <c:overlay val="0"/>
    </c:legend>
    <c:plotVisOnly val="1"/>
    <c:dispBlanksAs val="gap"/>
  </c:chart>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OfficeCLI/1.0.155</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2026-10-08T10:16:31Z</dcterms:created>
  <cp:lastModifiedBy>OfficeCLI</cp:lastModifiedBy>
  <dcterms:modified xsi:type="dcterms:W3CDTF">2026-10-08T10:16:31Z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1.0.155</vt:lpwstr>
  </op:property>
  <op:property fmtid="{D5CDD505-2E9C-101B-9397-08002B2CF9AE}" pid="3" name="OfficeCLI.LastModified">
    <vt:lpwstr xmlns:vt="http://schemas.openxmlformats.org/officeDocument/2006/docPropsVTypes">2026-10-08T10:20:35Z</vt:lpwstr>
  </op:property>
</op:Properties>
</file>