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Deepak K</w:t>
      </w:r>
    </w:p>
    <w:p>
      <w:pPr>
        <w:ind w:left="0"/>
        <w:jc w:val="left"/>
        <w:textAlignment w:val="auto"/>
      </w:pPr>
      <w:r>
        <w:rPr>
          <w:b/>
          <w:color w:val="000000"/>
        </w:rPr>
        <w:t>Finance Intern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indeed.com/r/Deepak-K/e28e33ec53125b68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Highly motivated and inquisitive graduate seeking to utilize my skills and abilities in industry/company that offers professional and intellectual growth while being resourceful, innovative and flexible.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 Intern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India Infoline Limited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2017 to March 2017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Experience: Working as a Finance Intern, I became aware of the basic day to day activities of a stockbrokerage firm. Working there I was able to use my theoretical knowledge in practical situations. Along with the internship I completed a project, titled  "A STUDY ON THE IMPACT OF VOLATILITY OF CRUDE OIL PRICES ON INDIAN ECONOMY."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Acharya Institute of Technology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2015 to 2017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 in 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Seshadripuram College, Bangalore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 to 2015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COMMERCE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Vidya Mandir Independent PU College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SSLC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Shiksha Sagar High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Sagar, Madhya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2010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MICROSOFT 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WORD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TECHNICAL EXPERTISE</w:t>
      </w:r>
      <w:r>
        <w:br/>
      </w:r>
      <w:r>
        <w:rPr>
          <w:color w:val="000000"/>
          <w:sz w:val="22"/>
        </w:rPr>
        <w:t>Microsoft Excel, Power point, Word and Adobe Light room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Deepak-K/e28e33ec53125b68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