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Networking basics</w:t>
      </w:r>
    </w:p>
    <w:p>
      <w:r>
        <w:t>A NAT gateway lets instances in a private subnet reach the internet without accepting inbound connections.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Load balancer</w:t>
            </w:r>
          </w:p>
        </w:tc>
        <w:tc>
          <w:tcPr>
            <w:tcW w:type="dxa" w:w="4320"/>
          </w:tcPr>
          <w:p>
            <w:r>
              <w:t>Layer</w:t>
            </w:r>
          </w:p>
        </w:tc>
      </w:tr>
      <w:tr>
        <w:tc>
          <w:tcPr>
            <w:tcW w:type="dxa" w:w="4320"/>
          </w:tcPr>
          <w:p>
            <w:r>
              <w:t>ALB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t>Duy trì thói quen học mỗi ngày. Kiên nhẫn là chìa khoá của việc học ngoại ngữ. Người Việt thường uống cà phê sữa đá.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