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KỲ THI BV ASM – MÔN COM107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THỜI GIAN: 45 phút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PHẦN 1: WORD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Khởi động ứng dụng Microsoft Word lưu tập tin với tên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MSSV–HOVATEN.docx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(VD: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PS168402-NguyenVanA.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lập khổ giấy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“A4”,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cách giữa các dòng trong đoạn là 1.5. Thiết lập font Tahoma, cỡ chữ (size) 13 pt.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định dạng tài liệu như bên dưới: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PHÒNG CHỐNG BỆNH TRONG BÃO LỤT VÀ MƯA LŨ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Bộ Y tế khuyến cáo về biện pháp phòng chống dịch bệnh, dịch trong bão lụt và mưa lũ cụ thể như sau:</w:t>
      </w:r>
    </w:p>
    <w:p w:rsidR="00000000" w:rsidDel="00000000" w:rsidP="00000000" w:rsidRDefault="00000000" w:rsidRPr="00000000" w14:paraId="0000000B">
      <w:pPr>
        <w:rPr/>
        <w:sectPr>
          <w:pgSz w:h="15840" w:w="12240" w:orient="portrait"/>
          <w:pgMar w:bottom="63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Đảm bảo lựa chọn thực phẩm và chế biến thực phẩm an toàn, hợp vệ sinh, ăn thức ăn nấu chín và nước đun sôi.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Thường xuyên rửa tay với xà phòng  trước và sau khi chế biến thực phẩm, trước khi ăn và sau khi đi vệ sinh.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Vệ sinh cá nhân hàng ngày, rửa chân sạch và lau khô các kẽ ngón chân sau khi tiếp xúc với nước lũ, nước bị nhiễm bẩn.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Tiêu diệt loăng quăng/bọ gậy, diệt muỗi bằng cách đậy kín các bể, thùng chứa nước, thả cá vào dụng cụ chứa nước lớn, loại bỏ các phế thải như chai, lọ, lốp ô tô… hoặc các hốc nước tự nhiên để không cho muỗi đẻ trứng.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Mắc màn khi ngủ kể cả ban ngày.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Thau rửa bể nước, giếng nước, dụng cụ chứa nước và dùng hóa chất để khử trùng nước ăn uống và sinh hoạt theo hướng dẫn của nhân viên y tế.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Thực hiện nguyên tắc nước rút đến đâu làm vệ sinh đến đấy, thu gom, xử lý và chôn xác xúc vật theo hướng dẫn của nhân viên y tế.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Khi có dấu hiệu nghi ngờ nhiễm bệnh, cần đến khám và điều trị tại các cơ sở y tế gần nhất.</w:t>
      </w:r>
    </w:p>
    <w:p w:rsidR="00000000" w:rsidDel="00000000" w:rsidP="00000000" w:rsidRDefault="00000000" w:rsidRPr="00000000" w14:paraId="0000001B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(Ban biên tập Trang thông tin điện tử Cục Y tế dự phòng)</w:t>
      </w:r>
    </w:p>
    <w:p w:rsidR="00000000" w:rsidDel="00000000" w:rsidP="00000000" w:rsidRDefault="00000000" w:rsidRPr="00000000" w14:paraId="0000001C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513080</wp:posOffset>
            </wp:positionH>
            <wp:positionV relativeFrom="paragraph">
              <wp:posOffset>24765</wp:posOffset>
            </wp:positionV>
            <wp:extent cx="1460500" cy="1460500"/>
            <wp:effectExtent b="0" l="0" r="0" t="0"/>
            <wp:wrapSquare wrapText="bothSides" distB="0" distT="0" distL="114300" distR="114300"/>
            <wp:docPr descr="PHÒNG CHỐNG DỊCH BỆNH TRONG BÃO LỤT VÀ MƯA LŨ" id="5" name="image1.png"/>
            <a:graphic>
              <a:graphicData uri="http://schemas.openxmlformats.org/drawingml/2006/picture">
                <pic:pic>
                  <pic:nvPicPr>
                    <pic:cNvPr descr="PHÒNG CHỐNG DỊCH BỆNH TRONG BÃO LỤT VÀ MƯA LŨ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502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6E4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rsid w:val="001F631B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36E4F"/>
    <w:pPr>
      <w:spacing w:after="100" w:afterAutospacing="1" w:before="100" w:before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 w:val="1"/>
    <w:rsid w:val="00A140E7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1F631B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1F631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F631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F631B"/>
    <w:rPr>
      <w:rFonts w:ascii="Tahoma" w:cs="Tahoma" w:eastAsia="Times New Roman" w:hAnsi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 w:val="1"/>
    <w:rsid w:val="00E615D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615D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B64735"/>
    <w:rPr>
      <w:rFonts w:ascii="Times New Roman" w:cs="Times New Roman" w:eastAsia="Times New Roman" w:hAnsi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E15F75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ZUfDUyxApM4e8UQ1MZjXKBNyZw==">AMUW2mVu1w7lHekIKOMUo9fz5XFiArAdFsdFw3m5yxYQbRiTPq9WGc8B/llc9lYTMFPyD+xUIQljYONmpsKQuSsg9Epm1MRmCEJoPFHhPLr+VqGFlb7uJQQ=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2021-12-11T12:09:00Z</dcterms:created>
  <dc:creator>Admin</dc:creator>
</cp:coreProperties>
</file>