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05/KH-VCOMM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Xây dựng và quản lý mạng lưới KOC, KOL Livestream cho Sàn thương mại điện tử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ĐỘI PHÁT TRIỂN &amp; QUẢN LÝ KOC</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Luật Thương mại điện tử và các nghị định hiện hành về thương mại điện tử;</w:t>
      </w:r>
    </w:p>
    <w:p>
      <w:pPr>
        <w:spacing w:before="0" w:after="60" w:line="312" w:lineRule="auto"/>
        <w:jc w:val="both"/>
      </w:pPr>
      <w:r>
        <w:rPr>
          <w:rFonts w:ascii="Times New Roman" w:hAnsi="Times New Roman" w:cs="Times New Roman" w:eastAsia="Times New Roman"/>
          <w:b w:val="0"/>
          <w:i w:val="0"/>
          <w:sz w:val="26"/>
        </w:rPr>
        <w:t>- Quy định hiện hành về thuế thu nhập cá nhân đối với thu nhập từ hoạt động tiếp thị liên kết và bán hàng trực tuyến;</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2027 - 2036.</w:t>
      </w:r>
    </w:p>
    <w:p>
      <w:pPr>
        <w:spacing w:before="120" w:after="80" w:line="312" w:lineRule="auto"/>
        <w:jc w:val="left"/>
      </w:pPr>
      <w:r>
        <w:rPr>
          <w:rFonts w:ascii="Times New Roman" w:hAnsi="Times New Roman" w:cs="Times New Roman" w:eastAsia="Times New Roman"/>
          <w:b/>
          <w:i w:val="0"/>
          <w:sz w:val="26"/>
        </w:rPr>
        <w:t>2. Mục tiêu của Đội Phát triển và Quản lý KOC</w:t>
      </w:r>
    </w:p>
    <w:p>
      <w:pPr>
        <w:spacing w:before="0" w:after="120" w:line="312" w:lineRule="auto"/>
        <w:ind w:firstLine="567"/>
        <w:jc w:val="both"/>
      </w:pPr>
      <w:r>
        <w:rPr>
          <w:rFonts w:ascii="Times New Roman" w:hAnsi="Times New Roman" w:cs="Times New Roman" w:eastAsia="Times New Roman"/>
          <w:b w:val="0"/>
          <w:i w:val="0"/>
          <w:sz w:val="26"/>
        </w:rPr>
        <w:t>Xây dựng lực lượng KOC, KOL Livestream chuyên nghiệp, gắn bó dài hạn với VComm; bảo đảm nguồn lưu lượng truy cập mới cho nền tảng với chi phí thu hút khách hàng thấp, đồng thời duy trì chất lượng nội dung và mức độ tuân thủ của toàn bộ mạng lưới.</w:t>
      </w:r>
    </w:p>
    <w:p>
      <w:pPr>
        <w:spacing w:before="120" w:after="80" w:line="312" w:lineRule="auto"/>
        <w:jc w:val="left"/>
      </w:pPr>
      <w:r>
        <w:rPr>
          <w:rFonts w:ascii="Times New Roman" w:hAnsi="Times New Roman" w:cs="Times New Roman" w:eastAsia="Times New Roman"/>
          <w:b/>
          <w:i w:val="0"/>
          <w:sz w:val="26"/>
        </w:rPr>
        <w:t>3. Phạm vi và nguyên tắc thực hiện</w:t>
      </w:r>
    </w:p>
    <w:p>
      <w:pPr>
        <w:spacing w:before="0" w:after="60" w:line="312" w:lineRule="auto"/>
        <w:jc w:val="both"/>
      </w:pPr>
      <w:r>
        <w:rPr>
          <w:rFonts w:ascii="Times New Roman" w:hAnsi="Times New Roman" w:cs="Times New Roman" w:eastAsia="Times New Roman"/>
          <w:b w:val="0"/>
          <w:i w:val="0"/>
          <w:sz w:val="26"/>
        </w:rPr>
        <w:t>- Ưu tiên tuyển chọn KOC/KOL đã có mạng lưới người theo dõi trung thành và phù hợp với định hướng ngành hàng của VComm;</w:t>
      </w:r>
    </w:p>
    <w:p>
      <w:pPr>
        <w:spacing w:before="0" w:after="60" w:line="312" w:lineRule="auto"/>
        <w:jc w:val="both"/>
      </w:pPr>
      <w:r>
        <w:rPr>
          <w:rFonts w:ascii="Times New Roman" w:hAnsi="Times New Roman" w:cs="Times New Roman" w:eastAsia="Times New Roman"/>
          <w:b w:val="0"/>
          <w:i w:val="0"/>
          <w:sz w:val="26"/>
        </w:rPr>
        <w:t>- Gắn thu nhập của KOC với kết quả bán hàng thực tế thông qua mã giới thiệu và hoa hồng minh bạch;</w:t>
      </w:r>
    </w:p>
    <w:p>
      <w:pPr>
        <w:spacing w:before="0" w:after="60" w:line="312" w:lineRule="auto"/>
        <w:jc w:val="both"/>
      </w:pPr>
      <w:r>
        <w:rPr>
          <w:rFonts w:ascii="Times New Roman" w:hAnsi="Times New Roman" w:cs="Times New Roman" w:eastAsia="Times New Roman"/>
          <w:b w:val="0"/>
          <w:i w:val="0"/>
          <w:sz w:val="26"/>
        </w:rPr>
        <w:t>- Kiểm soát chặt chất lượng nội dung để bảo vệ uy tín thương hiệu và quyền lợi người tiêu dùng.</w:t>
      </w:r>
    </w:p>
    <w:p>
      <w:pPr>
        <w:spacing w:before="200" w:after="120" w:line="312" w:lineRule="auto"/>
        <w:jc w:val="left"/>
      </w:pPr>
      <w:r>
        <w:rPr>
          <w:rFonts w:ascii="Times New Roman" w:hAnsi="Times New Roman" w:cs="Times New Roman" w:eastAsia="Times New Roman"/>
          <w:b/>
          <w:i w:val="0"/>
          <w:sz w:val="28"/>
        </w:rPr>
        <w:t>PHẦN II. NHIỆM VỤ VÀ PHẠM VI PHỤ TRÁCH</w:t>
      </w:r>
    </w:p>
    <w:p>
      <w:pPr>
        <w:spacing w:before="120" w:after="80" w:line="312" w:lineRule="auto"/>
        <w:jc w:val="left"/>
      </w:pPr>
      <w:r>
        <w:rPr>
          <w:rFonts w:ascii="Times New Roman" w:hAnsi="Times New Roman" w:cs="Times New Roman" w:eastAsia="Times New Roman"/>
          <w:b/>
          <w:i w:val="0"/>
          <w:sz w:val="26"/>
        </w:rPr>
        <w:t>1. Tuyển chọn và hợp tác với KOC, KOL</w:t>
      </w:r>
    </w:p>
    <w:p>
      <w:pPr>
        <w:spacing w:before="0" w:after="60" w:line="312" w:lineRule="auto"/>
        <w:jc w:val="both"/>
      </w:pPr>
      <w:r>
        <w:rPr>
          <w:rFonts w:ascii="Times New Roman" w:hAnsi="Times New Roman" w:cs="Times New Roman" w:eastAsia="Times New Roman"/>
          <w:b w:val="0"/>
          <w:i w:val="0"/>
          <w:sz w:val="26"/>
        </w:rPr>
        <w:t>- Tìm kiếm, đàm phán hợp tác với đội ngũ KOC/KOL phù hợp với định hướng ngành hàng; ưu tiên những người đã từng làm việc với các nền tảng lớn và có sẵn một mạng lưới người dùng trung thành.</w:t>
      </w:r>
    </w:p>
    <w:p>
      <w:pPr>
        <w:spacing w:before="0" w:after="60" w:line="312" w:lineRule="auto"/>
        <w:jc w:val="both"/>
      </w:pPr>
      <w:r>
        <w:rPr>
          <w:rFonts w:ascii="Times New Roman" w:hAnsi="Times New Roman" w:cs="Times New Roman" w:eastAsia="Times New Roman"/>
          <w:b w:val="0"/>
          <w:i w:val="0"/>
          <w:sz w:val="26"/>
        </w:rPr>
        <w:t>- Xây dựng bộ tiêu chuẩn đánh giá KOC theo chất lượng nội dung, tỷ lệ chuyển đổi, mức độ tuân thủ và mức độ gắn bó.</w:t>
      </w:r>
    </w:p>
    <w:p>
      <w:pPr>
        <w:spacing w:before="0" w:after="60" w:line="312" w:lineRule="auto"/>
        <w:jc w:val="both"/>
      </w:pPr>
      <w:r>
        <w:rPr>
          <w:rFonts w:ascii="Times New Roman" w:hAnsi="Times New Roman" w:cs="Times New Roman" w:eastAsia="Times New Roman"/>
          <w:b w:val="0"/>
          <w:i w:val="0"/>
          <w:sz w:val="26"/>
        </w:rPr>
        <w:t>- Ký kết hợp đồng hợp tác với các điều khoản về hoa hồng, quyền sử dụng nội dung và trách nhiệm tuân thủ pháp luật.</w:t>
      </w:r>
    </w:p>
    <w:p>
      <w:pPr>
        <w:spacing w:before="120" w:after="80" w:line="312" w:lineRule="auto"/>
        <w:jc w:val="left"/>
      </w:pPr>
      <w:r>
        <w:rPr>
          <w:rFonts w:ascii="Times New Roman" w:hAnsi="Times New Roman" w:cs="Times New Roman" w:eastAsia="Times New Roman"/>
          <w:b/>
          <w:i w:val="0"/>
          <w:sz w:val="26"/>
        </w:rPr>
        <w:t>2. Đào tạo và phát triển mạng lưới</w:t>
      </w:r>
    </w:p>
    <w:p>
      <w:pPr>
        <w:spacing w:before="0" w:after="60" w:line="312" w:lineRule="auto"/>
        <w:jc w:val="both"/>
      </w:pPr>
      <w:r>
        <w:rPr>
          <w:rFonts w:ascii="Times New Roman" w:hAnsi="Times New Roman" w:cs="Times New Roman" w:eastAsia="Times New Roman"/>
          <w:b w:val="0"/>
          <w:i w:val="0"/>
          <w:sz w:val="26"/>
        </w:rPr>
        <w:t>- Tổ chức đào tạo kỹ năng Livestream, kỹ năng tư vấn sản phẩm và kỹ năng tuân thủ cho KOC mới.</w:t>
      </w:r>
    </w:p>
    <w:p>
      <w:pPr>
        <w:spacing w:before="0" w:after="60" w:line="312" w:lineRule="auto"/>
        <w:jc w:val="both"/>
      </w:pPr>
      <w:r>
        <w:rPr>
          <w:rFonts w:ascii="Times New Roman" w:hAnsi="Times New Roman" w:cs="Times New Roman" w:eastAsia="Times New Roman"/>
          <w:b w:val="0"/>
          <w:i w:val="0"/>
          <w:sz w:val="26"/>
        </w:rPr>
        <w:t>- Xây dựng Học viện VComm đào tạo KOC, nhân sự Kinh doanh và chủ trạm; trích lập quỹ thưởng cổ phần cho nhân sự xuất sắc.</w:t>
      </w:r>
    </w:p>
    <w:p>
      <w:pPr>
        <w:spacing w:before="0" w:after="60" w:line="312" w:lineRule="auto"/>
        <w:jc w:val="both"/>
      </w:pPr>
      <w:r>
        <w:rPr>
          <w:rFonts w:ascii="Times New Roman" w:hAnsi="Times New Roman" w:cs="Times New Roman" w:eastAsia="Times New Roman"/>
          <w:b w:val="0"/>
          <w:i w:val="0"/>
          <w:sz w:val="26"/>
        </w:rPr>
        <w:t>- Hỗ trợ KOC công cụ tạo đường liên kết giới thiệu, công cụ theo dõi hiệu suất và kho nội dung sản phẩm.</w:t>
      </w:r>
    </w:p>
    <w:p>
      <w:pPr>
        <w:spacing w:before="120" w:after="80" w:line="312" w:lineRule="auto"/>
        <w:jc w:val="left"/>
      </w:pPr>
      <w:r>
        <w:rPr>
          <w:rFonts w:ascii="Times New Roman" w:hAnsi="Times New Roman" w:cs="Times New Roman" w:eastAsia="Times New Roman"/>
          <w:b/>
          <w:i w:val="0"/>
          <w:sz w:val="26"/>
        </w:rPr>
        <w:t>3. Quản lý vận hành và chất lượng</w:t>
      </w:r>
    </w:p>
    <w:p>
      <w:pPr>
        <w:spacing w:before="0" w:after="60" w:line="312" w:lineRule="auto"/>
        <w:jc w:val="both"/>
      </w:pPr>
      <w:r>
        <w:rPr>
          <w:rFonts w:ascii="Times New Roman" w:hAnsi="Times New Roman" w:cs="Times New Roman" w:eastAsia="Times New Roman"/>
          <w:b w:val="0"/>
          <w:i w:val="0"/>
          <w:sz w:val="26"/>
        </w:rPr>
        <w:t>- Quản lý lịch Livestream, phân bổ nguồn hàng và điều phối các phiên Livestream quy mô lớn theo từng giai đoạn.</w:t>
      </w:r>
    </w:p>
    <w:p>
      <w:pPr>
        <w:spacing w:before="0" w:after="60" w:line="312" w:lineRule="auto"/>
        <w:jc w:val="both"/>
      </w:pPr>
      <w:r>
        <w:rPr>
          <w:rFonts w:ascii="Times New Roman" w:hAnsi="Times New Roman" w:cs="Times New Roman" w:eastAsia="Times New Roman"/>
          <w:b w:val="0"/>
          <w:i w:val="0"/>
          <w:sz w:val="26"/>
        </w:rPr>
        <w:t>- Theo dõi hiệu suất từng KOC theo mã giới thiệu: số lượt click, tỷ lệ chuyển đổi từ lượt click sang đơn hàng và chi phí thu hút khách hàng theo kênh.</w:t>
      </w:r>
    </w:p>
    <w:p>
      <w:pPr>
        <w:spacing w:before="0" w:after="60" w:line="312" w:lineRule="auto"/>
        <w:jc w:val="both"/>
      </w:pPr>
      <w:r>
        <w:rPr>
          <w:rFonts w:ascii="Times New Roman" w:hAnsi="Times New Roman" w:cs="Times New Roman" w:eastAsia="Times New Roman"/>
          <w:b w:val="0"/>
          <w:i w:val="0"/>
          <w:sz w:val="26"/>
        </w:rPr>
        <w:t>- Áp dụng chế tài với các trường hợp nội dung sai lệch, thông tin sản phẩm không đúng hoặc vi phạm cam kết chính hãng.</w:t>
      </w:r>
    </w:p>
    <w:p>
      <w:pPr>
        <w:spacing w:before="120" w:after="80" w:line="312" w:lineRule="auto"/>
        <w:jc w:val="left"/>
      </w:pPr>
      <w:r>
        <w:rPr>
          <w:rFonts w:ascii="Times New Roman" w:hAnsi="Times New Roman" w:cs="Times New Roman" w:eastAsia="Times New Roman"/>
          <w:b/>
          <w:i w:val="0"/>
          <w:sz w:val="26"/>
        </w:rPr>
        <w:t>4. Phát triển mô hình Affiliate không cần gian hàng</w:t>
      </w:r>
    </w:p>
    <w:p>
      <w:pPr>
        <w:spacing w:before="0" w:after="60" w:line="312" w:lineRule="auto"/>
        <w:jc w:val="both"/>
      </w:pPr>
      <w:r>
        <w:rPr>
          <w:rFonts w:ascii="Times New Roman" w:hAnsi="Times New Roman" w:cs="Times New Roman" w:eastAsia="Times New Roman"/>
          <w:b w:val="0"/>
          <w:i w:val="0"/>
          <w:sz w:val="26"/>
        </w:rPr>
        <w:t>- Phát triển lực lượng Affiliate: người dùng đăng ký làm Affiliate, chọn sản phẩm của Nhà máy sản xuất hoặc của bất kỳ gian hàng nào đang hoạt động trên hệ thống để lấy đường liên kết giới thiệu.</w:t>
      </w:r>
    </w:p>
    <w:p>
      <w:pPr>
        <w:spacing w:before="0" w:after="60" w:line="312" w:lineRule="auto"/>
        <w:jc w:val="both"/>
      </w:pPr>
      <w:r>
        <w:rPr>
          <w:rFonts w:ascii="Times New Roman" w:hAnsi="Times New Roman" w:cs="Times New Roman" w:eastAsia="Times New Roman"/>
          <w:b w:val="0"/>
          <w:i w:val="0"/>
          <w:sz w:val="26"/>
        </w:rPr>
        <w:t>- Hướng dẫn Affiliate đăng liên kết lên Facebook, Zalo, YouTube, TikTok cá nhân và các hội nhóm mua sắm để giới thiệu sản phẩm.</w:t>
      </w:r>
    </w:p>
    <w:p>
      <w:pPr>
        <w:spacing w:before="0" w:after="60" w:line="312" w:lineRule="auto"/>
        <w:jc w:val="both"/>
      </w:pPr>
      <w:r>
        <w:rPr>
          <w:rFonts w:ascii="Times New Roman" w:hAnsi="Times New Roman" w:cs="Times New Roman" w:eastAsia="Times New Roman"/>
          <w:b w:val="0"/>
          <w:i w:val="0"/>
          <w:sz w:val="26"/>
        </w:rPr>
        <w:t>- Bảo đảm hoa hồng giới thiệu được ghi nhận và chi trả tự động cho Affiliate theo tỷ lệ đã công bố ngay khi đơn hàng hoàn tất.</w:t>
      </w:r>
    </w:p>
    <w:p>
      <w:pPr>
        <w:spacing w:before="200" w:after="120" w:line="312" w:lineRule="auto"/>
        <w:jc w:val="left"/>
      </w:pPr>
      <w:r>
        <w:rPr>
          <w:rFonts w:ascii="Times New Roman" w:hAnsi="Times New Roman" w:cs="Times New Roman" w:eastAsia="Times New Roman"/>
          <w:b/>
          <w:i w:val="0"/>
          <w:sz w:val="28"/>
        </w:rPr>
        <w:t>PHẦN III. KẾ HOẠCH TRIỂN KHAI THEO GIAI ĐOẠN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Giai đoạn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gian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Nội dung trọng tâm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0 - Chuẩn bị</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Tìm kiếm và đàm phán hợp tác với đội ngũ KOC/KOL; chạy Livestream thử nghiệm trên mạng xã hội sẵn có để tích lũy tệp khách hàng chờ chuyển đổi.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Tuyển 05 - 10 nhân sự Đội Phát triển và Quản lý KOC; ban hành bộ tiêu chuẩn đánh giá KOC và hợp đồng hợp tác mẫu.</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Vận hành 10 phiên Livestream quy mô lớn thử nghiệm bằng sản phẩm liên kết; hoàn thiện quy trình đào tạo và chấm điểm KOC.</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3</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Mở rộng quy mô Livestream lên trên 100 người bán và KOC để tăng lưu lượng truy cập mới; kích hoạt mạng lưới Affiliate đại trà.</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4</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IV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Duy trì lưu lượng truy cập ổn định; nâng chất lượng nội dung và mức độ gắn bó của KOC; chuẩn bị kế hoạch mở rộng cho năm 2028.</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Thành lập Học viện VComm; ra mắt Trợ lý Trí tuệ nhân tạo hỗ trợ Livestream; mở rộng mạng lưới KOC ra toàn quốc.</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Duy trì mạng lưới KOC ổn định; khai thác nội dung thương hiệu phục vụ niêm yết.</w:t>
            </w:r>
          </w:p>
        </w:tc>
      </w:tr>
    </w:tbl>
    <w:p>
      <w:pPr>
        <w:spacing w:after="0"/>
      </w:pPr>
    </w:p>
    <w:p>
      <w:pPr>
        <w:spacing w:before="200" w:after="120" w:line="312" w:lineRule="auto"/>
        <w:jc w:val="left"/>
      </w:pPr>
      <w:r>
        <w:rPr>
          <w:rFonts w:ascii="Times New Roman" w:hAnsi="Times New Roman" w:cs="Times New Roman" w:eastAsia="Times New Roman"/>
          <w:b/>
          <w:i w:val="0"/>
          <w:sz w:val="28"/>
        </w:rPr>
        <w:t>PHẦN IV. NHU CẦU NHÂN SỰ VÀ NGÂN SÁCH</w:t>
      </w:r>
    </w:p>
    <w:p>
      <w:pPr>
        <w:spacing w:before="120" w:after="80" w:line="312" w:lineRule="auto"/>
        <w:jc w:val="left"/>
      </w:pPr>
      <w:r>
        <w:rPr>
          <w:rFonts w:ascii="Times New Roman" w:hAnsi="Times New Roman" w:cs="Times New Roman" w:eastAsia="Times New Roman"/>
          <w:b/>
          <w:i w:val="0"/>
          <w:sz w:val="26"/>
        </w:rPr>
        <w:t>1. Cơ cấu nhân sự</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Nhóm chuyên môn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Nhiệm vụ chính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Quy mô dự kiến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KOC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Tuyển chọn và đàm phán hợp tác với KOC/KOL</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03 - 05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Đào tạo và Chất lượng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Đào tạo kỹ năng, kiểm soát chất lượng nội dung và tuân thủ</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Vận hành Livestream</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Điều phối lịch Livestream, phân bổ nguồn hàng và hỗ trợ kỹ thuật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bl>
    <w:p>
      <w:pPr>
        <w:spacing w:after="0"/>
      </w:pPr>
    </w:p>
    <w:p>
      <w:pPr>
        <w:spacing w:before="0" w:after="120" w:line="312" w:lineRule="auto"/>
        <w:ind w:firstLine="567"/>
        <w:jc w:val="both"/>
      </w:pPr>
      <w:r>
        <w:rPr>
          <w:rFonts w:ascii="Times New Roman" w:hAnsi="Times New Roman" w:cs="Times New Roman" w:eastAsia="Times New Roman"/>
          <w:b w:val="0"/>
          <w:i w:val="0"/>
          <w:sz w:val="26"/>
        </w:rPr>
        <w:t>Đội Phát triển và Quản lý KOC làm việc theo mô hình hoa hồng ghi nhận kép: hoa hồng phát triển mới khi thu hút KOC gia nhập và hoa hồng duy trì theo doanh số phát sinh định kỳ từ tệp KOC đã quản lý.</w:t>
      </w:r>
    </w:p>
    <w:p>
      <w:pPr>
        <w:spacing w:before="120" w:after="80" w:line="312" w:lineRule="auto"/>
        <w:jc w:val="left"/>
      </w:pPr>
      <w:r>
        <w:rPr>
          <w:rFonts w:ascii="Times New Roman" w:hAnsi="Times New Roman" w:cs="Times New Roman" w:eastAsia="Times New Roman"/>
          <w:b/>
          <w:i w:val="0"/>
          <w:sz w:val="26"/>
        </w:rPr>
        <w:t>2. Ngân sách và cơ chế chi trả</w:t>
      </w:r>
    </w:p>
    <w:p>
      <w:pPr>
        <w:spacing w:before="0" w:after="60" w:line="312" w:lineRule="auto"/>
        <w:jc w:val="both"/>
      </w:pPr>
      <w:r>
        <w:rPr>
          <w:rFonts w:ascii="Times New Roman" w:hAnsi="Times New Roman" w:cs="Times New Roman" w:eastAsia="Times New Roman"/>
          <w:b w:val="0"/>
          <w:i w:val="0"/>
          <w:sz w:val="26"/>
        </w:rPr>
        <w:t>- Hoa hồng KOC và KOL Livestream chiếm 10,0% - 12,0% giá trị giao dịch.</w:t>
      </w:r>
    </w:p>
    <w:p>
      <w:pPr>
        <w:spacing w:before="0" w:after="60" w:line="312" w:lineRule="auto"/>
        <w:jc w:val="both"/>
      </w:pPr>
      <w:r>
        <w:rPr>
          <w:rFonts w:ascii="Times New Roman" w:hAnsi="Times New Roman" w:cs="Times New Roman" w:eastAsia="Times New Roman"/>
          <w:b w:val="0"/>
          <w:i w:val="0"/>
          <w:sz w:val="26"/>
        </w:rPr>
        <w:t>- Hoa hồng cho Đội Phát triển và Quản lý KOC chiếm 1,0% - 1,5% giá trị giao dịch.</w:t>
      </w:r>
    </w:p>
    <w:p>
      <w:pPr>
        <w:spacing w:before="0" w:after="60" w:line="312" w:lineRule="auto"/>
        <w:jc w:val="both"/>
      </w:pPr>
      <w:r>
        <w:rPr>
          <w:rFonts w:ascii="Times New Roman" w:hAnsi="Times New Roman" w:cs="Times New Roman" w:eastAsia="Times New Roman"/>
          <w:b w:val="0"/>
          <w:i w:val="0"/>
          <w:sz w:val="26"/>
        </w:rPr>
        <w:t>- Chi phí đào tạo và công cụ hỗ trợ KOC được cấu thành trong ngân sách Nhân sự và ngân sách Trợ giá, Marketing tăng trưởng.</w:t>
      </w:r>
    </w:p>
    <w:p>
      <w:pPr>
        <w:spacing w:before="200" w:after="120" w:line="312" w:lineRule="auto"/>
        <w:jc w:val="left"/>
      </w:pPr>
      <w:r>
        <w:rPr>
          <w:rFonts w:ascii="Times New Roman" w:hAnsi="Times New Roman" w:cs="Times New Roman" w:eastAsia="Times New Roman"/>
          <w:b/>
          <w:i w:val="0"/>
          <w:sz w:val="28"/>
        </w:rPr>
        <w:t>PHẦN V. CHỈ SỐ GIÁM SÁT VÀ ĐÁNH GIÁ</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Mục tiêu</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KOC, KOL đang hợp tác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phiên Livestream quy mô lớn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chuyển đổi từ lượt click sang đơn hàng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thu hút khách hàng theo kênh liên kết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Thấp hơn mức bình quân toàn sàn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Affiliate hoạt động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nội dung vi phạm bị xử lý</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Xử lý trong vòng 24 giờ</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bl>
    <w:p>
      <w:pPr>
        <w:spacing w:after="0"/>
      </w:pPr>
    </w:p>
    <w:p>
      <w:pPr>
        <w:spacing w:before="200" w:after="120" w:line="312" w:lineRule="auto"/>
        <w:jc w:val="left"/>
      </w:pPr>
      <w:r>
        <w:rPr>
          <w:rFonts w:ascii="Times New Roman" w:hAnsi="Times New Roman" w:cs="Times New Roman" w:eastAsia="Times New Roman"/>
          <w:b/>
          <w:i w:val="0"/>
          <w:sz w:val="28"/>
        </w:rPr>
        <w:t>PHẦN VI. PHỐI HỢP LIÊN KHỐI</w:t>
      </w:r>
    </w:p>
    <w:p>
      <w:pPr>
        <w:spacing w:before="0" w:after="60" w:line="312" w:lineRule="auto"/>
        <w:jc w:val="both"/>
      </w:pPr>
      <w:r>
        <w:rPr>
          <w:rFonts w:ascii="Times New Roman" w:hAnsi="Times New Roman" w:cs="Times New Roman" w:eastAsia="Times New Roman"/>
          <w:b w:val="0"/>
          <w:i w:val="0"/>
          <w:sz w:val="26"/>
        </w:rPr>
        <w:t>- Với Khối Marketing và Thương hiệu: thống nhất lịch chiến dịch, thông điệp truyền thông và ngân sách trợ giá cho các phiên Livestream.</w:t>
      </w:r>
    </w:p>
    <w:p>
      <w:pPr>
        <w:spacing w:before="0" w:after="60" w:line="312" w:lineRule="auto"/>
        <w:jc w:val="both"/>
      </w:pPr>
      <w:r>
        <w:rPr>
          <w:rFonts w:ascii="Times New Roman" w:hAnsi="Times New Roman" w:cs="Times New Roman" w:eastAsia="Times New Roman"/>
          <w:b w:val="0"/>
          <w:i w:val="0"/>
          <w:sz w:val="26"/>
        </w:rPr>
        <w:t>- Với Khối Kinh doanh: phối hợp phát triển KOC gắn với nguồn hàng và tệp khách hàng của từng khu vực.</w:t>
      </w:r>
    </w:p>
    <w:p>
      <w:pPr>
        <w:spacing w:before="0" w:after="60" w:line="312" w:lineRule="auto"/>
        <w:jc w:val="both"/>
      </w:pPr>
      <w:r>
        <w:rPr>
          <w:rFonts w:ascii="Times New Roman" w:hAnsi="Times New Roman" w:cs="Times New Roman" w:eastAsia="Times New Roman"/>
          <w:b w:val="0"/>
          <w:i w:val="0"/>
          <w:sz w:val="26"/>
        </w:rPr>
        <w:t>- Với Khối Công nghệ: đặt yêu cầu cho Cổng KOC, công cụ tạo đường liên kết giới thiệu và hệ thống đo lường hiệu suất.</w:t>
      </w:r>
    </w:p>
    <w:p>
      <w:pPr>
        <w:spacing w:before="0" w:after="60" w:line="312" w:lineRule="auto"/>
        <w:jc w:val="both"/>
      </w:pPr>
      <w:r>
        <w:rPr>
          <w:rFonts w:ascii="Times New Roman" w:hAnsi="Times New Roman" w:cs="Times New Roman" w:eastAsia="Times New Roman"/>
          <w:b w:val="0"/>
          <w:i w:val="0"/>
          <w:sz w:val="26"/>
        </w:rPr>
        <w:t>- Với Khối Tài chính - Kế toán: đối soát hoa hồng và thực hiện khấu trừ thuế thu nhập cá nhân tại nguồn cho KOC.</w:t>
      </w:r>
    </w:p>
    <w:p>
      <w:pPr>
        <w:spacing w:before="0" w:after="60" w:line="312" w:lineRule="auto"/>
        <w:jc w:val="both"/>
      </w:pPr>
      <w:r>
        <w:rPr>
          <w:rFonts w:ascii="Times New Roman" w:hAnsi="Times New Roman" w:cs="Times New Roman" w:eastAsia="Times New Roman"/>
          <w:b w:val="0"/>
          <w:i w:val="0"/>
          <w:sz w:val="26"/>
        </w:rPr>
        <w:t>- Với Khối Pháp chế - Tuân thủ: kiểm soát hợp đồng hợp tác và nội dung quảng cáo của KOC.</w:t>
      </w:r>
    </w:p>
    <w:p>
      <w:pPr>
        <w:spacing w:before="200" w:after="120" w:line="312" w:lineRule="auto"/>
        <w:jc w:val="left"/>
      </w:pPr>
      <w:r>
        <w:rPr>
          <w:rFonts w:ascii="Times New Roman" w:hAnsi="Times New Roman" w:cs="Times New Roman" w:eastAsia="Times New Roman"/>
          <w:b/>
          <w:i w:val="0"/>
          <w:sz w:val="28"/>
        </w:rPr>
        <w:t>PHẦN VII. TỔ CHỨC THỰC HIỆN</w:t>
      </w:r>
    </w:p>
    <w:p>
      <w:pPr>
        <w:spacing w:before="0" w:after="120" w:line="312" w:lineRule="auto"/>
        <w:ind w:firstLine="567"/>
        <w:jc w:val="both"/>
      </w:pPr>
      <w:r>
        <w:rPr>
          <w:rFonts w:ascii="Times New Roman" w:hAnsi="Times New Roman" w:cs="Times New Roman" w:eastAsia="Times New Roman"/>
          <w:b w:val="0"/>
          <w:i w:val="0"/>
          <w:sz w:val="26"/>
        </w:rPr>
        <w:t>Đội Phát triển và Quản lý KOC chủ trì tuyển chọn, đào tạo và quản lý mạng lưới KOC/KOL Livestream; định kỳ báo cáo kết quả về Ban Tổng Giám đốc.</w:t>
      </w:r>
    </w:p>
    <w:p>
      <w:pPr>
        <w:spacing w:before="120" w:after="120" w:line="312" w:lineRule="auto"/>
        <w:ind w:firstLine="567"/>
        <w:jc w:val="both"/>
      </w:pPr>
      <w:r>
        <w:rPr>
          <w:rFonts w:ascii="Times New Roman" w:hAnsi="Times New Roman" w:cs="Times New Roman" w:eastAsia="Times New Roman"/>
          <w:b w:val="0"/>
          <w:i w:val="0"/>
          <w:sz w:val="26"/>
        </w:rPr>
        <w:t>Đội Phát triển và Quản lý KOC cùng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