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3742"/>
        <w:gridCol w:w="5329"/>
      </w:tblGrid>
      <w:tr>
        <w:tc>
          <w:tcPr>
            <w:tcW w:type="dxa" w:w="3742"/>
          </w:tcPr>
          <w:p>
            <w:pPr>
              <w:spacing w:after="0"/>
              <w:jc w:val="center"/>
            </w:pPr>
            <w:r>
              <w:rPr>
                <w:rFonts w:ascii="Times New Roman" w:cs="Times New Roman" w:eastAsia="Times New Roman" w:hAnsi="Times New Roman"/>
                <w:b/>
                <w:bCs/>
                <w:sz w:val="26"/>
                <w:szCs w:val="26"/>
              </w:rPr>
              <w:t xml:space="preserve">CÔNG TY CỔ PHẦN VCOMM VIỆT NAM</w:t>
            </w:r>
          </w:p>
          <w:p>
            <w:pPr>
              <w:pBdr>
                <w:bottom w:val="single" w:color="000000" w:sz="6" w:space="1"/>
              </w:pBdr>
              <w:spacing w:after="0"/>
              <w:ind w:left="1020" w:right="1020"/>
              <w:jc w:val="center"/>
            </w:pPr>
          </w:p>
          <w:p>
            <w:pPr>
              <w:spacing w:after="0" w:before="40"/>
              <w:jc w:val="center"/>
            </w:pPr>
            <w:r>
              <w:rPr>
                <w:rFonts w:ascii="Times New Roman" w:cs="Times New Roman" w:eastAsia="Times New Roman" w:hAnsi="Times New Roman"/>
                <w:sz w:val="26"/>
                <w:szCs w:val="26"/>
              </w:rPr>
              <w:t>Số: 03/KH-VCOMM</w:t>
            </w:r>
          </w:p>
        </w:tc>
        <w:tc>
          <w:tcPr>
            <w:tcW w:type="dxa" w:w="5329"/>
          </w:tcPr>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6"/>
                <w:szCs w:val="26"/>
              </w:rPr>
              <w:t xml:space="preserve">Độc lập - Tự do - Hạnh phúc</w:t>
            </w:r>
          </w:p>
          <w:p>
            <w:pPr>
              <w:pBdr>
                <w:bottom w:val="single" w:color="000000" w:sz="6" w:space="1"/>
              </w:pBdr>
              <w:spacing w:after="0"/>
              <w:ind w:left="964" w:right="964"/>
              <w:jc w:val="center"/>
            </w:pPr>
          </w:p>
          <w:p>
            <w:pPr>
              <w:spacing w:after="0" w:before="40"/>
              <w:jc w:val="center"/>
            </w:pPr>
            <w:r>
              <w:rPr>
                <w:rFonts w:ascii="Times New Roman" w:cs="Times New Roman" w:eastAsia="Times New Roman" w:hAnsi="Times New Roman"/>
                <w:i/>
                <w:iCs/>
                <w:sz w:val="26"/>
                <w:szCs w:val="26"/>
              </w:rPr>
              <w:t>TP. Hồ Chí Minh, ngày 5 tháng 10 năm 2026</w:t>
            </w:r>
          </w:p>
        </w:tc>
      </w:tr>
    </w:tbl>
    <w:p>
      <w:pPr>
        <w:spacing w:before="120" w:after="120" w:line="312" w:lineRule="auto"/>
        <w:jc w:val="center"/>
      </w:pPr>
      <w:r>
        <w:rPr>
          <w:rFonts w:ascii="Times New Roman" w:hAnsi="Times New Roman" w:cs="Times New Roman" w:eastAsia="Times New Roman"/>
          <w:b/>
          <w:i w:val="0"/>
          <w:sz w:val="28"/>
        </w:rPr>
        <w:t>ĐỀ ÁN</w:t>
      </w:r>
    </w:p>
    <w:p>
      <w:pPr>
        <w:spacing w:before="0" w:after="120" w:line="312" w:lineRule="auto"/>
        <w:jc w:val="center"/>
      </w:pPr>
      <w:r>
        <w:rPr>
          <w:rFonts w:ascii="Times New Roman" w:hAnsi="Times New Roman" w:cs="Times New Roman" w:eastAsia="Times New Roman"/>
          <w:b/>
          <w:i w:val="0"/>
          <w:sz w:val="26"/>
        </w:rPr>
        <w:t>Phát triển mạng lưới bán hàng, người bán và khách hàng doanh nghiệp Sàn thương mại điện tử VComm giai đoạn 2027 - 2036</w:t>
      </w:r>
    </w:p>
    <w:p>
      <w:pPr>
        <w:spacing w:before="0" w:after="80" w:line="312" w:lineRule="auto"/>
        <w:jc w:val="center"/>
      </w:pPr>
      <w:r>
        <w:rPr>
          <w:rFonts w:ascii="Times New Roman" w:hAnsi="Times New Roman" w:cs="Times New Roman" w:eastAsia="Times New Roman"/>
          <w:b/>
          <w:i w:val="0"/>
          <w:sz w:val="26"/>
        </w:rPr>
        <w:t>CÔNG TY CỔ PHẦN VCOMM VIỆT NAM</w:t>
      </w:r>
    </w:p>
    <w:p>
      <w:pPr>
        <w:spacing w:before="0" w:after="80" w:line="312" w:lineRule="auto"/>
        <w:jc w:val="center"/>
      </w:pPr>
      <w:r>
        <w:rPr>
          <w:rFonts w:ascii="Times New Roman" w:hAnsi="Times New Roman" w:cs="Times New Roman" w:eastAsia="Times New Roman"/>
          <w:b/>
          <w:i w:val="0"/>
          <w:sz w:val="26"/>
        </w:rPr>
        <w:t>KHỐI KINH DOANH</w:t>
      </w:r>
    </w:p>
    <w:p>
      <w:pPr>
        <w:spacing w:before="0" w:after="200" w:line="312" w:lineRule="auto"/>
        <w:jc w:val="center"/>
      </w:pPr>
      <w:r>
        <w:rPr>
          <w:rFonts w:ascii="Times New Roman" w:hAnsi="Times New Roman" w:cs="Times New Roman" w:eastAsia="Times New Roman"/>
          <w:b w:val="0"/>
          <w:i/>
          <w:sz w:val="24"/>
        </w:rPr>
        <w:t>Tài liệu tham chiếu: Đề án Tổng thể VComm giai đoạn 2027 - 2036 (số 01/KH-VCOMM).</w:t>
      </w:r>
    </w:p>
    <w:p>
      <w:pPr>
        <w:spacing w:before="200" w:after="120" w:line="312" w:lineRule="auto"/>
        <w:jc w:val="left"/>
      </w:pPr>
      <w:r>
        <w:rPr>
          <w:rFonts w:ascii="Times New Roman" w:hAnsi="Times New Roman" w:cs="Times New Roman" w:eastAsia="Times New Roman"/>
          <w:b/>
          <w:i w:val="0"/>
          <w:sz w:val="28"/>
        </w:rPr>
        <w:t>PHẦN I. CĂN CỨ PHÁP LÝ VÀ MỤC TIÊU</w:t>
      </w:r>
    </w:p>
    <w:p>
      <w:pPr>
        <w:spacing w:before="120" w:after="80" w:line="312" w:lineRule="auto"/>
        <w:jc w:val="left"/>
      </w:pPr>
      <w:r>
        <w:rPr>
          <w:rFonts w:ascii="Times New Roman" w:hAnsi="Times New Roman" w:cs="Times New Roman" w:eastAsia="Times New Roman"/>
          <w:b/>
          <w:i w:val="0"/>
          <w:sz w:val="26"/>
        </w:rPr>
        <w:t>1. Căn cứ pháp lý</w:t>
      </w:r>
    </w:p>
    <w:p>
      <w:pPr>
        <w:spacing w:before="0" w:after="60" w:line="312" w:lineRule="auto"/>
        <w:jc w:val="both"/>
      </w:pPr>
      <w:r>
        <w:rPr>
          <w:rFonts w:ascii="Times New Roman" w:hAnsi="Times New Roman" w:cs="Times New Roman" w:eastAsia="Times New Roman"/>
          <w:b w:val="0"/>
          <w:i w:val="0"/>
          <w:sz w:val="26"/>
        </w:rPr>
        <w:t>- Luật Doanh nghiệp số 59/2020/QH14 ngày 17 tháng 6 năm 2020 của Quốc hội;</w:t>
      </w:r>
    </w:p>
    <w:p>
      <w:pPr>
        <w:spacing w:before="0" w:after="60" w:line="312" w:lineRule="auto"/>
        <w:jc w:val="both"/>
      </w:pPr>
      <w:r>
        <w:rPr>
          <w:rFonts w:ascii="Times New Roman" w:hAnsi="Times New Roman" w:cs="Times New Roman" w:eastAsia="Times New Roman"/>
          <w:b w:val="0"/>
          <w:i w:val="0"/>
          <w:sz w:val="26"/>
        </w:rPr>
        <w:t>- Luật Thương mại số 36/2005/QH11 ngày 14 tháng 6 năm 2005 của Quốc hội;</w:t>
      </w:r>
    </w:p>
    <w:p>
      <w:pPr>
        <w:spacing w:before="0" w:after="60" w:line="312" w:lineRule="auto"/>
        <w:jc w:val="both"/>
      </w:pPr>
      <w:r>
        <w:rPr>
          <w:rFonts w:ascii="Times New Roman" w:hAnsi="Times New Roman" w:cs="Times New Roman" w:eastAsia="Times New Roman"/>
          <w:b w:val="0"/>
          <w:i w:val="0"/>
          <w:sz w:val="26"/>
        </w:rPr>
        <w:t>- Nghị định số 52/2013/NĐ-CP và Nghị định số 85/2021/NĐ-CP về thương mại điện tử;</w:t>
      </w:r>
    </w:p>
    <w:p>
      <w:pPr>
        <w:spacing w:before="0" w:after="60" w:line="312" w:lineRule="auto"/>
        <w:jc w:val="both"/>
      </w:pPr>
      <w:r>
        <w:rPr>
          <w:rFonts w:ascii="Times New Roman" w:hAnsi="Times New Roman" w:cs="Times New Roman" w:eastAsia="Times New Roman"/>
          <w:b w:val="0"/>
          <w:i w:val="0"/>
          <w:sz w:val="26"/>
        </w:rPr>
        <w:t>- Nghị quyết Đại hội đồng cổ đông Công ty Cổ phần VComm Việt Nam về định hướng phát triển giai đoạn 2027 - 2036.</w:t>
      </w:r>
    </w:p>
    <w:p>
      <w:pPr>
        <w:spacing w:before="120" w:after="80" w:line="312" w:lineRule="auto"/>
        <w:jc w:val="left"/>
      </w:pPr>
      <w:r>
        <w:rPr>
          <w:rFonts w:ascii="Times New Roman" w:hAnsi="Times New Roman" w:cs="Times New Roman" w:eastAsia="Times New Roman"/>
          <w:b/>
          <w:i w:val="0"/>
          <w:sz w:val="26"/>
        </w:rPr>
        <w:t>2. Mục tiêu của Khối Kinh doanh</w:t>
      </w:r>
    </w:p>
    <w:p>
      <w:pPr>
        <w:spacing w:before="0" w:after="120" w:line="312" w:lineRule="auto"/>
        <w:ind w:firstLine="567"/>
        <w:jc w:val="both"/>
      </w:pPr>
      <w:r>
        <w:rPr>
          <w:rFonts w:ascii="Times New Roman" w:hAnsi="Times New Roman" w:cs="Times New Roman" w:eastAsia="Times New Roman"/>
          <w:b w:val="0"/>
          <w:i w:val="0"/>
          <w:sz w:val="26"/>
        </w:rPr>
        <w:t>Phát triển mạng lưới người bán, hệ thống điểm bán offline và khách hàng doanh nghiệp cho toàn nền tảng VComm; bảo đảm các chỉ tiêu giá trị giao dịch, số lượng người bán hoạt động và số điểm nhận hàng theo từng giai đoạn của Đề án Tổng thể. Khối Kinh doanh chịu trách nhiệm chính về doanh thu giao dịch toàn sàn.</w:t>
      </w:r>
    </w:p>
    <w:p>
      <w:pPr>
        <w:spacing w:before="120" w:after="80" w:line="312" w:lineRule="auto"/>
        <w:jc w:val="left"/>
      </w:pPr>
      <w:r>
        <w:rPr>
          <w:rFonts w:ascii="Times New Roman" w:hAnsi="Times New Roman" w:cs="Times New Roman" w:eastAsia="Times New Roman"/>
          <w:b/>
          <w:i w:val="0"/>
          <w:sz w:val="26"/>
        </w:rPr>
        <w:t>3. Phạm vi và nguyên tắc thực hiện</w:t>
      </w:r>
    </w:p>
    <w:p>
      <w:pPr>
        <w:spacing w:before="0" w:after="60" w:line="312" w:lineRule="auto"/>
        <w:jc w:val="both"/>
      </w:pPr>
      <w:r>
        <w:rPr>
          <w:rFonts w:ascii="Times New Roman" w:hAnsi="Times New Roman" w:cs="Times New Roman" w:eastAsia="Times New Roman"/>
          <w:b w:val="0"/>
          <w:i w:val="0"/>
          <w:sz w:val="26"/>
        </w:rPr>
        <w:t>- Tập trung phát triển theo từng cụm phường, quận có mật độ dân cư cao để rút ngắn tuyến xe gom hàng, đạt hiệu quả kinh tế trên từng chuyến xe trước khi mở rộng diện rộng;</w:t>
      </w:r>
    </w:p>
    <w:p>
      <w:pPr>
        <w:spacing w:before="0" w:after="60" w:line="312" w:lineRule="auto"/>
        <w:jc w:val="both"/>
      </w:pPr>
      <w:r>
        <w:rPr>
          <w:rFonts w:ascii="Times New Roman" w:hAnsi="Times New Roman" w:cs="Times New Roman" w:eastAsia="Times New Roman"/>
          <w:b w:val="0"/>
          <w:i w:val="0"/>
          <w:sz w:val="26"/>
        </w:rPr>
        <w:t>- Ưu tiên chất lượng người bán và điểm bán, không chạy theo số lượng đăng ký;</w:t>
      </w:r>
    </w:p>
    <w:p>
      <w:pPr>
        <w:spacing w:before="0" w:after="60" w:line="312" w:lineRule="auto"/>
        <w:jc w:val="both"/>
      </w:pPr>
      <w:r>
        <w:rPr>
          <w:rFonts w:ascii="Times New Roman" w:hAnsi="Times New Roman" w:cs="Times New Roman" w:eastAsia="Times New Roman"/>
          <w:b w:val="0"/>
          <w:i w:val="0"/>
          <w:sz w:val="26"/>
        </w:rPr>
        <w:t>- Gắn quyền lợi của đội ngũ kinh doanh với mức độ gắn bó dài hạn của tệp đối tác đã quản lý.</w:t>
      </w:r>
    </w:p>
    <w:p>
      <w:pPr>
        <w:spacing w:before="200" w:after="120" w:line="312" w:lineRule="auto"/>
        <w:jc w:val="left"/>
      </w:pPr>
      <w:r>
        <w:rPr>
          <w:rFonts w:ascii="Times New Roman" w:hAnsi="Times New Roman" w:cs="Times New Roman" w:eastAsia="Times New Roman"/>
          <w:b/>
          <w:i w:val="0"/>
          <w:sz w:val="28"/>
        </w:rPr>
        <w:t>PHẦN II. NHIỆM VỤ VÀ PHẠM VI PHỤ TRÁCH</w:t>
      </w:r>
    </w:p>
    <w:p>
      <w:pPr>
        <w:spacing w:before="120" w:after="80" w:line="312" w:lineRule="auto"/>
        <w:jc w:val="left"/>
      </w:pPr>
      <w:r>
        <w:rPr>
          <w:rFonts w:ascii="Times New Roman" w:hAnsi="Times New Roman" w:cs="Times New Roman" w:eastAsia="Times New Roman"/>
          <w:b/>
          <w:i w:val="0"/>
          <w:sz w:val="26"/>
        </w:rPr>
        <w:t>1. Phát triển người bán và gian hàng</w:t>
      </w:r>
    </w:p>
    <w:p>
      <w:pPr>
        <w:spacing w:before="0" w:after="60" w:line="312" w:lineRule="auto"/>
        <w:jc w:val="both"/>
      </w:pPr>
      <w:r>
        <w:rPr>
          <w:rFonts w:ascii="Times New Roman" w:hAnsi="Times New Roman" w:cs="Times New Roman" w:eastAsia="Times New Roman"/>
          <w:b w:val="0"/>
          <w:i w:val="0"/>
          <w:sz w:val="26"/>
        </w:rPr>
        <w:t>- Thu hút người bán đang hoạt động trên các sàn thương mại điện tử khác dịch chuyển một phần hoạt động sang VComm thông qua chính sách phí sàn 0% phân tầng 3 - 6 - 12 tháng theo quy mô và công cụ đồng bộ danh mục sản phẩm một chạm.</w:t>
      </w:r>
    </w:p>
    <w:p>
      <w:pPr>
        <w:spacing w:before="0" w:after="60" w:line="312" w:lineRule="auto"/>
        <w:jc w:val="both"/>
      </w:pPr>
      <w:r>
        <w:rPr>
          <w:rFonts w:ascii="Times New Roman" w:hAnsi="Times New Roman" w:cs="Times New Roman" w:eastAsia="Times New Roman"/>
          <w:b w:val="0"/>
          <w:i w:val="0"/>
          <w:sz w:val="26"/>
        </w:rPr>
        <w:t>- Phát triển đội ngũ người bán theo mô hình Dropship và Affiliate: người bán không cần vốn nhập hàng, chỉ cần chọn sản phẩm của Nhà máy sản xuất đăng tải trên hệ thống về gian hàng của mình.</w:t>
      </w:r>
    </w:p>
    <w:p>
      <w:pPr>
        <w:spacing w:before="0" w:after="60" w:line="312" w:lineRule="auto"/>
        <w:jc w:val="both"/>
      </w:pPr>
      <w:r>
        <w:rPr>
          <w:rFonts w:ascii="Times New Roman" w:hAnsi="Times New Roman" w:cs="Times New Roman" w:eastAsia="Times New Roman"/>
          <w:b w:val="0"/>
          <w:i w:val="0"/>
          <w:sz w:val="26"/>
        </w:rPr>
        <w:t>- Hướng dẫn người bán dùng công cụ Mua chung riêng để tự tạo chương trình khuyến mãi, mời tệp khách hàng trung thành đã tích lũy trên các kênh khác chuyển sang mua tại VComm.</w:t>
      </w:r>
    </w:p>
    <w:p>
      <w:pPr>
        <w:spacing w:before="120" w:after="80" w:line="312" w:lineRule="auto"/>
        <w:jc w:val="left"/>
      </w:pPr>
      <w:r>
        <w:rPr>
          <w:rFonts w:ascii="Times New Roman" w:hAnsi="Times New Roman" w:cs="Times New Roman" w:eastAsia="Times New Roman"/>
          <w:b/>
          <w:i w:val="0"/>
          <w:sz w:val="26"/>
        </w:rPr>
        <w:t>2. Phát triển mạng lưới điểm bán offline và kênh F2B2B</w:t>
      </w:r>
    </w:p>
    <w:p>
      <w:pPr>
        <w:spacing w:before="0" w:after="60" w:line="312" w:lineRule="auto"/>
        <w:jc w:val="both"/>
      </w:pPr>
      <w:r>
        <w:rPr>
          <w:rFonts w:ascii="Times New Roman" w:hAnsi="Times New Roman" w:cs="Times New Roman" w:eastAsia="Times New Roman"/>
          <w:b w:val="0"/>
          <w:i w:val="0"/>
          <w:sz w:val="26"/>
        </w:rPr>
        <w:t>- Tuyển chọn Trạm Hub theo từng cụm phường, quận có mật độ dân cư cao; tặng máy bán hàng cảm ứng và phần mềm quản lý miễn phí trọn đời cho các chủ tiệm tạp hóa đầu tiên cam kết đồng hành.</w:t>
      </w:r>
    </w:p>
    <w:p>
      <w:pPr>
        <w:spacing w:before="0" w:after="60" w:line="312" w:lineRule="auto"/>
        <w:jc w:val="both"/>
      </w:pPr>
      <w:r>
        <w:rPr>
          <w:rFonts w:ascii="Times New Roman" w:hAnsi="Times New Roman" w:cs="Times New Roman" w:eastAsia="Times New Roman"/>
          <w:b w:val="0"/>
          <w:i w:val="0"/>
          <w:sz w:val="26"/>
        </w:rPr>
        <w:t>- Cam kết mức thu nhập hoa hồng tối thiểu từ hoạt động giao nhận kiện hàng, giúp chủ tiệm có thêm thu nhập thụ động mà không cần bỏ vốn nhập hàng.</w:t>
      </w:r>
    </w:p>
    <w:p>
      <w:pPr>
        <w:spacing w:before="0" w:after="60" w:line="312" w:lineRule="auto"/>
        <w:jc w:val="both"/>
      </w:pPr>
      <w:r>
        <w:rPr>
          <w:rFonts w:ascii="Times New Roman" w:hAnsi="Times New Roman" w:cs="Times New Roman" w:eastAsia="Times New Roman"/>
          <w:b w:val="0"/>
          <w:i w:val="0"/>
          <w:sz w:val="26"/>
        </w:rPr>
        <w:t>- Phát triển kênh nhập hàng trực tiếp từ Nhà máy cho Trạm Hub và người bán trên sàn; gom đơn nhập hàng theo khu vực địa lý để đạt mốc số lượng tối thiểu và hưởng mức giá tận gốc.</w:t>
      </w:r>
    </w:p>
    <w:p>
      <w:pPr>
        <w:spacing w:before="120" w:after="80" w:line="312" w:lineRule="auto"/>
        <w:jc w:val="left"/>
      </w:pPr>
      <w:r>
        <w:rPr>
          <w:rFonts w:ascii="Times New Roman" w:hAnsi="Times New Roman" w:cs="Times New Roman" w:eastAsia="Times New Roman"/>
          <w:b/>
          <w:i w:val="0"/>
          <w:sz w:val="26"/>
        </w:rPr>
        <w:t>3. Quản trị tệp khách hàng và doanh số</w:t>
      </w:r>
    </w:p>
    <w:p>
      <w:pPr>
        <w:spacing w:before="0" w:after="60" w:line="312" w:lineRule="auto"/>
        <w:jc w:val="both"/>
      </w:pPr>
      <w:r>
        <w:rPr>
          <w:rFonts w:ascii="Times New Roman" w:hAnsi="Times New Roman" w:cs="Times New Roman" w:eastAsia="Times New Roman"/>
          <w:b w:val="0"/>
          <w:i w:val="0"/>
          <w:sz w:val="26"/>
        </w:rPr>
        <w:t>- Quản trị tệp khách hàng và điểm bán theo mã giới thiệu, bảo đảm mọi giao dịch phát sinh đều ghi nhận đúng về cá nhân hoặc đội ngũ phụ trách.</w:t>
      </w:r>
    </w:p>
    <w:p>
      <w:pPr>
        <w:spacing w:before="0" w:after="60" w:line="312" w:lineRule="auto"/>
        <w:jc w:val="both"/>
      </w:pPr>
      <w:r>
        <w:rPr>
          <w:rFonts w:ascii="Times New Roman" w:hAnsi="Times New Roman" w:cs="Times New Roman" w:eastAsia="Times New Roman"/>
          <w:b w:val="0"/>
          <w:i w:val="0"/>
          <w:sz w:val="26"/>
        </w:rPr>
        <w:t>- Theo dõi tỷ lệ người bán có đơn hàng phát sinh trong 30 ngày đầu, doanh thu bình quân mỗi người bán và tỷ lệ nhập lại hằng tháng của nhóm Trạm Hub.</w:t>
      </w:r>
    </w:p>
    <w:p>
      <w:pPr>
        <w:spacing w:before="0" w:after="60" w:line="312" w:lineRule="auto"/>
        <w:jc w:val="both"/>
      </w:pPr>
      <w:r>
        <w:rPr>
          <w:rFonts w:ascii="Times New Roman" w:hAnsi="Times New Roman" w:cs="Times New Roman" w:eastAsia="Times New Roman"/>
          <w:b w:val="0"/>
          <w:i w:val="0"/>
          <w:sz w:val="26"/>
        </w:rPr>
        <w:t>- Phối hợp với Khối Logistics và O2O trong việc tuyển chọn và đào tạo chủ điểm bán.</w:t>
      </w:r>
    </w:p>
    <w:p>
      <w:pPr>
        <w:spacing w:before="120" w:after="80" w:line="312" w:lineRule="auto"/>
        <w:jc w:val="left"/>
      </w:pPr>
      <w:r>
        <w:rPr>
          <w:rFonts w:ascii="Times New Roman" w:hAnsi="Times New Roman" w:cs="Times New Roman" w:eastAsia="Times New Roman"/>
          <w:b/>
          <w:i w:val="0"/>
          <w:sz w:val="26"/>
        </w:rPr>
        <w:t>4. Cơ chế hoa hồng ghi nhận kép</w:t>
      </w:r>
    </w:p>
    <w:p>
      <w:pPr>
        <w:spacing w:before="0" w:after="120" w:line="312" w:lineRule="auto"/>
        <w:ind w:firstLine="567"/>
        <w:jc w:val="both"/>
      </w:pPr>
      <w:r>
        <w:rPr>
          <w:rFonts w:ascii="Times New Roman" w:hAnsi="Times New Roman" w:cs="Times New Roman" w:eastAsia="Times New Roman"/>
          <w:b w:val="0"/>
          <w:i w:val="0"/>
          <w:sz w:val="26"/>
        </w:rPr>
        <w:t>Đội ngũ Mạng lưới Kinh doanh được áp dụng cơ chế hoa hồng gắn mã giới thiệu theo cả hai chiều:</w:t>
      </w:r>
    </w:p>
    <w:p>
      <w:pPr>
        <w:spacing w:before="0" w:after="60" w:line="312" w:lineRule="auto"/>
        <w:jc w:val="both"/>
      </w:pPr>
      <w:r>
        <w:rPr>
          <w:rFonts w:ascii="Times New Roman" w:hAnsi="Times New Roman" w:cs="Times New Roman" w:eastAsia="Times New Roman"/>
          <w:b w:val="0"/>
          <w:i w:val="0"/>
          <w:sz w:val="26"/>
        </w:rPr>
        <w:t>- Hoa hồng phát triển mới khi thu hút người bán, chủ Trạm Hub hoặc khách hàng doanh nghiệp gia nhập nền tảng;</w:t>
      </w:r>
    </w:p>
    <w:p>
      <w:pPr>
        <w:spacing w:before="0" w:after="60" w:line="312" w:lineRule="auto"/>
        <w:jc w:val="both"/>
      </w:pPr>
      <w:r>
        <w:rPr>
          <w:rFonts w:ascii="Times New Roman" w:hAnsi="Times New Roman" w:cs="Times New Roman" w:eastAsia="Times New Roman"/>
          <w:b w:val="0"/>
          <w:i w:val="0"/>
          <w:sz w:val="26"/>
        </w:rPr>
        <w:t>- Hoa hồng duy trì theo doanh số phát sinh định kỳ từ tệp đối tác đã quản lý, nhằm khuyến khích chăm sóc dài hạn, không chỉ chạy theo chỉ tiêu tuyển mới.</w:t>
      </w:r>
    </w:p>
    <w:p>
      <w:pPr>
        <w:spacing w:before="200" w:after="120" w:line="312" w:lineRule="auto"/>
        <w:jc w:val="left"/>
      </w:pPr>
      <w:r>
        <w:rPr>
          <w:rFonts w:ascii="Times New Roman" w:hAnsi="Times New Roman" w:cs="Times New Roman" w:eastAsia="Times New Roman"/>
          <w:b/>
          <w:i w:val="0"/>
          <w:sz w:val="28"/>
        </w:rPr>
        <w:t>PHẦN III. KẾ HOẠCH TRIỂN KHAI THEO GIAI ĐOẠN</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Giai đoạn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Thời gian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Chỉ tiêu trọng tâm</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0 - Chuẩn bị thị trường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Tìm kiếm và đàm phán nguồn hàng với các Nhà sản xuất, Nhà cung cấp tiềm năng; tuyển chọn đội ngũ KOC/KOL; chạy Livestream thử nghiệm trên mạng xã hội và tích lũy tệp khách hàng chờ chuyển đổi.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1 - Thiết lập hạ tầng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Ký kết hợp tác với 30 thương hiệu hàng tiêu dùng nhanh và nhà máy sản xuất (300+ sản phẩm nguồn); tuyển 50 Đội Kinh doanh Nòng cốt.</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2 - Thử nghiệm</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Mở đăng ký thử nghiệm cho nhóm người bán thí điểm đầu tiên; chạy thử luồng nhập hàng F2B2B cho 50 Trạm Hub thí điểm; đạt 500 đơn nhập hàng F2B2B thành công.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3 - Ra mắt Quy mô lớn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III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Kích hoạt trên 500 nhân sự Kinh doanh đồng loạt, phủ trên 1.000 cửa hàng F2B2B và thu hút 100.000 người dùng; mở đăng ký đại trà song song chiến dịch Ra mắt.</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4 - Tối ưu lợi nhuận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IV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Nâng tỷ lệ người bán có đơn hàng phát sinh thường xuyên; tỷ lệ nhập lại F2B2B đạt trên 60%; nâng chất lượng tệp đối tác, không chạy theo số lượng.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2028 - 2031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2028 - 2031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Mở rộng mạng lưới ra toàn quốc; mở rộng kết nối các nhà máy nông sản chế biến, thực phẩm đóng gói và hàng tiêu dùng nhập khẩu trực tiếp.</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2032 - 2036</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2032 - 2036</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Hoàn thiện mạng lưới điểm bán toàn quốc; khai thác dịch vụ dữ liệu bán lẻ cho nhà sản xuất.</w:t>
            </w:r>
          </w:p>
        </w:tc>
      </w:tr>
    </w:tbl>
    <w:p>
      <w:pPr>
        <w:spacing w:after="0"/>
      </w:pPr>
    </w:p>
    <w:p>
      <w:pPr>
        <w:spacing w:before="200" w:after="120" w:line="312" w:lineRule="auto"/>
        <w:jc w:val="left"/>
      </w:pPr>
      <w:r>
        <w:rPr>
          <w:rFonts w:ascii="Times New Roman" w:hAnsi="Times New Roman" w:cs="Times New Roman" w:eastAsia="Times New Roman"/>
          <w:b/>
          <w:i w:val="0"/>
          <w:sz w:val="28"/>
        </w:rPr>
        <w:t>PHẦN IV. NHU CẦU NHÂN SỰ VÀ NGÂN SÁCH</w:t>
      </w:r>
    </w:p>
    <w:p>
      <w:pPr>
        <w:spacing w:before="120" w:after="80" w:line="312" w:lineRule="auto"/>
        <w:jc w:val="left"/>
      </w:pPr>
      <w:r>
        <w:rPr>
          <w:rFonts w:ascii="Times New Roman" w:hAnsi="Times New Roman" w:cs="Times New Roman" w:eastAsia="Times New Roman"/>
          <w:b/>
          <w:i w:val="0"/>
          <w:sz w:val="26"/>
        </w:rPr>
        <w:t>1. Cơ cấu nhân sự</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Nhóm chuyên môn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Nhiệm vụ chính</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Quy mô dự kiến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Đội Kinh doanh Nòng cốt</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Phát triển người bán, Trạm Hub và khách hàng doanh nghiệp theo mã giới thiệu</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50 người (cuối Quý I năm 2027), mở rộng lên 500+ ở Giai đoạn 3</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Phát triển Nhà cung cấp</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Thẩm định và đàm phán với Nhà máy, Nhà cung cấp</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03 - 05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Chăm sóc đối tác</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Đào tạo, hỗ trợ vận hành và duy trì mức độ gắn bó của người bán, chủ trạm</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05 - 08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Quản trị dữ liệu kinh doanh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dõi chỉ tiêu, đối soát hoa hồng và mã giới thiệu</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02 - 03 người</w:t>
            </w:r>
          </w:p>
        </w:tc>
      </w:tr>
    </w:tbl>
    <w:p>
      <w:pPr>
        <w:spacing w:after="0"/>
      </w:pPr>
    </w:p>
    <w:p>
      <w:pPr>
        <w:spacing w:before="0" w:after="120" w:line="312" w:lineRule="auto"/>
        <w:ind w:firstLine="567"/>
        <w:jc w:val="both"/>
      </w:pPr>
      <w:r>
        <w:rPr>
          <w:rFonts w:ascii="Times New Roman" w:hAnsi="Times New Roman" w:cs="Times New Roman" w:eastAsia="Times New Roman"/>
          <w:b w:val="0"/>
          <w:i w:val="0"/>
          <w:sz w:val="26"/>
        </w:rPr>
        <w:t>Khối Kinh doanh duy trì đội ngũ nội bộ theo Hợp đồng dịch vụ và thuê thêm đơn vị thứ ba để mở rộng nhanh ở Giai đoạn 3.</w:t>
      </w:r>
    </w:p>
    <w:p>
      <w:pPr>
        <w:spacing w:before="120" w:after="80" w:line="312" w:lineRule="auto"/>
        <w:jc w:val="left"/>
      </w:pPr>
      <w:r>
        <w:rPr>
          <w:rFonts w:ascii="Times New Roman" w:hAnsi="Times New Roman" w:cs="Times New Roman" w:eastAsia="Times New Roman"/>
          <w:b/>
          <w:i w:val="0"/>
          <w:sz w:val="26"/>
        </w:rPr>
        <w:t>2. Ngân sách và cơ chế chi trả</w:t>
      </w:r>
    </w:p>
    <w:p>
      <w:pPr>
        <w:spacing w:before="0" w:after="60" w:line="312" w:lineRule="auto"/>
        <w:jc w:val="both"/>
      </w:pPr>
      <w:r>
        <w:rPr>
          <w:rFonts w:ascii="Times New Roman" w:hAnsi="Times New Roman" w:cs="Times New Roman" w:eastAsia="Times New Roman"/>
          <w:b w:val="0"/>
          <w:i w:val="0"/>
          <w:sz w:val="26"/>
        </w:rPr>
        <w:t>- Hoa hồng Khối Kinh doanh chiếm 2,0% - 3,0% giá trị giao dịch, chi trả theo mã giới thiệu đã ghi nhận.</w:t>
      </w:r>
    </w:p>
    <w:p>
      <w:pPr>
        <w:spacing w:before="0" w:after="60" w:line="312" w:lineRule="auto"/>
        <w:jc w:val="both"/>
      </w:pPr>
      <w:r>
        <w:rPr>
          <w:rFonts w:ascii="Times New Roman" w:hAnsi="Times New Roman" w:cs="Times New Roman" w:eastAsia="Times New Roman"/>
          <w:b w:val="0"/>
          <w:i w:val="0"/>
          <w:sz w:val="26"/>
        </w:rPr>
        <w:t>- Chi phí thu hút người bán, chủ trạm và khách hàng doanh nghiệp ban đầu được cấu thành trong ngân sách Trợ giá và Marketing tăng trưởng.</w:t>
      </w:r>
    </w:p>
    <w:p>
      <w:pPr>
        <w:spacing w:before="200" w:after="120" w:line="312" w:lineRule="auto"/>
        <w:jc w:val="left"/>
      </w:pPr>
      <w:r>
        <w:rPr>
          <w:rFonts w:ascii="Times New Roman" w:hAnsi="Times New Roman" w:cs="Times New Roman" w:eastAsia="Times New Roman"/>
          <w:b/>
          <w:i w:val="0"/>
          <w:sz w:val="28"/>
        </w:rPr>
        <w:t>PHẦN V. CHỈ SỐ GIÁM SÁT VÀ ĐÁNH GIÁ</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Chỉ số</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Mục tiêu</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Tần suất</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Số người bán đăng ký thành công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chỉ tiêu từng giai đoạn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tuần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người bán có đơn hàng trong 30 ngày đầu</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dõi xu hướng tăng dần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Số Trạm Hub hoạt động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chỉ tiêu từng giai đoạn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Số đơn nhập hàng F2B2B thành công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chỉ tiêu từng giai đoạn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tuần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nhập lại F2B2B</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Trên 60% (cuối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Doanh thu bình quân mỗi người bán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dõi xu hướng tăng dần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Giá trị giao dịch toàn sàn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chỉ tiêu Đề án Tổng thể</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tuần</w:t>
            </w:r>
          </w:p>
        </w:tc>
      </w:tr>
    </w:tbl>
    <w:p>
      <w:pPr>
        <w:spacing w:after="0"/>
      </w:pPr>
    </w:p>
    <w:p>
      <w:pPr>
        <w:spacing w:before="200" w:after="120" w:line="312" w:lineRule="auto"/>
        <w:jc w:val="left"/>
      </w:pPr>
      <w:r>
        <w:rPr>
          <w:rFonts w:ascii="Times New Roman" w:hAnsi="Times New Roman" w:cs="Times New Roman" w:eastAsia="Times New Roman"/>
          <w:b/>
          <w:i w:val="0"/>
          <w:sz w:val="28"/>
        </w:rPr>
        <w:t>PHẦN VI. PHỐI HỢP LIÊN KHỐI</w:t>
      </w:r>
    </w:p>
    <w:p>
      <w:pPr>
        <w:spacing w:before="0" w:after="60" w:line="312" w:lineRule="auto"/>
        <w:jc w:val="both"/>
      </w:pPr>
      <w:r>
        <w:rPr>
          <w:rFonts w:ascii="Times New Roman" w:hAnsi="Times New Roman" w:cs="Times New Roman" w:eastAsia="Times New Roman"/>
          <w:b w:val="0"/>
          <w:i w:val="0"/>
          <w:sz w:val="26"/>
        </w:rPr>
        <w:t>- Với Khối Marketing và Đội KOC: phối hợp triển khai chiến dịch Ra mắt Quy mô lớn và các chương trình đồng thương hiệu với nhãn hàng tiêu dùng.</w:t>
      </w:r>
    </w:p>
    <w:p>
      <w:pPr>
        <w:spacing w:before="0" w:after="60" w:line="312" w:lineRule="auto"/>
        <w:jc w:val="both"/>
      </w:pPr>
      <w:r>
        <w:rPr>
          <w:rFonts w:ascii="Times New Roman" w:hAnsi="Times New Roman" w:cs="Times New Roman" w:eastAsia="Times New Roman"/>
          <w:b w:val="0"/>
          <w:i w:val="0"/>
          <w:sz w:val="26"/>
        </w:rPr>
        <w:t>- Với Khối Logistics và O2O: thống nhất tiêu chuẩn tuyển chọn Trạm Hub, tiêu chuẩn dịch vụ và quy trình đào tạo chủ trạm.</w:t>
      </w:r>
    </w:p>
    <w:p>
      <w:pPr>
        <w:spacing w:before="0" w:after="60" w:line="312" w:lineRule="auto"/>
        <w:jc w:val="both"/>
      </w:pPr>
      <w:r>
        <w:rPr>
          <w:rFonts w:ascii="Times New Roman" w:hAnsi="Times New Roman" w:cs="Times New Roman" w:eastAsia="Times New Roman"/>
          <w:b w:val="0"/>
          <w:i w:val="0"/>
          <w:sz w:val="26"/>
        </w:rPr>
        <w:t>- Với Khối Công nghệ: đặt yêu cầu cho Cổng Người bán, công cụ đồng bộ danh mục sản phẩm và hệ thống chia hoa hồng tự động.</w:t>
      </w:r>
    </w:p>
    <w:p>
      <w:pPr>
        <w:spacing w:before="0" w:after="60" w:line="312" w:lineRule="auto"/>
        <w:jc w:val="both"/>
      </w:pPr>
      <w:r>
        <w:rPr>
          <w:rFonts w:ascii="Times New Roman" w:hAnsi="Times New Roman" w:cs="Times New Roman" w:eastAsia="Times New Roman"/>
          <w:b w:val="0"/>
          <w:i w:val="0"/>
          <w:sz w:val="26"/>
        </w:rPr>
        <w:t>- Với Khối Tài chính - Kế toán: đối soát doanh số, hoa hồng và công nợ của tệp đối tác.</w:t>
      </w:r>
    </w:p>
    <w:p>
      <w:pPr>
        <w:spacing w:before="0" w:after="60" w:line="312" w:lineRule="auto"/>
        <w:jc w:val="both"/>
      </w:pPr>
      <w:r>
        <w:rPr>
          <w:rFonts w:ascii="Times New Roman" w:hAnsi="Times New Roman" w:cs="Times New Roman" w:eastAsia="Times New Roman"/>
          <w:b w:val="0"/>
          <w:i w:val="0"/>
          <w:sz w:val="26"/>
        </w:rPr>
        <w:t>- Với Khối Pháp chế - Tuân thủ: kiểm soát hồ sơ pháp lý của Nhà cung cấp và người bán trước khi ký kết.</w:t>
      </w:r>
    </w:p>
    <w:p>
      <w:pPr>
        <w:spacing w:before="200" w:after="120" w:line="312" w:lineRule="auto"/>
        <w:jc w:val="left"/>
      </w:pPr>
      <w:r>
        <w:rPr>
          <w:rFonts w:ascii="Times New Roman" w:hAnsi="Times New Roman" w:cs="Times New Roman" w:eastAsia="Times New Roman"/>
          <w:b/>
          <w:i w:val="0"/>
          <w:sz w:val="28"/>
        </w:rPr>
        <w:t>PHẦN VII. TỔ CHỨC THỰC HIỆN</w:t>
      </w:r>
    </w:p>
    <w:p>
      <w:pPr>
        <w:spacing w:before="0" w:after="120" w:line="312" w:lineRule="auto"/>
        <w:ind w:firstLine="567"/>
        <w:jc w:val="both"/>
      </w:pPr>
      <w:r>
        <w:rPr>
          <w:rFonts w:ascii="Times New Roman" w:hAnsi="Times New Roman" w:cs="Times New Roman" w:eastAsia="Times New Roman"/>
          <w:b w:val="0"/>
          <w:i w:val="0"/>
          <w:sz w:val="26"/>
        </w:rPr>
        <w:t>Khối Kinh doanh chủ trì phát triển mạng lưới điểm bán, người bán và khách hàng doanh nghiệp; định kỳ báo cáo tiến độ và kết quả thực hiện về Ban Tổng Giám đốc.</w:t>
      </w:r>
    </w:p>
    <w:p>
      <w:pPr>
        <w:spacing w:before="120" w:after="120" w:line="312" w:lineRule="auto"/>
        <w:ind w:firstLine="567"/>
        <w:jc w:val="both"/>
      </w:pPr>
      <w:r>
        <w:rPr>
          <w:rFonts w:ascii="Times New Roman" w:hAnsi="Times New Roman" w:cs="Times New Roman" w:eastAsia="Times New Roman"/>
          <w:b w:val="0"/>
          <w:i w:val="0"/>
          <w:sz w:val="26"/>
        </w:rPr>
        <w:t>Khối Kinh doanh và các đơn vị trực thuộc Công ty Cổ phần VComm Việt Nam có trách nhiệm triển khai thực hiện nghiêm túc Đề án này./.</w:t>
      </w:r>
    </w:p>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5216"/>
        <w:gridCol w:w="3855"/>
      </w:tblGrid>
      <w:tr>
        <w:tc>
          <w:tcPr>
            <w:tcW w:type="dxa" w:w="5216"/>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4"/>
              </w:rPr>
              <w:t xml:space="preserve">- Hội đồng Quản trị (để báo cáo);</w:t>
            </w:r>
          </w:p>
          <w:p>
            <w:pPr>
              <w:spacing w:after="0"/>
            </w:pPr>
            <w:r>
              <w:rPr>
                <w:rFonts w:ascii="Times New Roman" w:cs="Times New Roman" w:eastAsia="Times New Roman" w:hAnsi="Times New Roman"/>
                <w:sz w:val="22"/>
                <w:szCs w:val="24"/>
              </w:rPr>
              <w:t xml:space="preserve">- Ban Tổng Giám đốc (để chỉ đạo);</w:t>
            </w:r>
          </w:p>
          <w:p>
            <w:pPr>
              <w:spacing w:after="0"/>
            </w:pPr>
            <w:r>
              <w:rPr>
                <w:rFonts w:ascii="Times New Roman" w:cs="Times New Roman" w:eastAsia="Times New Roman" w:hAnsi="Times New Roman"/>
                <w:sz w:val="22"/>
                <w:szCs w:val="24"/>
              </w:rPr>
              <w:t xml:space="preserve">- Các Khối, Phòng, Ban thuộc Công ty;</w:t>
            </w:r>
          </w:p>
          <w:p>
            <w:pPr>
              <w:spacing w:after="0"/>
            </w:pPr>
            <w:r>
              <w:rPr>
                <w:rFonts w:ascii="Times New Roman" w:cs="Times New Roman" w:eastAsia="Times New Roman" w:hAnsi="Times New Roman"/>
                <w:sz w:val="22"/>
                <w:szCs w:val="24"/>
              </w:rPr>
              <w:t xml:space="preserve">- Lưu: VT, DA.</w:t>
            </w:r>
          </w:p>
        </w:tc>
        <w:tc>
          <w:tcPr>
            <w:tcW w:type="dxa" w:w="3855"/>
          </w:tcPr>
          <w:p>
            <w:pPr>
              <w:spacing w:after="0"/>
              <w:jc w:val="center"/>
            </w:pPr>
            <w:r>
              <w:rPr>
                <w:rFonts w:ascii="Times New Roman" w:cs="Times New Roman" w:eastAsia="Times New Roman" w:hAnsi="Times New Roman"/>
                <w:b/>
                <w:bCs/>
                <w:sz w:val="26"/>
                <w:szCs w:val="26"/>
              </w:rPr>
              <w:t xml:space="preserve">TỔNG GIÁM ĐỐC</w:t>
            </w:r>
          </w:p>
          <w:p>
            <w:pPr>
              <w:spacing w:after="0"/>
              <w:jc w:val="center"/>
            </w:pPr>
            <w:r>
              <w:rPr>
                <w:rFonts w:ascii="Times New Roman" w:cs="Times New Roman" w:eastAsia="Times New Roman" w:hAnsi="Times New Roman"/>
                <w:i/>
                <w:iCs/>
                <w:sz w:val="26"/>
                <w:szCs w:val="26"/>
              </w:rPr>
              <w:t xml:space="preserve">(Ký, ghi rõ họ tên và đóng dấu)</w:t>
            </w:r>
          </w:p>
          <w:p>
            <w:pPr>
              <w:spacing w:after="0"/>
            </w:pPr>
          </w:p>
          <w:p>
            <w:pPr>
              <w:spacing w:after="0"/>
            </w:pPr>
          </w:p>
          <w:p>
            <w:pPr>
              <w:spacing w:after="0"/>
            </w:pPr>
          </w:p>
        </w:tc>
      </w:tr>
    </w:tbl>
    <w:sectPr>
      <w:footerReference w:type="default" r:id="rId7"/>
      <w:footerReference w:type="first" r:id="rId8"/>
      <w:pgSz w:w="11906" w:h="16838" w:orient="portrait"/>
      <w:pgMar w:top="1134" w:right="1134"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2026-10-05T05:12:11.859Z</dcterms:created>
  <dcterms:modified xsi:type="dcterms:W3CDTF">2026-10-05T05:12:11.859Z</dcterms:modified>
</cp:coreProperties>
</file>

<file path=docProps/custom.xml><?xml version="1.0" encoding="utf-8"?>
<Properties xmlns="http://schemas.openxmlformats.org/officeDocument/2006/custom-properties" xmlns:vt="http://schemas.openxmlformats.org/officeDocument/2006/docPropsVTypes"/>
</file>