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40"/>
          <w:left w:type="dxa" w:w="0"/>
          <w:bottom w:type="dxa" w:w="40"/>
          <w:right w:type="dxa" w:w="0"/>
        </w:tblCellMar>
      </w:tblPr>
      <w:tblGrid>
        <w:gridCol w:w="3742"/>
        <w:gridCol w:w="5329"/>
      </w:tblGrid>
      <w:tr>
        <w:tc>
          <w:tcPr>
            <w:tcW w:type="dxa" w:w="3742"/>
          </w:tcPr>
          <w:p>
            <w:pPr>
              <w:spacing w:after="0"/>
              <w:jc w:val="center"/>
            </w:pPr>
            <w:r>
              <w:rPr>
                <w:rFonts w:ascii="Times New Roman" w:cs="Times New Roman" w:eastAsia="Times New Roman" w:hAnsi="Times New Roman"/>
                <w:b/>
                <w:bCs/>
                <w:sz w:val="26"/>
                <w:szCs w:val="26"/>
              </w:rPr>
              <w:t xml:space="preserve">CÔNG TY CỔ PHẦN VCOMM VIỆT NAM</w:t>
            </w:r>
          </w:p>
          <w:p>
            <w:pPr>
              <w:pBdr>
                <w:bottom w:val="single" w:color="000000" w:sz="6" w:space="1"/>
              </w:pBdr>
              <w:spacing w:after="0"/>
              <w:ind w:left="1020" w:right="1020"/>
              <w:jc w:val="center"/>
            </w:pPr>
          </w:p>
          <w:p>
            <w:pPr>
              <w:spacing w:after="0" w:before="40"/>
              <w:jc w:val="center"/>
            </w:pPr>
            <w:r>
              <w:rPr>
                <w:rFonts w:ascii="Times New Roman" w:cs="Times New Roman" w:eastAsia="Times New Roman" w:hAnsi="Times New Roman"/>
                <w:sz w:val="26"/>
                <w:szCs w:val="26"/>
              </w:rPr>
              <w:t>Số: 08/KH-VCOMM</w:t>
            </w:r>
          </w:p>
        </w:tc>
        <w:tc>
          <w:tcPr>
            <w:tcW w:type="dxa" w:w="5329"/>
          </w:tcPr>
          <w:p>
            <w:pPr>
              <w:spacing w:after="0"/>
              <w:jc w:val="center"/>
            </w:pPr>
            <w:r>
              <w:rPr>
                <w:rFonts w:ascii="Times New Roman" w:cs="Times New Roman" w:eastAsia="Times New Roman" w:hAnsi="Times New Roman"/>
                <w:b/>
                <w:bCs/>
                <w:sz w:val="24"/>
                <w:szCs w:val="24"/>
              </w:rPr>
              <w:t xml:space="preserve">CỘNG HÒA XÃ HỘI CHỦ NGHĨA VIỆT NAM</w:t>
            </w:r>
          </w:p>
          <w:p>
            <w:pPr>
              <w:spacing w:after="0"/>
              <w:jc w:val="center"/>
            </w:pPr>
            <w:r>
              <w:rPr>
                <w:rFonts w:ascii="Times New Roman" w:cs="Times New Roman" w:eastAsia="Times New Roman" w:hAnsi="Times New Roman"/>
                <w:b/>
                <w:bCs/>
                <w:sz w:val="26"/>
                <w:szCs w:val="26"/>
              </w:rPr>
              <w:t xml:space="preserve">Độc lập - Tự do - Hạnh phúc</w:t>
            </w:r>
          </w:p>
          <w:p>
            <w:pPr>
              <w:pBdr>
                <w:bottom w:val="single" w:color="000000" w:sz="6" w:space="1"/>
              </w:pBdr>
              <w:spacing w:after="0"/>
              <w:ind w:left="964" w:right="964"/>
              <w:jc w:val="center"/>
            </w:pPr>
          </w:p>
          <w:p>
            <w:pPr>
              <w:spacing w:after="0" w:before="40"/>
              <w:jc w:val="center"/>
            </w:pPr>
            <w:r>
              <w:rPr>
                <w:rFonts w:ascii="Times New Roman" w:cs="Times New Roman" w:eastAsia="Times New Roman" w:hAnsi="Times New Roman"/>
                <w:i/>
                <w:iCs/>
                <w:sz w:val="26"/>
                <w:szCs w:val="26"/>
              </w:rPr>
              <w:t>TP. Hồ Chí Minh, ngày 5 tháng 10 năm 2026</w:t>
            </w:r>
          </w:p>
        </w:tc>
      </w:tr>
    </w:tbl>
    <w:p>
      <w:pPr>
        <w:spacing w:before="120" w:after="120" w:line="312" w:lineRule="auto"/>
        <w:jc w:val="center"/>
      </w:pPr>
      <w:r>
        <w:rPr>
          <w:rFonts w:ascii="Times New Roman" w:hAnsi="Times New Roman" w:cs="Times New Roman" w:eastAsia="Times New Roman"/>
          <w:b/>
          <w:i w:val="0"/>
          <w:sz w:val="28"/>
        </w:rPr>
        <w:t>ĐỀ ÁN</w:t>
      </w:r>
    </w:p>
    <w:p>
      <w:pPr>
        <w:spacing w:before="0" w:after="120" w:line="312" w:lineRule="auto"/>
        <w:jc w:val="center"/>
      </w:pPr>
      <w:r>
        <w:rPr>
          <w:rFonts w:ascii="Times New Roman" w:hAnsi="Times New Roman" w:cs="Times New Roman" w:eastAsia="Times New Roman"/>
          <w:b/>
          <w:i w:val="0"/>
          <w:sz w:val="26"/>
        </w:rPr>
        <w:t>Vận hành chuỗi cung ứng, mạng lưới Trạm Hub và mô hình bán lẻ hợp kênh O2O của VComm giai đoạn 2027 - 2036</w:t>
      </w:r>
    </w:p>
    <w:p>
      <w:pPr>
        <w:spacing w:before="0" w:after="80" w:line="312" w:lineRule="auto"/>
        <w:jc w:val="center"/>
      </w:pPr>
      <w:r>
        <w:rPr>
          <w:rFonts w:ascii="Times New Roman" w:hAnsi="Times New Roman" w:cs="Times New Roman" w:eastAsia="Times New Roman"/>
          <w:b/>
          <w:i w:val="0"/>
          <w:sz w:val="26"/>
        </w:rPr>
        <w:t>CÔNG TY CỔ PHẦN VCOMM VIỆT NAM</w:t>
      </w:r>
    </w:p>
    <w:p>
      <w:pPr>
        <w:spacing w:before="0" w:after="80" w:line="312" w:lineRule="auto"/>
        <w:jc w:val="center"/>
      </w:pPr>
      <w:r>
        <w:rPr>
          <w:rFonts w:ascii="Times New Roman" w:hAnsi="Times New Roman" w:cs="Times New Roman" w:eastAsia="Times New Roman"/>
          <w:b/>
          <w:i w:val="0"/>
          <w:sz w:val="26"/>
        </w:rPr>
        <w:t>KHỐI LOGISTICS &amp; O2O</w:t>
      </w:r>
    </w:p>
    <w:p>
      <w:pPr>
        <w:spacing w:before="0" w:after="200" w:line="312" w:lineRule="auto"/>
        <w:jc w:val="center"/>
      </w:pPr>
      <w:r>
        <w:rPr>
          <w:rFonts w:ascii="Times New Roman" w:hAnsi="Times New Roman" w:cs="Times New Roman" w:eastAsia="Times New Roman"/>
          <w:b w:val="0"/>
          <w:i/>
          <w:sz w:val="24"/>
        </w:rPr>
        <w:t>Tài liệu tham chiếu: Đề án Tổng thể VComm giai đoạn 2027 - 2036 (số 01/KH-VCOMM).</w:t>
      </w:r>
    </w:p>
    <w:p>
      <w:pPr>
        <w:spacing w:before="200" w:after="120" w:line="312" w:lineRule="auto"/>
        <w:jc w:val="left"/>
      </w:pPr>
      <w:r>
        <w:rPr>
          <w:rFonts w:ascii="Times New Roman" w:hAnsi="Times New Roman" w:cs="Times New Roman" w:eastAsia="Times New Roman"/>
          <w:b/>
          <w:i w:val="0"/>
          <w:sz w:val="28"/>
        </w:rPr>
        <w:t>PHẦN I. CĂN CỨ PHÁP LÝ VÀ MỤC TIÊU</w:t>
      </w:r>
    </w:p>
    <w:p>
      <w:pPr>
        <w:spacing w:before="120" w:after="80" w:line="312" w:lineRule="auto"/>
        <w:jc w:val="left"/>
      </w:pPr>
      <w:r>
        <w:rPr>
          <w:rFonts w:ascii="Times New Roman" w:hAnsi="Times New Roman" w:cs="Times New Roman" w:eastAsia="Times New Roman"/>
          <w:b/>
          <w:i w:val="0"/>
          <w:sz w:val="26"/>
        </w:rPr>
        <w:t>1. Căn cứ pháp lý</w:t>
      </w:r>
    </w:p>
    <w:p>
      <w:pPr>
        <w:spacing w:before="0" w:after="60" w:line="312" w:lineRule="auto"/>
        <w:jc w:val="both"/>
      </w:pPr>
      <w:r>
        <w:rPr>
          <w:rFonts w:ascii="Times New Roman" w:hAnsi="Times New Roman" w:cs="Times New Roman" w:eastAsia="Times New Roman"/>
          <w:b w:val="0"/>
          <w:i w:val="0"/>
          <w:sz w:val="26"/>
        </w:rPr>
        <w:t>- Luật Thương mại số 36/2005/QH11 ngày 14 tháng 6 năm 2005 của Quốc hội;</w:t>
      </w:r>
    </w:p>
    <w:p>
      <w:pPr>
        <w:spacing w:before="0" w:after="60" w:line="312" w:lineRule="auto"/>
        <w:jc w:val="both"/>
      </w:pPr>
      <w:r>
        <w:rPr>
          <w:rFonts w:ascii="Times New Roman" w:hAnsi="Times New Roman" w:cs="Times New Roman" w:eastAsia="Times New Roman"/>
          <w:b w:val="0"/>
          <w:i w:val="0"/>
          <w:sz w:val="26"/>
        </w:rPr>
        <w:t>- Luật Giao thông đường bộ và các quy định hiện hành về vận tải hàng hóa;</w:t>
      </w:r>
    </w:p>
    <w:p>
      <w:pPr>
        <w:spacing w:before="0" w:after="60" w:line="312" w:lineRule="auto"/>
        <w:jc w:val="both"/>
      </w:pPr>
      <w:r>
        <w:rPr>
          <w:rFonts w:ascii="Times New Roman" w:hAnsi="Times New Roman" w:cs="Times New Roman" w:eastAsia="Times New Roman"/>
          <w:b w:val="0"/>
          <w:i w:val="0"/>
          <w:sz w:val="26"/>
        </w:rPr>
        <w:t>- Nghị định số 52/2013/NĐ-CP và Nghị định số 85/2021/NĐ-CP về thương mại điện tử;</w:t>
      </w:r>
    </w:p>
    <w:p>
      <w:pPr>
        <w:spacing w:before="0" w:after="60" w:line="312" w:lineRule="auto"/>
        <w:jc w:val="both"/>
      </w:pPr>
      <w:r>
        <w:rPr>
          <w:rFonts w:ascii="Times New Roman" w:hAnsi="Times New Roman" w:cs="Times New Roman" w:eastAsia="Times New Roman"/>
          <w:b w:val="0"/>
          <w:i w:val="0"/>
          <w:sz w:val="26"/>
        </w:rPr>
        <w:t>- Các quy định hiện hành về hóa đơn điện tử và chứng từ hàng hóa;</w:t>
      </w:r>
    </w:p>
    <w:p>
      <w:pPr>
        <w:spacing w:before="0" w:after="60" w:line="312" w:lineRule="auto"/>
        <w:jc w:val="both"/>
      </w:pPr>
      <w:r>
        <w:rPr>
          <w:rFonts w:ascii="Times New Roman" w:hAnsi="Times New Roman" w:cs="Times New Roman" w:eastAsia="Times New Roman"/>
          <w:b w:val="0"/>
          <w:i w:val="0"/>
          <w:sz w:val="26"/>
        </w:rPr>
        <w:t>- Nghị quyết Đại hội đồng cổ đông Công ty Cổ phần VComm Việt Nam về định hướng phát triển giai đoạn 2027 - 2036.</w:t>
      </w:r>
    </w:p>
    <w:p>
      <w:pPr>
        <w:spacing w:before="120" w:after="80" w:line="312" w:lineRule="auto"/>
        <w:jc w:val="left"/>
      </w:pPr>
      <w:r>
        <w:rPr>
          <w:rFonts w:ascii="Times New Roman" w:hAnsi="Times New Roman" w:cs="Times New Roman" w:eastAsia="Times New Roman"/>
          <w:b/>
          <w:i w:val="0"/>
          <w:sz w:val="26"/>
        </w:rPr>
        <w:t>2. Mục tiêu của Khối Logistics và O2O</w:t>
      </w:r>
    </w:p>
    <w:p>
      <w:pPr>
        <w:spacing w:before="0" w:after="120" w:line="312" w:lineRule="auto"/>
        <w:ind w:firstLine="567"/>
        <w:jc w:val="both"/>
      </w:pPr>
      <w:r>
        <w:rPr>
          <w:rFonts w:ascii="Times New Roman" w:hAnsi="Times New Roman" w:cs="Times New Roman" w:eastAsia="Times New Roman"/>
          <w:b w:val="0"/>
          <w:i w:val="0"/>
          <w:sz w:val="26"/>
        </w:rPr>
        <w:t>Thiết lập chuỗi cung ứng tinh gọn, luân chuyển hàng hóa nhanh và không lưu kho trung gian cồng kềnh; chuẩn hóa toàn bộ quy trình vận hành tại Trạm Hub nhằm bảo đảm chất lượng dịch vụ đồng nhất trên toàn mạng lưới. Mục tiêu cốt lõi là cắt giảm từ 40% đến 50% chi phí giao hàng chặng cuối so với mô hình giao hàng tận cửa truyền thống, đồng thời nâng thu nhập cho chủ điểm bán và trải nghiệm cho người mua.</w:t>
      </w:r>
    </w:p>
    <w:p>
      <w:pPr>
        <w:spacing w:before="120" w:after="80" w:line="312" w:lineRule="auto"/>
        <w:jc w:val="left"/>
      </w:pPr>
      <w:r>
        <w:rPr>
          <w:rFonts w:ascii="Times New Roman" w:hAnsi="Times New Roman" w:cs="Times New Roman" w:eastAsia="Times New Roman"/>
          <w:b/>
          <w:i w:val="0"/>
          <w:sz w:val="26"/>
        </w:rPr>
        <w:t>3. Phạm vi và nguyên tắc thực hiện</w:t>
      </w:r>
    </w:p>
    <w:p>
      <w:pPr>
        <w:spacing w:before="0" w:after="60" w:line="312" w:lineRule="auto"/>
        <w:jc w:val="both"/>
      </w:pPr>
      <w:r>
        <w:rPr>
          <w:rFonts w:ascii="Times New Roman" w:hAnsi="Times New Roman" w:cs="Times New Roman" w:eastAsia="Times New Roman"/>
          <w:b w:val="0"/>
          <w:i w:val="0"/>
          <w:sz w:val="26"/>
        </w:rPr>
        <w:t>- Hàng hóa không lưu kho quá 24 giờ tại bất kỳ điểm trung gian nào;</w:t>
      </w:r>
    </w:p>
    <w:p>
      <w:pPr>
        <w:spacing w:before="0" w:after="60" w:line="312" w:lineRule="auto"/>
        <w:jc w:val="both"/>
      </w:pPr>
      <w:r>
        <w:rPr>
          <w:rFonts w:ascii="Times New Roman" w:hAnsi="Times New Roman" w:cs="Times New Roman" w:eastAsia="Times New Roman"/>
          <w:b w:val="0"/>
          <w:i w:val="0"/>
          <w:sz w:val="26"/>
        </w:rPr>
        <w:t>- Mỗi Trạm Hub hoạt động theo một bộ tiêu chuẩn dịch vụ thống nhất, có đo lường và xếp hạng định kỳ;</w:t>
      </w:r>
    </w:p>
    <w:p>
      <w:pPr>
        <w:spacing w:before="0" w:after="60" w:line="312" w:lineRule="auto"/>
        <w:jc w:val="both"/>
      </w:pPr>
      <w:r>
        <w:rPr>
          <w:rFonts w:ascii="Times New Roman" w:hAnsi="Times New Roman" w:cs="Times New Roman" w:eastAsia="Times New Roman"/>
          <w:b w:val="0"/>
          <w:i w:val="0"/>
          <w:sz w:val="26"/>
        </w:rPr>
        <w:t>- Quyền lợi của chủ Trạm Hub gắn với chất lượng phục vụ và mức độ gắn bó dài hạn với nền tảng.</w:t>
      </w:r>
    </w:p>
    <w:p>
      <w:pPr>
        <w:spacing w:before="200" w:after="120" w:line="312" w:lineRule="auto"/>
        <w:jc w:val="left"/>
      </w:pPr>
      <w:r>
        <w:rPr>
          <w:rFonts w:ascii="Times New Roman" w:hAnsi="Times New Roman" w:cs="Times New Roman" w:eastAsia="Times New Roman"/>
          <w:b/>
          <w:i w:val="0"/>
          <w:sz w:val="28"/>
        </w:rPr>
        <w:t>PHẦN II. NHIỆM VỤ VÀ PHẠM VI PHỤ TRÁCH</w:t>
      </w:r>
    </w:p>
    <w:p>
      <w:pPr>
        <w:spacing w:before="120" w:after="80" w:line="312" w:lineRule="auto"/>
        <w:jc w:val="left"/>
      </w:pPr>
      <w:r>
        <w:rPr>
          <w:rFonts w:ascii="Times New Roman" w:hAnsi="Times New Roman" w:cs="Times New Roman" w:eastAsia="Times New Roman"/>
          <w:b/>
          <w:i w:val="0"/>
          <w:sz w:val="26"/>
        </w:rPr>
        <w:t>1. Kiến trúc chuỗi cung ứng Cross-docking</w:t>
      </w:r>
    </w:p>
    <w:p>
      <w:pPr>
        <w:spacing w:before="0" w:after="60" w:line="312" w:lineRule="auto"/>
        <w:jc w:val="both"/>
      </w:pPr>
      <w:r>
        <w:rPr>
          <w:rFonts w:ascii="Times New Roman" w:hAnsi="Times New Roman" w:cs="Times New Roman" w:eastAsia="Times New Roman"/>
          <w:b w:val="0"/>
          <w:i w:val="0"/>
          <w:sz w:val="26"/>
        </w:rPr>
        <w:t>- Hàng từ nhà máy được gom theo đơn chốt hằng ngày, chuyển về Trung tâm Phân loại nội đô trong đêm và chia về các Trạm Hub trước 7 giờ 30 phút sáng hôm sau.</w:t>
      </w:r>
    </w:p>
    <w:p>
      <w:pPr>
        <w:spacing w:before="0" w:after="60" w:line="312" w:lineRule="auto"/>
        <w:jc w:val="both"/>
      </w:pPr>
      <w:r>
        <w:rPr>
          <w:rFonts w:ascii="Times New Roman" w:hAnsi="Times New Roman" w:cs="Times New Roman" w:eastAsia="Times New Roman"/>
          <w:b w:val="0"/>
          <w:i w:val="0"/>
          <w:sz w:val="26"/>
        </w:rPr>
        <w:t>- Dùng trực tiếp các tiệm tạp hóa và cửa hàng tiện lợi sẵn có làm điểm tập kết hàng hóa chặng cuối quy mô nhỏ; khách hàng tự ghé lấy hàng vào các khung giờ thuận tiện, đặc biệt là khung giờ tan tầm từ 16 giờ đến 20 giờ.</w:t>
      </w:r>
    </w:p>
    <w:p>
      <w:pPr>
        <w:spacing w:before="0" w:after="60" w:line="312" w:lineRule="auto"/>
        <w:jc w:val="both"/>
      </w:pPr>
      <w:r>
        <w:rPr>
          <w:rFonts w:ascii="Times New Roman" w:hAnsi="Times New Roman" w:cs="Times New Roman" w:eastAsia="Times New Roman"/>
          <w:b w:val="0"/>
          <w:i w:val="0"/>
          <w:sz w:val="26"/>
        </w:rPr>
        <w:t>- Chi phí gom xe tuyến về Trạm Hub chỉ tốn trung bình từ 4.500 đến 6.500 đồng cho mỗi kiện hàng, so với 22.000 đến 30.000 đồng cho mỗi đơn giao tận cửa.</w:t>
      </w:r>
    </w:p>
    <w:p>
      <w:pPr>
        <w:spacing w:before="120" w:after="80" w:line="312" w:lineRule="auto"/>
        <w:jc w:val="left"/>
      </w:pPr>
      <w:r>
        <w:rPr>
          <w:rFonts w:ascii="Times New Roman" w:hAnsi="Times New Roman" w:cs="Times New Roman" w:eastAsia="Times New Roman"/>
          <w:b/>
          <w:i w:val="0"/>
          <w:sz w:val="26"/>
        </w:rPr>
        <w:t>2. Phân cấp Trạm Hub</w:t>
      </w:r>
    </w:p>
    <w:p>
      <w:pPr>
        <w:spacing w:before="0" w:after="60" w:line="312" w:lineRule="auto"/>
        <w:jc w:val="both"/>
      </w:pPr>
      <w:r>
        <w:rPr>
          <w:rFonts w:ascii="Times New Roman" w:hAnsi="Times New Roman" w:cs="Times New Roman" w:eastAsia="Times New Roman"/>
          <w:b w:val="0"/>
          <w:i w:val="0"/>
          <w:sz w:val="26"/>
        </w:rPr>
        <w:t>- Trạm Standard (tạp hóa, quán ăn, cà phê, spa): tiếp nhận và lưu giữ hàng tiêu dùng nhanh và hàng khô trong vòng 48 giờ; trang bị camera giám sát và máy in nhiệt hoặc điện thoại cài Ứng dụng VComm Partner.</w:t>
      </w:r>
    </w:p>
    <w:p>
      <w:pPr>
        <w:spacing w:before="0" w:after="60" w:line="312" w:lineRule="auto"/>
        <w:jc w:val="both"/>
      </w:pPr>
      <w:r>
        <w:rPr>
          <w:rFonts w:ascii="Times New Roman" w:hAnsi="Times New Roman" w:cs="Times New Roman" w:eastAsia="Times New Roman"/>
          <w:b w:val="0"/>
          <w:i w:val="0"/>
          <w:sz w:val="26"/>
        </w:rPr>
        <w:t>- Trạm Freeze Hub (cửa hàng tiện lợi, đại lý thực phẩm): lưu giữ thực phẩm tươi sống, hàng đông mát với tủ đông, tủ mát chuyên dụng (từ âm 18 độ C đến 4 độ C) và nguồn điện dự phòng.</w:t>
      </w:r>
    </w:p>
    <w:p>
      <w:pPr>
        <w:spacing w:before="0" w:after="60" w:line="312" w:lineRule="auto"/>
        <w:jc w:val="both"/>
      </w:pPr>
      <w:r>
        <w:rPr>
          <w:rFonts w:ascii="Times New Roman" w:hAnsi="Times New Roman" w:cs="Times New Roman" w:eastAsia="Times New Roman"/>
          <w:b w:val="0"/>
          <w:i w:val="0"/>
          <w:sz w:val="26"/>
        </w:rPr>
        <w:t>- Trạm Tủ khóa Thông minh 24/7 (sảnh chung cư, văn phòng): khách tự phục vụ 24/7 bằng quét mã QR hoặc nhập mã xác thực, thực hiện thông qua hợp tác với các đơn vị vận chuyển.</w:t>
      </w:r>
    </w:p>
    <w:p>
      <w:pPr>
        <w:spacing w:before="120" w:after="80" w:line="312" w:lineRule="auto"/>
        <w:jc w:val="left"/>
      </w:pPr>
      <w:r>
        <w:rPr>
          <w:rFonts w:ascii="Times New Roman" w:hAnsi="Times New Roman" w:cs="Times New Roman" w:eastAsia="Times New Roman"/>
          <w:b/>
          <w:i w:val="0"/>
          <w:sz w:val="26"/>
        </w:rPr>
        <w:t>3. Luồng điều phối hậu cần chặng cuối</w:t>
      </w:r>
    </w:p>
    <w:p>
      <w:pPr>
        <w:spacing w:before="0" w:after="60" w:line="312" w:lineRule="auto"/>
        <w:jc w:val="both"/>
      </w:pPr>
      <w:r>
        <w:rPr>
          <w:rFonts w:ascii="Times New Roman" w:hAnsi="Times New Roman" w:cs="Times New Roman" w:eastAsia="Times New Roman"/>
          <w:b w:val="0"/>
          <w:i w:val="0"/>
          <w:sz w:val="26"/>
        </w:rPr>
        <w:t>- Đặt online, nhận tại điểm offline: khách đặt đơn mua chung trên Ứng dụng và chọn nhận tại Trạm Hub gần nhất, được miễn phí vận chuyển 100% và nhận thưởng V-Xu.</w:t>
      </w:r>
    </w:p>
    <w:p>
      <w:pPr>
        <w:spacing w:before="0" w:after="60" w:line="312" w:lineRule="auto"/>
        <w:jc w:val="both"/>
      </w:pPr>
      <w:r>
        <w:rPr>
          <w:rFonts w:ascii="Times New Roman" w:hAnsi="Times New Roman" w:cs="Times New Roman" w:eastAsia="Times New Roman"/>
          <w:b w:val="0"/>
          <w:i w:val="0"/>
          <w:sz w:val="26"/>
        </w:rPr>
        <w:t>- Giao gom hàng loạt về Trạm Hub: đơn mua chung và đơn nhập hàng được gom và giao 1 - 2 chuyến mỗi ngày đến từng Trạm Hub, không giao lẻ, giúp giảm 60% - 80% chi phí vận chuyển.</w:t>
      </w:r>
    </w:p>
    <w:p>
      <w:pPr>
        <w:spacing w:before="0" w:after="60" w:line="312" w:lineRule="auto"/>
        <w:jc w:val="both"/>
      </w:pPr>
      <w:r>
        <w:rPr>
          <w:rFonts w:ascii="Times New Roman" w:hAnsi="Times New Roman" w:cs="Times New Roman" w:eastAsia="Times New Roman"/>
          <w:b w:val="0"/>
          <w:i w:val="0"/>
          <w:sz w:val="26"/>
        </w:rPr>
        <w:t>- Định tuyến linh hoạt: khi Trạm Hub quá tải sức chứa, thuật toán tự động ẩn Trạm Hub trên bản đồ định vị và điều hướng khách sang Trạm Hub lân cận trong bán kính dưới 500 mét.</w:t>
      </w:r>
    </w:p>
    <w:p>
      <w:pPr>
        <w:spacing w:before="120" w:after="80" w:line="312" w:lineRule="auto"/>
        <w:jc w:val="left"/>
      </w:pPr>
      <w:r>
        <w:rPr>
          <w:rFonts w:ascii="Times New Roman" w:hAnsi="Times New Roman" w:cs="Times New Roman" w:eastAsia="Times New Roman"/>
          <w:b/>
          <w:i w:val="0"/>
          <w:sz w:val="26"/>
        </w:rPr>
        <w:t>4. Trải nghiệm nhận hàng và đổi trả tức thì</w:t>
      </w:r>
    </w:p>
    <w:p>
      <w:pPr>
        <w:spacing w:before="0" w:after="60" w:line="312" w:lineRule="auto"/>
        <w:jc w:val="both"/>
      </w:pPr>
      <w:r>
        <w:rPr>
          <w:rFonts w:ascii="Times New Roman" w:hAnsi="Times New Roman" w:cs="Times New Roman" w:eastAsia="Times New Roman"/>
          <w:b w:val="0"/>
          <w:i w:val="0"/>
          <w:sz w:val="26"/>
        </w:rPr>
        <w:t>- Nhận hàng trong 30 giây: khách đưa mã QR động hoặc mã xác thực trên Ứng dụng, chủ Trạm Hub quét xác nhận trên VComm iPOS và giao hàng.</w:t>
      </w:r>
    </w:p>
    <w:p>
      <w:pPr>
        <w:spacing w:before="0" w:after="60" w:line="312" w:lineRule="auto"/>
        <w:jc w:val="both"/>
      </w:pPr>
      <w:r>
        <w:rPr>
          <w:rFonts w:ascii="Times New Roman" w:hAnsi="Times New Roman" w:cs="Times New Roman" w:eastAsia="Times New Roman"/>
          <w:b w:val="0"/>
          <w:i w:val="0"/>
          <w:sz w:val="26"/>
        </w:rPr>
        <w:t>- Đồng kiểm và hoàn tiền tức thì: khách mở hàng kiểm tra tại Trạm Hub; nếu sản phẩm lỗi hoặc móp vỡ, chủ Trạm Hub xác nhận trên VComm iPOS, hệ thống hoàn tiền hoặc V-Xu tức thì vào ví khách trong 1 phút và tự tạo đơn đổi mới.</w:t>
      </w:r>
    </w:p>
    <w:p>
      <w:pPr>
        <w:spacing w:before="0" w:after="60" w:line="312" w:lineRule="auto"/>
        <w:jc w:val="both"/>
      </w:pPr>
      <w:r>
        <w:rPr>
          <w:rFonts w:ascii="Times New Roman" w:hAnsi="Times New Roman" w:cs="Times New Roman" w:eastAsia="Times New Roman"/>
          <w:b w:val="0"/>
          <w:i w:val="0"/>
          <w:sz w:val="26"/>
        </w:rPr>
        <w:t>- Đổi trả chéo kênh: khách mua trực tuyến phát hiện lỗi có thể mang trực tiếp ra Trạm Hub gần nhất để gửi trả; chủ Trạm Hub xác nhận tình trạng hàng hóa và ví điện tử hoàn tiền cho khách.</w:t>
      </w:r>
    </w:p>
    <w:p>
      <w:pPr>
        <w:spacing w:before="120" w:after="80" w:line="312" w:lineRule="auto"/>
        <w:jc w:val="left"/>
      </w:pPr>
      <w:r>
        <w:rPr>
          <w:rFonts w:ascii="Times New Roman" w:hAnsi="Times New Roman" w:cs="Times New Roman" w:eastAsia="Times New Roman"/>
          <w:b/>
          <w:i w:val="0"/>
          <w:sz w:val="26"/>
        </w:rPr>
        <w:t>5. Động lực cho chủ Trạm Hub và bảo hiểm O2O</w:t>
      </w:r>
    </w:p>
    <w:p>
      <w:pPr>
        <w:spacing w:before="0" w:after="60" w:line="312" w:lineRule="auto"/>
        <w:jc w:val="both"/>
      </w:pPr>
      <w:r>
        <w:rPr>
          <w:rFonts w:ascii="Times New Roman" w:hAnsi="Times New Roman" w:cs="Times New Roman" w:eastAsia="Times New Roman"/>
          <w:b w:val="0"/>
          <w:i w:val="0"/>
          <w:sz w:val="26"/>
        </w:rPr>
        <w:t>- Phí giữ hàng linh hoạt: đơn nhỏ dưới 2 kg là 2.000 đồng mỗi đơn; đơn cồng kềnh hoặc hàng lạnh là 4.000 - 6.000 đồng mỗi đơn; thưởng thêm 1.000 đồng mỗi đơn nếu khách nhận trong dưới 3 giờ.</w:t>
      </w:r>
    </w:p>
    <w:p>
      <w:pPr>
        <w:spacing w:before="0" w:after="60" w:line="312" w:lineRule="auto"/>
        <w:jc w:val="both"/>
      </w:pPr>
      <w:r>
        <w:rPr>
          <w:rFonts w:ascii="Times New Roman" w:hAnsi="Times New Roman" w:cs="Times New Roman" w:eastAsia="Times New Roman"/>
          <w:b w:val="0"/>
          <w:i w:val="0"/>
          <w:sz w:val="26"/>
        </w:rPr>
        <w:t>- Hỗ trợ tín dụng nhỏ: Trạm Hub đạt chuẩn (trên 3 tháng hoạt động, đánh giá 5 sao) được ứng vốn nhập hàng dựa trên doanh thu đối soát qua VComm iPOS.</w:t>
      </w:r>
    </w:p>
    <w:p>
      <w:pPr>
        <w:spacing w:before="0" w:after="60" w:line="312" w:lineRule="auto"/>
        <w:jc w:val="both"/>
      </w:pPr>
      <w:r>
        <w:rPr>
          <w:rFonts w:ascii="Times New Roman" w:hAnsi="Times New Roman" w:cs="Times New Roman" w:eastAsia="Times New Roman"/>
          <w:b w:val="0"/>
          <w:i w:val="0"/>
          <w:sz w:val="26"/>
        </w:rPr>
        <w:t>- Xử lý hàng quá hạn: nhắc khách tự động ở mốc 48 giờ và 72 giờ; sau 72 giờ, đơn tự hủy, đơn vị vận chuyển thu hồi hàng về kho tổng và trừ phí phạt khách bỏ đơn từ 15% đến 20%, chủ Trạm Hub vẫn hưởng 100% phí giữ hàng.</w:t>
      </w:r>
    </w:p>
    <w:p>
      <w:pPr>
        <w:spacing w:before="0" w:after="60" w:line="312" w:lineRule="auto"/>
        <w:jc w:val="both"/>
      </w:pPr>
      <w:r>
        <w:rPr>
          <w:rFonts w:ascii="Times New Roman" w:hAnsi="Times New Roman" w:cs="Times New Roman" w:eastAsia="Times New Roman"/>
          <w:b w:val="0"/>
          <w:i w:val="0"/>
          <w:sz w:val="26"/>
        </w:rPr>
        <w:t>- Bảo hiểm rủi ro: Quỹ Bảo hiểm O2O trích 100 - 200 đồng mỗi đơn để đền bù 100% giá trị hàng hóa nếu Trạm Hub gặp sự cố thiên tai, cháy nổ hoặc hỏng thiết bị lạnh.</w:t>
      </w:r>
    </w:p>
    <w:p>
      <w:pPr>
        <w:spacing w:before="200" w:after="120" w:line="312" w:lineRule="auto"/>
        <w:jc w:val="left"/>
      </w:pPr>
      <w:r>
        <w:rPr>
          <w:rFonts w:ascii="Times New Roman" w:hAnsi="Times New Roman" w:cs="Times New Roman" w:eastAsia="Times New Roman"/>
          <w:b/>
          <w:i w:val="0"/>
          <w:sz w:val="28"/>
        </w:rPr>
        <w:t>PHẦN III. TIÊU CHUẨN VẬN HÀNH VÀ CAM KẾT CHẤT LƯỢNG DỊCH VỤ</w:t>
      </w:r>
    </w:p>
    <w:p>
      <w:pPr>
        <w:spacing w:before="120" w:after="80" w:line="312" w:lineRule="auto"/>
        <w:jc w:val="left"/>
      </w:pPr>
      <w:r>
        <w:rPr>
          <w:rFonts w:ascii="Times New Roman" w:hAnsi="Times New Roman" w:cs="Times New Roman" w:eastAsia="Times New Roman"/>
          <w:b/>
          <w:i w:val="0"/>
          <w:sz w:val="26"/>
        </w:rPr>
        <w:t>1. Quy trình tiếp nhận hàng buổi sáng</w:t>
      </w:r>
    </w:p>
    <w:p>
      <w:pPr>
        <w:spacing w:before="0" w:after="120" w:line="312" w:lineRule="auto"/>
        <w:ind w:firstLine="567"/>
        <w:jc w:val="both"/>
      </w:pPr>
      <w:r>
        <w:rPr>
          <w:rFonts w:ascii="Times New Roman" w:hAnsi="Times New Roman" w:cs="Times New Roman" w:eastAsia="Times New Roman"/>
          <w:b w:val="0"/>
          <w:i w:val="0"/>
          <w:sz w:val="26"/>
        </w:rPr>
        <w:t>Lái xe quét mã bàn giao lô hàng lớn; chủ Trạm Hub dùng máy quét đối soát trong vòng 5 phút và hệ thống tự động kích hoạt tin nhắn thông báo hàng đã sẵn sàng gửi đến người mua.</w:t>
      </w:r>
    </w:p>
    <w:p>
      <w:pPr>
        <w:spacing w:before="120" w:after="80" w:line="312" w:lineRule="auto"/>
        <w:jc w:val="left"/>
      </w:pPr>
      <w:r>
        <w:rPr>
          <w:rFonts w:ascii="Times New Roman" w:hAnsi="Times New Roman" w:cs="Times New Roman" w:eastAsia="Times New Roman"/>
          <w:b/>
          <w:i w:val="0"/>
          <w:sz w:val="26"/>
        </w:rPr>
        <w:t>2. Quy trình bàn giao siêu tốc</w:t>
      </w:r>
    </w:p>
    <w:p>
      <w:pPr>
        <w:spacing w:before="0" w:after="120" w:line="312" w:lineRule="auto"/>
        <w:ind w:firstLine="567"/>
        <w:jc w:val="both"/>
      </w:pPr>
      <w:r>
        <w:rPr>
          <w:rFonts w:ascii="Times New Roman" w:hAnsi="Times New Roman" w:cs="Times New Roman" w:eastAsia="Times New Roman"/>
          <w:b w:val="0"/>
          <w:i w:val="0"/>
          <w:sz w:val="26"/>
        </w:rPr>
        <w:t>Người mua mở mã QR nhận đơn trên Ứng dụng; chủ Trạm Hub quét mã trên máy bán hàng để xác thực và giao hàng; hệ thống lập tức đối soát và chuyển trạng thái đơn sang đã hoàn thành.</w:t>
      </w:r>
    </w:p>
    <w:p>
      <w:pPr>
        <w:spacing w:before="120" w:after="80" w:line="312" w:lineRule="auto"/>
        <w:jc w:val="left"/>
      </w:pPr>
      <w:r>
        <w:rPr>
          <w:rFonts w:ascii="Times New Roman" w:hAnsi="Times New Roman" w:cs="Times New Roman" w:eastAsia="Times New Roman"/>
          <w:b/>
          <w:i w:val="0"/>
          <w:sz w:val="26"/>
        </w:rPr>
        <w:t>3. Quy trình đổi trả chéo kênh</w:t>
      </w:r>
    </w:p>
    <w:p>
      <w:pPr>
        <w:spacing w:before="0" w:after="120" w:line="312" w:lineRule="auto"/>
        <w:ind w:firstLine="567"/>
        <w:jc w:val="both"/>
      </w:pPr>
      <w:r>
        <w:rPr>
          <w:rFonts w:ascii="Times New Roman" w:hAnsi="Times New Roman" w:cs="Times New Roman" w:eastAsia="Times New Roman"/>
          <w:b w:val="0"/>
          <w:i w:val="0"/>
          <w:sz w:val="26"/>
        </w:rPr>
        <w:t>Khách hàng mua trực tuyến phát hiện lỗi có thể mang trực tiếp ra Trạm Hub gần nhất để gửi trả; chủ Trạm Hub xác nhận tình trạng hàng hóa và ví điện tử hoàn tiền cho khách trong thời gian ngắn.</w:t>
      </w:r>
    </w:p>
    <w:p>
      <w:pPr>
        <w:spacing w:before="120" w:after="80" w:line="312" w:lineRule="auto"/>
        <w:jc w:val="left"/>
      </w:pPr>
      <w:r>
        <w:rPr>
          <w:rFonts w:ascii="Times New Roman" w:hAnsi="Times New Roman" w:cs="Times New Roman" w:eastAsia="Times New Roman"/>
          <w:b/>
          <w:i w:val="0"/>
          <w:sz w:val="26"/>
        </w:rPr>
        <w:t>4. Quản trị rủi ro vận hành</w:t>
      </w:r>
    </w:p>
    <w:p>
      <w:pPr>
        <w:spacing w:before="0" w:after="60" w:line="312" w:lineRule="auto"/>
        <w:jc w:val="both"/>
      </w:pPr>
      <w:r>
        <w:rPr>
          <w:rFonts w:ascii="Times New Roman" w:hAnsi="Times New Roman" w:cs="Times New Roman" w:eastAsia="Times New Roman"/>
          <w:b w:val="0"/>
          <w:i w:val="0"/>
          <w:sz w:val="26"/>
        </w:rPr>
        <w:t>- Kiểm soát chuỗi lạnh và hàng tươi sống: áp dụng quy trình bảo quản riêng cho nhóm thực phẩm tươi sống, bảo đảm chất lượng hàng hóa đến tay người tiêu dùng.</w:t>
      </w:r>
    </w:p>
    <w:p>
      <w:pPr>
        <w:spacing w:before="0" w:after="60" w:line="312" w:lineRule="auto"/>
        <w:jc w:val="both"/>
      </w:pPr>
      <w:r>
        <w:rPr>
          <w:rFonts w:ascii="Times New Roman" w:hAnsi="Times New Roman" w:cs="Times New Roman" w:eastAsia="Times New Roman"/>
          <w:b w:val="0"/>
          <w:i w:val="0"/>
          <w:sz w:val="26"/>
        </w:rPr>
        <w:t>- Kiểm soát thất thoát hàng hóa: đối soát số liệu nhập xuất tồn tại mỗi Trạm Hub theo ngày; cấn trừ hoa hồng đối với các trường hợp thất thoát do lỗi chủ quan.</w:t>
      </w:r>
    </w:p>
    <w:p>
      <w:pPr>
        <w:spacing w:before="0" w:after="60" w:line="312" w:lineRule="auto"/>
        <w:jc w:val="both"/>
      </w:pPr>
      <w:r>
        <w:rPr>
          <w:rFonts w:ascii="Times New Roman" w:hAnsi="Times New Roman" w:cs="Times New Roman" w:eastAsia="Times New Roman"/>
          <w:b w:val="0"/>
          <w:i w:val="0"/>
          <w:sz w:val="26"/>
        </w:rPr>
        <w:t>- Kiểm soát chất lượng dịch vụ: đo lường tỷ lệ giao hàng đúng hạn, tỷ lệ đơn lỗi và thời gian xử lý đổi trả tại từng Trạm Hub để xếp hạng và có chính sách thưởng phạt phù hợp.</w:t>
      </w:r>
    </w:p>
    <w:p>
      <w:pPr>
        <w:spacing w:before="0" w:after="60" w:line="312" w:lineRule="auto"/>
        <w:jc w:val="both"/>
      </w:pPr>
      <w:r>
        <w:rPr>
          <w:rFonts w:ascii="Times New Roman" w:hAnsi="Times New Roman" w:cs="Times New Roman" w:eastAsia="Times New Roman"/>
          <w:b w:val="0"/>
          <w:i w:val="0"/>
          <w:sz w:val="26"/>
        </w:rPr>
        <w:t>- Dự phòng gián đoạn vận hành: xây dựng phương án dự phòng tuyến vận chuyển và Trạm Hub thay thế trong trường hợp phát sinh sự cố tại một điểm bất kỳ.</w:t>
      </w:r>
    </w:p>
    <w:p>
      <w:pPr>
        <w:spacing w:before="200" w:after="120" w:line="312" w:lineRule="auto"/>
        <w:jc w:val="left"/>
      </w:pPr>
      <w:r>
        <w:rPr>
          <w:rFonts w:ascii="Times New Roman" w:hAnsi="Times New Roman" w:cs="Times New Roman" w:eastAsia="Times New Roman"/>
          <w:b/>
          <w:i w:val="0"/>
          <w:sz w:val="28"/>
        </w:rPr>
        <w:t>PHẦN IV. KẾ HOẠCH TRIỂN KHAI THEO GIAI ĐOẠN</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Giai đoạn</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Thời gian</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Nội dung vận hành trọng tâm</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1</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Quý I năm 2027</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Thiết kế cơ chế mua sắm, tích điểm và hoàn tiền; chuẩn hóa 50 Trạm Hub thí điểm; thiết kế cổng nhập hàng trên VComm iPOS.</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2</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Quý II năm 2027</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Vận hành thử nghiệm nhận hàng tại Trạm Hub; hoàn thiện quy trình đồng kiểm và hoàn tiền tức thì; chạy thử luồng nhập hàng cho 50 Trạm Hub thí điểm.</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3</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Quý III năm 2027</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Mở rộng mạng lưới Trạm Hub theo vùng phủ của chiến dịch Ra mắt Quy mô lớn; nâng tỷ lệ đơn chọn nhận tại điểm; mở rộng phủ trên 1.000 cửa hàng.</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4</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Quý IV năm 2027</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Nâng tỷ lệ nhập lại trên 60%; nâng tỷ lệ quay lại của nhóm khách dùng Điểm thưởng; củng cố vai trò tiết kiệm chi phí hậu cần.</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2028 - 2031</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2028 - 2031</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Mở rộng mạng lưới Trạm Hub toàn quốc; triển khai Trạm Tủ khóa Thông minh 24/7; nâng cấp thuật toán định tuyến và gom chuyến.</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Giai đoạn 2032 - 2036</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2032 - 2036</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Duy trì chất lượng dịch vụ toàn mạng lưới; khai thác dịch vụ logistics cho đối tác bên ngoài.</w:t>
            </w:r>
          </w:p>
        </w:tc>
      </w:tr>
    </w:tbl>
    <w:p>
      <w:pPr>
        <w:spacing w:after="0"/>
      </w:pPr>
    </w:p>
    <w:p>
      <w:pPr>
        <w:spacing w:before="200" w:after="120" w:line="312" w:lineRule="auto"/>
        <w:jc w:val="left"/>
      </w:pPr>
      <w:r>
        <w:rPr>
          <w:rFonts w:ascii="Times New Roman" w:hAnsi="Times New Roman" w:cs="Times New Roman" w:eastAsia="Times New Roman"/>
          <w:b/>
          <w:i w:val="0"/>
          <w:sz w:val="28"/>
        </w:rPr>
        <w:t>PHẦN V. NHU CẦU NHÂN SỰ VÀ NGÂN SÁCH</w:t>
      </w:r>
    </w:p>
    <w:p>
      <w:pPr>
        <w:spacing w:before="120" w:after="80" w:line="312" w:lineRule="auto"/>
        <w:jc w:val="left"/>
      </w:pPr>
      <w:r>
        <w:rPr>
          <w:rFonts w:ascii="Times New Roman" w:hAnsi="Times New Roman" w:cs="Times New Roman" w:eastAsia="Times New Roman"/>
          <w:b/>
          <w:i w:val="0"/>
          <w:sz w:val="26"/>
        </w:rPr>
        <w:t>1. Cơ cấu nhân sự</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Nhóm chuyên môn</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Nhiệm vụ chính</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Quy mô dự kiến</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Vận hành kho và Trung tâm Phân loại</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Điều phối gom hàng, phân loại và chia tuyến giao về Trạm Hub</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03 - 05 người</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Phát triển mạng lưới Trạm Hub</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Tuyển chọn, chuẩn hóa và đào tạo chủ Trạm Hub</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05 - 08 người</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Chất lượng dịch vụ</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Đo lường, xếp hạng và xử lý vi phạm chất lượng tại từng Trạm Hub</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02 - 03 người</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Đối soát vận hành</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Đối soát hàng hóa, thất thoát và phí giữ hàng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02 - 03 người</w:t>
            </w:r>
          </w:p>
        </w:tc>
      </w:tr>
    </w:tbl>
    <w:p>
      <w:pPr>
        <w:spacing w:after="0"/>
      </w:pPr>
    </w:p>
    <w:p>
      <w:pPr>
        <w:spacing w:before="120" w:after="80" w:line="312" w:lineRule="auto"/>
        <w:jc w:val="left"/>
      </w:pPr>
      <w:r>
        <w:rPr>
          <w:rFonts w:ascii="Times New Roman" w:hAnsi="Times New Roman" w:cs="Times New Roman" w:eastAsia="Times New Roman"/>
          <w:b/>
          <w:i w:val="0"/>
          <w:sz w:val="26"/>
        </w:rPr>
        <w:t>2. Ngân sách</w:t>
      </w:r>
    </w:p>
    <w:p>
      <w:pPr>
        <w:spacing w:before="0" w:after="60" w:line="312" w:lineRule="auto"/>
        <w:jc w:val="both"/>
      </w:pPr>
      <w:r>
        <w:rPr>
          <w:rFonts w:ascii="Times New Roman" w:hAnsi="Times New Roman" w:cs="Times New Roman" w:eastAsia="Times New Roman"/>
          <w:b w:val="0"/>
          <w:i w:val="0"/>
          <w:sz w:val="26"/>
        </w:rPr>
        <w:t>- Ngân sách Logistics và O2O chiếm 12% tổng vốn đầu tư năm đầu tiên, dùng cho thiết lập mạng lưới Trạm Hub, kho Dropship ba miền và quỹ bảo hiểm O2O.</w:t>
      </w:r>
    </w:p>
    <w:p>
      <w:pPr>
        <w:spacing w:before="0" w:after="60" w:line="312" w:lineRule="auto"/>
        <w:jc w:val="both"/>
      </w:pPr>
      <w:r>
        <w:rPr>
          <w:rFonts w:ascii="Times New Roman" w:hAnsi="Times New Roman" w:cs="Times New Roman" w:eastAsia="Times New Roman"/>
          <w:b w:val="0"/>
          <w:i w:val="0"/>
          <w:sz w:val="26"/>
        </w:rPr>
        <w:t>- Phí dịch vụ Trạm Hub logistics là một trong năm dòng doanh thu của nền tảng, chiếm 10% cơ cấu doanh thu mục tiêu đến năm thứ năm.</w:t>
      </w:r>
    </w:p>
    <w:p>
      <w:pPr>
        <w:spacing w:before="200" w:after="120" w:line="312" w:lineRule="auto"/>
        <w:jc w:val="left"/>
      </w:pPr>
      <w:r>
        <w:rPr>
          <w:rFonts w:ascii="Times New Roman" w:hAnsi="Times New Roman" w:cs="Times New Roman" w:eastAsia="Times New Roman"/>
          <w:b/>
          <w:i w:val="0"/>
          <w:sz w:val="28"/>
        </w:rPr>
        <w:t>PHẦN VI. CHỈ SỐ GIÁM SÁT VÀ ĐÁNH GIÁ</w:t>
      </w:r>
    </w:p>
    <w:tbl>
      <w:tblPr>
        <w:tblW w:type="auto" w:w="0"/>
        <w:jc w:val="center"/>
        <w:tblLayout w:type="autofit"/>
        <w:tblLook w:firstColumn="1" w:firstRow="1" w:lastColumn="0" w:lastRow="0" w:noHBand="0" w:noVBand="1" w:val="04A0"/>
      </w:tblPr>
      <w:tblGrid>
        <w:gridCol w:w="3024"/>
        <w:gridCol w:w="3024"/>
        <w:gridCol w:w="3024"/>
      </w:tblGrid>
      <w:tr>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Chỉ số</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Mục tiêu</w:t>
            </w:r>
          </w:p>
        </w:tc>
        <w:tc>
          <w:tcPr>
            <w:tcW w:type="dxa" w:w="3024"/>
            <w:shd w:val="clear" w:color="auto" w:fill="D9D9D9"/>
            <w:tcBorders>
              <w:top w:val="single" w:sz="4" w:space="0" w:color="000000"/>
              <w:left w:val="single" w:sz="4" w:space="0" w:color="000000"/>
              <w:bottom w:val="single" w:sz="4" w:space="0" w:color="000000"/>
              <w:right w:val="single" w:sz="4" w:space="0" w:color="000000"/>
            </w:tcBorders>
          </w:tcPr>
          <w:p>
            <w:pPr>
              <w:spacing w:after="40" w:before="40"/>
              <w:jc w:val="center"/>
            </w:pPr>
            <w:r/>
            <w:r>
              <w:rPr>
                <w:rFonts w:ascii="Times New Roman" w:hAnsi="Times New Roman" w:cs="Times New Roman" w:eastAsia="Times New Roman"/>
                <w:b/>
                <w:i w:val="0"/>
                <w:sz w:val="24"/>
              </w:rPr>
              <w:t>Tần suất</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Số lượng Trạm Hub hoạt động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Theo chỉ tiêu từng giai đoạn</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tháng</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Thời gian giao hàng hoặc nhận tại Trạm Hub</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24 - 48 giờ</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tuần</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Tỷ lệ đơn nhận tại Trạm Hub</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Tăng dần theo lộ trình</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tháng</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Chi phí vận chuyển chặng cuối mỗi kiện hàng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4.500 - 6.500 đồng</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tháng</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Tỷ lệ thất thoát hàng hóa</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Dưới 0,5%</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tháng</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Thời gian xử lý đổi trả tại Trạm Hub</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Dưới 5 phút</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tuần</w:t>
            </w:r>
          </w:p>
        </w:tc>
      </w:tr>
      <w:tr>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Chỉ số hài lòng của chủ Trạm Hub</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Theo dõi xu hướng tăng dần</w:t>
            </w:r>
          </w:p>
        </w:tc>
        <w:tc>
          <w:tcPr>
            <w:tcW w:type="dxa" w:w="3024"/>
            <w:tcBorders>
              <w:top w:val="single" w:sz="4" w:space="0" w:color="000000"/>
              <w:left w:val="single" w:sz="4" w:space="0" w:color="000000"/>
              <w:bottom w:val="single" w:sz="4" w:space="0" w:color="000000"/>
              <w:right w:val="single" w:sz="4" w:space="0" w:color="000000"/>
            </w:tcBorders>
          </w:tcPr>
          <w:p>
            <w:pPr>
              <w:spacing w:after="40" w:before="40"/>
            </w:pPr>
            <w:r/>
            <w:r>
              <w:rPr>
                <w:rFonts w:ascii="Times New Roman" w:hAnsi="Times New Roman" w:cs="Times New Roman" w:eastAsia="Times New Roman"/>
                <w:b w:val="0"/>
                <w:i w:val="0"/>
                <w:sz w:val="24"/>
              </w:rPr>
              <w:t>Hằng quý</w:t>
            </w:r>
          </w:p>
        </w:tc>
      </w:tr>
    </w:tbl>
    <w:p>
      <w:pPr>
        <w:spacing w:after="0"/>
      </w:pPr>
    </w:p>
    <w:p>
      <w:pPr>
        <w:spacing w:before="200" w:after="120" w:line="312" w:lineRule="auto"/>
        <w:jc w:val="left"/>
      </w:pPr>
      <w:r>
        <w:rPr>
          <w:rFonts w:ascii="Times New Roman" w:hAnsi="Times New Roman" w:cs="Times New Roman" w:eastAsia="Times New Roman"/>
          <w:b/>
          <w:i w:val="0"/>
          <w:sz w:val="28"/>
        </w:rPr>
        <w:t>PHẦN VII. PHỐI HỢP LIÊN KHỐI</w:t>
      </w:r>
    </w:p>
    <w:p>
      <w:pPr>
        <w:spacing w:before="0" w:after="60" w:line="312" w:lineRule="auto"/>
        <w:jc w:val="both"/>
      </w:pPr>
      <w:r>
        <w:rPr>
          <w:rFonts w:ascii="Times New Roman" w:hAnsi="Times New Roman" w:cs="Times New Roman" w:eastAsia="Times New Roman"/>
          <w:b w:val="0"/>
          <w:i w:val="0"/>
          <w:sz w:val="26"/>
        </w:rPr>
        <w:t>- Với Khối Kinh doanh: thống nhất tiêu chuẩn tuyển chọn Trạm Hub và phối hợp đào tạo chủ trạm.</w:t>
      </w:r>
    </w:p>
    <w:p>
      <w:pPr>
        <w:spacing w:before="0" w:after="60" w:line="312" w:lineRule="auto"/>
        <w:jc w:val="both"/>
      </w:pPr>
      <w:r>
        <w:rPr>
          <w:rFonts w:ascii="Times New Roman" w:hAnsi="Times New Roman" w:cs="Times New Roman" w:eastAsia="Times New Roman"/>
          <w:b w:val="0"/>
          <w:i w:val="0"/>
          <w:sz w:val="26"/>
        </w:rPr>
        <w:t>- Với Khối Công nghệ: đặt yêu cầu cho hệ thống định vị, định tuyến, quản lý đơn O2O và đối soát vận hành.</w:t>
      </w:r>
    </w:p>
    <w:p>
      <w:pPr>
        <w:spacing w:before="0" w:after="60" w:line="312" w:lineRule="auto"/>
        <w:jc w:val="both"/>
      </w:pPr>
      <w:r>
        <w:rPr>
          <w:rFonts w:ascii="Times New Roman" w:hAnsi="Times New Roman" w:cs="Times New Roman" w:eastAsia="Times New Roman"/>
          <w:b w:val="0"/>
          <w:i w:val="0"/>
          <w:sz w:val="26"/>
        </w:rPr>
        <w:t>- Với Khối Tài chính - Kế toán: đối soát phí giữ hàng, quỹ bảo hiểm O2O và công nợ của chủ Trạm Hub.</w:t>
      </w:r>
    </w:p>
    <w:p>
      <w:pPr>
        <w:spacing w:before="0" w:after="60" w:line="312" w:lineRule="auto"/>
        <w:jc w:val="both"/>
      </w:pPr>
      <w:r>
        <w:rPr>
          <w:rFonts w:ascii="Times New Roman" w:hAnsi="Times New Roman" w:cs="Times New Roman" w:eastAsia="Times New Roman"/>
          <w:b w:val="0"/>
          <w:i w:val="0"/>
          <w:sz w:val="26"/>
        </w:rPr>
        <w:t>- Với Khối Pháp chế - Tuân thủ: kiểm soát hợp đồng liên kết ủy thác và chính sách bảo toàn hàng hóa.</w:t>
      </w:r>
    </w:p>
    <w:p>
      <w:pPr>
        <w:spacing w:before="0" w:after="60" w:line="312" w:lineRule="auto"/>
        <w:jc w:val="both"/>
      </w:pPr>
      <w:r>
        <w:rPr>
          <w:rFonts w:ascii="Times New Roman" w:hAnsi="Times New Roman" w:cs="Times New Roman" w:eastAsia="Times New Roman"/>
          <w:b w:val="0"/>
          <w:i w:val="0"/>
          <w:sz w:val="26"/>
        </w:rPr>
        <w:t>- Với Khối Marketing và Đội KOC: phối hợp triển khai hoạt động bán Phiếu ưu đãi và dán mã QR tại điểm bán để chuyển đổi khách offline thành người dùng Ứng dụng.</w:t>
      </w:r>
    </w:p>
    <w:p>
      <w:pPr>
        <w:spacing w:before="200" w:after="120" w:line="312" w:lineRule="auto"/>
        <w:jc w:val="left"/>
      </w:pPr>
      <w:r>
        <w:rPr>
          <w:rFonts w:ascii="Times New Roman" w:hAnsi="Times New Roman" w:cs="Times New Roman" w:eastAsia="Times New Roman"/>
          <w:b/>
          <w:i w:val="0"/>
          <w:sz w:val="28"/>
        </w:rPr>
        <w:t>PHẦN VIII. TỔ CHỨC THỰC HIỆN</w:t>
      </w:r>
    </w:p>
    <w:p>
      <w:pPr>
        <w:spacing w:before="0" w:after="120" w:line="312" w:lineRule="auto"/>
        <w:ind w:firstLine="567"/>
        <w:jc w:val="both"/>
      </w:pPr>
      <w:r>
        <w:rPr>
          <w:rFonts w:ascii="Times New Roman" w:hAnsi="Times New Roman" w:cs="Times New Roman" w:eastAsia="Times New Roman"/>
          <w:b w:val="0"/>
          <w:i w:val="0"/>
          <w:sz w:val="26"/>
        </w:rPr>
        <w:t>Khối Logistics và O2O chủ trì điều phối chuỗi cung ứng Cross-docking, vận hành Trung tâm Phân loại và mạng lưới Trạm Hub; định kỳ báo cáo Ban Tổng Giám đốc về tiến độ và chất lượng dịch vụ.</w:t>
      </w:r>
    </w:p>
    <w:p>
      <w:pPr>
        <w:spacing w:before="120" w:after="120" w:line="312" w:lineRule="auto"/>
        <w:ind w:firstLine="567"/>
        <w:jc w:val="both"/>
      </w:pPr>
      <w:r>
        <w:rPr>
          <w:rFonts w:ascii="Times New Roman" w:hAnsi="Times New Roman" w:cs="Times New Roman" w:eastAsia="Times New Roman"/>
          <w:b w:val="0"/>
          <w:i w:val="0"/>
          <w:sz w:val="26"/>
        </w:rPr>
        <w:t>Khối Logistics và O2O cùng các đơn vị trực thuộc Công ty Cổ phần VComm Việt Nam có trách nhiệm triển khai thực hiện nghiêm túc Đề án này./.</w:t>
      </w:r>
    </w:p>
    <w:tbl>
      <w:tblPr>
        <w:tblW w:type="dxa" w:w="9071"/>
        <w:tblBorders>
          <w:top w:val="none" w:color="FFFFFF" w:sz="0"/>
          <w:left w:val="none" w:color="FFFFFF" w:sz="0"/>
          <w:bottom w:val="none" w:color="FFFFFF" w:sz="0"/>
          <w:right w:val="none" w:color="FFFFFF" w:sz="0"/>
          <w:insideH w:val="none" w:color="FFFFFF" w:sz="0"/>
          <w:insideV w:val="none" w:color="FFFFFF" w:sz="0"/>
        </w:tblBorders>
        <w:tblLayout w:type="fixed"/>
        <w:tblCellMar>
          <w:top w:type="dxa" w:w="40"/>
          <w:left w:type="dxa" w:w="0"/>
          <w:bottom w:type="dxa" w:w="40"/>
          <w:right w:type="dxa" w:w="0"/>
        </w:tblCellMar>
      </w:tblPr>
      <w:tblGrid>
        <w:gridCol w:w="5216"/>
        <w:gridCol w:w="3855"/>
      </w:tblGrid>
      <w:tr>
        <w:tc>
          <w:tcPr>
            <w:tcW w:type="dxa" w:w="5216"/>
          </w:tcPr>
          <w:p>
            <w:pPr>
              <w:spacing w:after="0"/>
            </w:pPr>
            <w:r>
              <w:rPr>
                <w:rFonts w:ascii="Times New Roman" w:cs="Times New Roman" w:eastAsia="Times New Roman" w:hAnsi="Times New Roman"/>
                <w:b/>
                <w:bCs/>
                <w:i/>
                <w:iCs/>
                <w:sz w:val="24"/>
                <w:szCs w:val="24"/>
              </w:rPr>
              <w:t xml:space="preserve">Nơi nhận:</w:t>
            </w:r>
          </w:p>
          <w:p>
            <w:pPr>
              <w:spacing w:after="0"/>
            </w:pPr>
            <w:r>
              <w:rPr>
                <w:rFonts w:ascii="Times New Roman" w:cs="Times New Roman" w:eastAsia="Times New Roman" w:hAnsi="Times New Roman"/>
                <w:sz w:val="22"/>
                <w:szCs w:val="24"/>
              </w:rPr>
              <w:t xml:space="preserve">- Hội đồng Quản trị (để báo cáo);</w:t>
            </w:r>
          </w:p>
          <w:p>
            <w:pPr>
              <w:spacing w:after="0"/>
            </w:pPr>
            <w:r>
              <w:rPr>
                <w:rFonts w:ascii="Times New Roman" w:cs="Times New Roman" w:eastAsia="Times New Roman" w:hAnsi="Times New Roman"/>
                <w:sz w:val="22"/>
                <w:szCs w:val="24"/>
              </w:rPr>
              <w:t xml:space="preserve">- Ban Tổng Giám đốc (để chỉ đạo);</w:t>
            </w:r>
          </w:p>
          <w:p>
            <w:pPr>
              <w:spacing w:after="0"/>
            </w:pPr>
            <w:r>
              <w:rPr>
                <w:rFonts w:ascii="Times New Roman" w:cs="Times New Roman" w:eastAsia="Times New Roman" w:hAnsi="Times New Roman"/>
                <w:sz w:val="22"/>
                <w:szCs w:val="24"/>
              </w:rPr>
              <w:t xml:space="preserve">- Các Khối, Phòng, Ban thuộc Công ty;</w:t>
            </w:r>
          </w:p>
          <w:p>
            <w:pPr>
              <w:spacing w:after="0"/>
            </w:pPr>
            <w:r>
              <w:rPr>
                <w:rFonts w:ascii="Times New Roman" w:cs="Times New Roman" w:eastAsia="Times New Roman" w:hAnsi="Times New Roman"/>
                <w:sz w:val="22"/>
                <w:szCs w:val="24"/>
              </w:rPr>
              <w:t xml:space="preserve">- Lưu: VT, DA.</w:t>
            </w:r>
          </w:p>
        </w:tc>
        <w:tc>
          <w:tcPr>
            <w:tcW w:type="dxa" w:w="3855"/>
          </w:tcPr>
          <w:p>
            <w:pPr>
              <w:spacing w:after="0"/>
              <w:jc w:val="center"/>
            </w:pPr>
            <w:r>
              <w:rPr>
                <w:rFonts w:ascii="Times New Roman" w:cs="Times New Roman" w:eastAsia="Times New Roman" w:hAnsi="Times New Roman"/>
                <w:b/>
                <w:bCs/>
                <w:sz w:val="26"/>
                <w:szCs w:val="26"/>
              </w:rPr>
              <w:t xml:space="preserve">TỔNG GIÁM ĐỐC</w:t>
            </w:r>
          </w:p>
          <w:p>
            <w:pPr>
              <w:spacing w:after="0"/>
              <w:jc w:val="center"/>
            </w:pPr>
            <w:r>
              <w:rPr>
                <w:rFonts w:ascii="Times New Roman" w:cs="Times New Roman" w:eastAsia="Times New Roman" w:hAnsi="Times New Roman"/>
                <w:i/>
                <w:iCs/>
                <w:sz w:val="26"/>
                <w:szCs w:val="26"/>
              </w:rPr>
              <w:t xml:space="preserve">(Ký, ghi rõ họ tên và đóng dấu)</w:t>
            </w:r>
          </w:p>
          <w:p>
            <w:pPr>
              <w:spacing w:after="0"/>
            </w:pPr>
          </w:p>
          <w:p>
            <w:pPr>
              <w:spacing w:after="0"/>
            </w:pPr>
          </w:p>
          <w:p>
            <w:pPr>
              <w:spacing w:after="0"/>
            </w:pPr>
          </w:p>
        </w:tc>
      </w:tr>
    </w:tbl>
    <w:sectPr>
      <w:footerReference w:type="default" r:id="rId7"/>
      <w:footerReference w:type="first" r:id="rId8"/>
      <w:pgSz w:w="11906" w:h="16838" w:orient="portrait"/>
      <w:pgMar w:top="1134" w:right="1134" w:bottom="1134" w:left="1701" w:header="708"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6"/>
        <w:szCs w:val="2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2026-10-05T05:12:11.859Z</dcterms:created>
  <dcterms:modified xsi:type="dcterms:W3CDTF">2026-10-05T05:12:11.859Z</dcterms:modified>
</cp:coreProperties>
</file>

<file path=docProps/custom.xml><?xml version="1.0" encoding="utf-8"?>
<Properties xmlns="http://schemas.openxmlformats.org/officeDocument/2006/custom-properties" xmlns:vt="http://schemas.openxmlformats.org/officeDocument/2006/docPropsVTypes"/>
</file>