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04/KH-VCOMM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Chiến lược marketing, thương hiệu và tăng trưởng người dùng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MARKETING &amp; THƯƠNG HIỆU</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Thương mại điện tử và các nghị định hiện hành về thương mại điện tử;</w:t>
      </w:r>
    </w:p>
    <w:p>
      <w:pPr>
        <w:spacing w:before="0" w:after="60" w:line="312" w:lineRule="auto"/>
        <w:jc w:val="both"/>
      </w:pPr>
      <w:r>
        <w:rPr>
          <w:rFonts w:ascii="Times New Roman" w:hAnsi="Times New Roman" w:cs="Times New Roman" w:eastAsia="Times New Roman"/>
          <w:b w:val="0"/>
          <w:i w:val="0"/>
          <w:sz w:val="26"/>
        </w:rPr>
        <w:t>- Nghị định số 13/2023/NĐ-CP ngày 17 tháng 4 năm 2023 của Chính phủ về bảo vệ dữ liệu cá nhân;</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Khối Marketing và Thương hiệu</w:t>
      </w:r>
    </w:p>
    <w:p>
      <w:pPr>
        <w:spacing w:before="0" w:after="120" w:line="312" w:lineRule="auto"/>
        <w:ind w:firstLine="567"/>
        <w:jc w:val="both"/>
      </w:pPr>
      <w:r>
        <w:rPr>
          <w:rFonts w:ascii="Times New Roman" w:hAnsi="Times New Roman" w:cs="Times New Roman" w:eastAsia="Times New Roman"/>
          <w:b w:val="0"/>
          <w:i w:val="0"/>
          <w:sz w:val="26"/>
        </w:rPr>
        <w:t>Xây dựng thương hiệu VComm thành nền tảng thương mại điện tử mua chung và bán lẻ hợp kênh được người tiêu dùng Việt Nam biết đến và tin dùng; giảm chi phí thu hút khách hàng thông qua các vòng lặp tăng trưởng hữu cơ và bảo đảm tệp khách hàng chờ chuyển đổi sẵn sàng ngay từ ngày Ứng dụng chính thức vận hành.</w:t>
      </w:r>
    </w:p>
    <w:p>
      <w:pPr>
        <w:spacing w:before="120" w:after="80" w:line="312" w:lineRule="auto"/>
        <w:jc w:val="left"/>
      </w:pPr>
      <w:r>
        <w:rPr>
          <w:rFonts w:ascii="Times New Roman" w:hAnsi="Times New Roman" w:cs="Times New Roman" w:eastAsia="Times New Roman"/>
          <w:b/>
          <w:i w:val="0"/>
          <w:sz w:val="26"/>
        </w:rPr>
        <w:t>3. Định vị và thông điệp thương hiệu</w:t>
      </w:r>
    </w:p>
    <w:p>
      <w:pPr>
        <w:spacing w:before="0" w:after="60" w:line="312" w:lineRule="auto"/>
        <w:jc w:val="both"/>
      </w:pPr>
      <w:r>
        <w:rPr>
          <w:rFonts w:ascii="Times New Roman" w:hAnsi="Times New Roman" w:cs="Times New Roman" w:eastAsia="Times New Roman"/>
          <w:b w:val="0"/>
          <w:i w:val="0"/>
          <w:sz w:val="26"/>
        </w:rPr>
        <w:t>- Tên dự án: Nền tảng Thương mại Điện tử Mua chung, thương mại xã hội và phân phối kỹ thuật số VComm.</w:t>
      </w:r>
    </w:p>
    <w:p>
      <w:pPr>
        <w:spacing w:before="0" w:after="60" w:line="312" w:lineRule="auto"/>
        <w:jc w:val="both"/>
      </w:pPr>
      <w:r>
        <w:rPr>
          <w:rFonts w:ascii="Times New Roman" w:hAnsi="Times New Roman" w:cs="Times New Roman" w:eastAsia="Times New Roman"/>
          <w:b w:val="0"/>
          <w:i w:val="0"/>
          <w:sz w:val="26"/>
        </w:rPr>
        <w:t>- Định vị thị trường: nền tảng thương mại điện tử kết hợp chuỗi cung ứng kỹ thuật số cho hàng tiêu dùng nhanh, hàng gia dụng và tiện ích tại Việt Nam.</w:t>
      </w:r>
    </w:p>
    <w:p>
      <w:pPr>
        <w:spacing w:before="0" w:after="60" w:line="312" w:lineRule="auto"/>
        <w:jc w:val="both"/>
      </w:pPr>
      <w:r>
        <w:rPr>
          <w:rFonts w:ascii="Times New Roman" w:hAnsi="Times New Roman" w:cs="Times New Roman" w:eastAsia="Times New Roman"/>
          <w:b w:val="0"/>
          <w:i w:val="0"/>
          <w:sz w:val="26"/>
        </w:rPr>
        <w:t>- Thông điệp cốt lõi hướng tới người tiêu dùng: mua chung giá tốt, hàng chính hãng, nhận hàng gần nhà, tích điểm dùng chung.</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Chuẩn bị thị trường trước ngày ra mắt</w:t>
      </w:r>
    </w:p>
    <w:p>
      <w:pPr>
        <w:spacing w:before="0" w:after="120" w:line="312" w:lineRule="auto"/>
        <w:ind w:firstLine="567"/>
        <w:jc w:val="both"/>
      </w:pPr>
      <w:r>
        <w:rPr>
          <w:rFonts w:ascii="Times New Roman" w:hAnsi="Times New Roman" w:cs="Times New Roman" w:eastAsia="Times New Roman"/>
          <w:b w:val="0"/>
          <w:i w:val="0"/>
          <w:sz w:val="26"/>
        </w:rPr>
        <w:t>Song song với thời gian xây dựng hạ tầng công nghệ, Khối Marketing và Thương hiệu triển khai hai nhóm công việc nền tảng nhằm tạo sẵn một tệp khách hàng nhất định, chờ chuyển đổi sang sàn VComm ngay khi Ứng dụng chính thức ra mắt:</w:t>
      </w:r>
    </w:p>
    <w:p>
      <w:pPr>
        <w:spacing w:before="0" w:after="60" w:line="312" w:lineRule="auto"/>
        <w:jc w:val="both"/>
      </w:pPr>
      <w:r>
        <w:rPr>
          <w:rFonts w:ascii="Times New Roman" w:hAnsi="Times New Roman" w:cs="Times New Roman" w:eastAsia="Times New Roman"/>
          <w:b w:val="0"/>
          <w:i w:val="0"/>
          <w:sz w:val="26"/>
        </w:rPr>
        <w:t>- Chạy Livestream thử nghiệm trên nền tảng mạng xã hội sẵn có: tổ chức các phiên Livestream bán sản phẩm ngay trên trang Facebook, TikTok cá nhân của KOC/KOL và trang mạng xã hội chính thức của VComm, sử dụng nguồn hàng đã đàm phán được, không cần chờ Ứng dụng hoàn thiện.</w:t>
      </w:r>
    </w:p>
    <w:p>
      <w:pPr>
        <w:spacing w:before="0" w:after="60" w:line="312" w:lineRule="auto"/>
        <w:jc w:val="both"/>
      </w:pPr>
      <w:r>
        <w:rPr>
          <w:rFonts w:ascii="Times New Roman" w:hAnsi="Times New Roman" w:cs="Times New Roman" w:eastAsia="Times New Roman"/>
          <w:b w:val="0"/>
          <w:i w:val="0"/>
          <w:sz w:val="26"/>
        </w:rPr>
        <w:t>- Tích lũy tệp khách hàng chờ chuyển đổi: thu thập thông tin liên hệ hợp lệ của toàn bộ khách hàng phát sinh từ các phiên Livestream giai đoạn này và đưa vào danh sách khách hàng tiềm năng.</w:t>
      </w:r>
    </w:p>
    <w:p>
      <w:pPr>
        <w:spacing w:before="0" w:after="60" w:line="312" w:lineRule="auto"/>
        <w:jc w:val="both"/>
      </w:pPr>
      <w:r>
        <w:rPr>
          <w:rFonts w:ascii="Times New Roman" w:hAnsi="Times New Roman" w:cs="Times New Roman" w:eastAsia="Times New Roman"/>
          <w:b w:val="0"/>
          <w:i w:val="0"/>
          <w:sz w:val="26"/>
        </w:rPr>
        <w:t>- Truyền thông thương hiệu: xây dựng nhận diện thương hiệu, bộ nhận diện và nội dung giới thiệu mô hình 7 trụ cột tới người tiêu dùng và cộng đồng người bán.</w:t>
      </w:r>
    </w:p>
    <w:p>
      <w:pPr>
        <w:spacing w:before="120" w:after="80" w:line="312" w:lineRule="auto"/>
        <w:jc w:val="left"/>
      </w:pPr>
      <w:r>
        <w:rPr>
          <w:rFonts w:ascii="Times New Roman" w:hAnsi="Times New Roman" w:cs="Times New Roman" w:eastAsia="Times New Roman"/>
          <w:b/>
          <w:i w:val="0"/>
          <w:sz w:val="26"/>
        </w:rPr>
        <w:t>2. Ba vòng lặp tăng trưởng người dùng</w:t>
      </w:r>
    </w:p>
    <w:p>
      <w:pPr>
        <w:spacing w:before="0" w:after="60" w:line="312" w:lineRule="auto"/>
        <w:jc w:val="both"/>
      </w:pPr>
      <w:r>
        <w:rPr>
          <w:rFonts w:ascii="Times New Roman" w:hAnsi="Times New Roman" w:cs="Times New Roman" w:eastAsia="Times New Roman"/>
          <w:b w:val="0"/>
          <w:i w:val="0"/>
          <w:sz w:val="26"/>
        </w:rPr>
        <w:t>- Vòng lặp giới thiệu xã hội: giá mua chung rẻ hơn giá bán lẻ từ 30% tạo động lực tự nhiên để người dùng gửi đường dẫn mời ít nhất 2 đến 3 người quen tham gia nhằm được chốt đơn, giúp giảm chi phí thu hút khách hàng hữu cơ xuống dưới mức 15.000 đồng cho mỗi người dùng mới.</w:t>
      </w:r>
    </w:p>
    <w:p>
      <w:pPr>
        <w:spacing w:before="0" w:after="60" w:line="312" w:lineRule="auto"/>
        <w:jc w:val="both"/>
      </w:pPr>
      <w:r>
        <w:rPr>
          <w:rFonts w:ascii="Times New Roman" w:hAnsi="Times New Roman" w:cs="Times New Roman" w:eastAsia="Times New Roman"/>
          <w:b w:val="0"/>
          <w:i w:val="0"/>
          <w:sz w:val="26"/>
        </w:rPr>
        <w:t>- Vòng lặp chuyển đổi từ cửa hàng sang ứng dụng: khách hàng mua sắm trực tiếp tại các cửa hàng tạp hóa đối tác được giảm giá ngay từ 5.000 đến 10.000 đồng khi quét mã QR tải ứng dụng để thanh toán và tích lũy điểm thưởng, chuyển hóa khách vãng lai thành người dùng số.</w:t>
      </w:r>
    </w:p>
    <w:p>
      <w:pPr>
        <w:spacing w:before="0" w:after="60" w:line="312" w:lineRule="auto"/>
        <w:jc w:val="both"/>
      </w:pPr>
      <w:r>
        <w:rPr>
          <w:rFonts w:ascii="Times New Roman" w:hAnsi="Times New Roman" w:cs="Times New Roman" w:eastAsia="Times New Roman"/>
          <w:b w:val="0"/>
          <w:i w:val="0"/>
          <w:sz w:val="26"/>
        </w:rPr>
        <w:t>- Vòng lặp giữ chân qua ví điểm: điểm thưởng tích lũy dùng để khấu trừ trực tiếp cho các nhu cầu thiết yếu hằng ngày như mua thẻ điện thoại, thanh toán tiền điện nước hoặc trừ tiền khi mua nhu yếu phẩm tại bất kỳ Trạm Hub nào trong liên minh.</w:t>
      </w:r>
    </w:p>
    <w:p>
      <w:pPr>
        <w:spacing w:before="120" w:after="80" w:line="312" w:lineRule="auto"/>
        <w:jc w:val="left"/>
      </w:pPr>
      <w:r>
        <w:rPr>
          <w:rFonts w:ascii="Times New Roman" w:hAnsi="Times New Roman" w:cs="Times New Roman" w:eastAsia="Times New Roman"/>
          <w:b/>
          <w:i w:val="0"/>
          <w:sz w:val="26"/>
        </w:rPr>
        <w:t>3. Tiếp thị theo định vị và tự động hóa giữ chân khách</w:t>
      </w:r>
    </w:p>
    <w:p>
      <w:pPr>
        <w:spacing w:before="0" w:after="60" w:line="312" w:lineRule="auto"/>
        <w:jc w:val="both"/>
      </w:pPr>
      <w:r>
        <w:rPr>
          <w:rFonts w:ascii="Times New Roman" w:hAnsi="Times New Roman" w:cs="Times New Roman" w:eastAsia="Times New Roman"/>
          <w:b w:val="0"/>
          <w:i w:val="0"/>
          <w:sz w:val="26"/>
        </w:rPr>
        <w:t>- Thông báo đẩy theo bán kính: khi người dùng bước vào vùng định vị bán kính từ 1 đến 2 km quanh một Trạm Hub đối tác, hệ thống tự động gửi thông báo về các ưu đãi chớp nhoáng hoặc nhắc nhở ghé lấy đơn hàng đang chờ.</w:t>
      </w:r>
    </w:p>
    <w:p>
      <w:pPr>
        <w:spacing w:before="0" w:after="60" w:line="312" w:lineRule="auto"/>
        <w:jc w:val="both"/>
      </w:pPr>
      <w:r>
        <w:rPr>
          <w:rFonts w:ascii="Times New Roman" w:hAnsi="Times New Roman" w:cs="Times New Roman" w:eastAsia="Times New Roman"/>
          <w:b w:val="0"/>
          <w:i w:val="0"/>
          <w:sz w:val="26"/>
        </w:rPr>
        <w:t>- Phân nhóm khách hàng thông minh: ứng dụng mô hình đánh giá theo tần suất mua và giá trị đơn để chia tệp khách hàng, từ đó tự động tặng ưu đãi kéo khách lâu ngày chưa quay lại hoặc tặng quyền ưu tiên mua chung cho nhóm khách hàng thân thiết.</w:t>
      </w:r>
    </w:p>
    <w:p>
      <w:pPr>
        <w:spacing w:before="0" w:after="60" w:line="312" w:lineRule="auto"/>
        <w:jc w:val="both"/>
      </w:pPr>
      <w:r>
        <w:rPr>
          <w:rFonts w:ascii="Times New Roman" w:hAnsi="Times New Roman" w:cs="Times New Roman" w:eastAsia="Times New Roman"/>
          <w:b w:val="0"/>
          <w:i w:val="0"/>
          <w:sz w:val="26"/>
        </w:rPr>
        <w:t>- Liên minh tích điểm dùng chung: cho phép khách hàng sử dụng điểm tích lũy từ đơn trực tuyến để thanh toán trực tiếp tại các cửa hàng liên kết trong hệ sinh thái.</w:t>
      </w:r>
    </w:p>
    <w:p>
      <w:pPr>
        <w:spacing w:before="120" w:after="80" w:line="312" w:lineRule="auto"/>
        <w:jc w:val="left"/>
      </w:pPr>
      <w:r>
        <w:rPr>
          <w:rFonts w:ascii="Times New Roman" w:hAnsi="Times New Roman" w:cs="Times New Roman" w:eastAsia="Times New Roman"/>
          <w:b/>
          <w:i w:val="0"/>
          <w:sz w:val="26"/>
        </w:rPr>
        <w:t>4. Quản trị ngân sách Phiếu ưu đãi và trợ giá</w:t>
      </w:r>
    </w:p>
    <w:p>
      <w:pPr>
        <w:spacing w:before="0" w:after="60" w:line="312" w:lineRule="auto"/>
        <w:jc w:val="both"/>
      </w:pPr>
      <w:r>
        <w:rPr>
          <w:rFonts w:ascii="Times New Roman" w:hAnsi="Times New Roman" w:cs="Times New Roman" w:eastAsia="Times New Roman"/>
          <w:b w:val="0"/>
          <w:i w:val="0"/>
          <w:sz w:val="26"/>
        </w:rPr>
        <w:t>- Ngân sách Phiếu ưu đãi và trợ giá được kiểm soát theo mốc giá trị giao dịch, bảo đảm tỷ lệ trợ giá trên giá trị giao dịch giảm dần theo lộ trình.</w:t>
      </w:r>
    </w:p>
    <w:p>
      <w:pPr>
        <w:spacing w:before="0" w:after="60" w:line="312" w:lineRule="auto"/>
        <w:jc w:val="both"/>
      </w:pPr>
      <w:r>
        <w:rPr>
          <w:rFonts w:ascii="Times New Roman" w:hAnsi="Times New Roman" w:cs="Times New Roman" w:eastAsia="Times New Roman"/>
          <w:b w:val="0"/>
          <w:i w:val="0"/>
          <w:sz w:val="26"/>
        </w:rPr>
        <w:t>- Ma trận Phiếu ưu đãi gồm Phiếu ưu đãi Trưởng nhóm gom đơn, Phiếu ưu đãi Tái sử dụng hàng tiêu dùng định kỳ 30 ngày, Phiếu ưu đãi Đồng tài trợ cùng người bán và Nhà máy, và Phiếu ưu đãi Nhập hàng lần đầu cho kênh doanh nghiệp.</w:t>
      </w:r>
    </w:p>
    <w:p>
      <w:pPr>
        <w:spacing w:before="0" w:after="60" w:line="312" w:lineRule="auto"/>
        <w:jc w:val="both"/>
      </w:pPr>
      <w:r>
        <w:rPr>
          <w:rFonts w:ascii="Times New Roman" w:hAnsi="Times New Roman" w:cs="Times New Roman" w:eastAsia="Times New Roman"/>
          <w:b w:val="0"/>
          <w:i w:val="0"/>
          <w:sz w:val="26"/>
        </w:rPr>
        <w:t>- Từ năm 2028, phần ngân sách trợ giá giảm dần và được chuyển sang đầu tư công cụ trí tuệ nhân tạo và mở rộng vùng phủ.</w:t>
      </w:r>
    </w:p>
    <w:p>
      <w:pPr>
        <w:spacing w:before="200" w:after="120" w:line="312" w:lineRule="auto"/>
        <w:jc w:val="left"/>
      </w:pPr>
      <w:r>
        <w:rPr>
          <w:rFonts w:ascii="Times New Roman" w:hAnsi="Times New Roman" w:cs="Times New Roman" w:eastAsia="Times New Roman"/>
          <w:b/>
          <w:i w:val="0"/>
          <w:sz w:val="28"/>
        </w:rPr>
        <w:t>PHẦN III.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marketing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0 - Chuẩn bị</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Xây dựng nhận diện thương hiệu; chạy Livestream thử nghiệm trên mạng xã hội; tích lũy tệp khách hàng chờ chuyển đổi; xây dựng kho nội dung giới thiệu 7 trụ cột.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Hoàn thiện bộ nhận diện và thông điệp; thiết lập kênh truyền thông chính thức; chuẩn bị chiến dịch Ra mắt.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Chạy thử các chương trình Phiếu ưu đãi và vòng lặp giới thiệu xã hội trên nhóm người dùng thí điểm; đo lường chi phí thu hút khách hàng theo từng kênh.</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Triển khai chiến dịch Ra mắt Quy mô lớn; phủ sóng truyền thông trên 100 KOC Livestream; kích hoạt vòng lặp chuyển đổi từ cửa hàng sang ứng dụng trên toàn bộ Trạm Hub đã vận hành.</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Chuyển từ trợ giá sang vận hành tự nhiên; nâng tỷ lệ tái mua trên 40%; củng cố vòng lặp giữ chân qua ví điểm.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rộng truyền thông toàn quốc; triển khai chương trình đồng thương hiệu với các nhãn hàng tiêu dùng lớn; giảm dần tỷ lệ trợ giá.</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Duy trì tăng trưởng hữu cơ; truyền thông thương hiệu phục vụ niêm yết.</w:t>
            </w:r>
          </w:p>
        </w:tc>
      </w:tr>
    </w:tbl>
    <w:p>
      <w:pPr>
        <w:spacing w:after="0"/>
      </w:pPr>
    </w:p>
    <w:p>
      <w:pPr>
        <w:spacing w:before="200" w:after="120" w:line="312" w:lineRule="auto"/>
        <w:jc w:val="left"/>
      </w:pPr>
      <w:r>
        <w:rPr>
          <w:rFonts w:ascii="Times New Roman" w:hAnsi="Times New Roman" w:cs="Times New Roman" w:eastAsia="Times New Roman"/>
          <w:b/>
          <w:i w:val="0"/>
          <w:sz w:val="28"/>
        </w:rPr>
        <w:t>PHẦN IV. NHU CẦU NHÂN SỰ VÀ NGÂN SÁCH</w:t>
      </w:r>
    </w:p>
    <w:p>
      <w:pPr>
        <w:spacing w:before="120" w:after="80" w:line="312" w:lineRule="auto"/>
        <w:jc w:val="left"/>
      </w:pPr>
      <w:r>
        <w:rPr>
          <w:rFonts w:ascii="Times New Roman" w:hAnsi="Times New Roman" w:cs="Times New Roman" w:eastAsia="Times New Roman"/>
          <w:b/>
          <w:i w:val="0"/>
          <w:sz w:val="26"/>
        </w:rPr>
        <w:t>1. Cơ cấu nhân sự</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chuyên môn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Thương hiệu và Truyền thông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Xây dựng nhận diện, thông điệp, quản trị kênh truyền thông chính thức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Tăng trưởng và Hiệu suất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Quản trị ngân sách trợ giá, chạy chương trình Phiếu ưu đãi, đo lường chi phí thu hút khách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Nội dung và Sáng tạo</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Sản xuất nội dung cho Livestream, mạng xã hội và ứng dụng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bl>
    <w:p>
      <w:pPr>
        <w:spacing w:after="0"/>
      </w:pPr>
    </w:p>
    <w:p>
      <w:pPr>
        <w:spacing w:before="0" w:after="120" w:line="312" w:lineRule="auto"/>
        <w:ind w:firstLine="567"/>
        <w:jc w:val="both"/>
      </w:pPr>
      <w:r>
        <w:rPr>
          <w:rFonts w:ascii="Times New Roman" w:hAnsi="Times New Roman" w:cs="Times New Roman" w:eastAsia="Times New Roman"/>
          <w:b w:val="0"/>
          <w:i w:val="0"/>
          <w:sz w:val="26"/>
        </w:rPr>
        <w:t>Khối Marketing và Thương hiệu phối hợp chặt chẽ với Đội Phát triển và Quản lý KOC để khai thác mạng lưới KOC/KOL trong các chiến dịch.</w:t>
      </w:r>
    </w:p>
    <w:p>
      <w:pPr>
        <w:spacing w:before="120" w:after="80" w:line="312" w:lineRule="auto"/>
        <w:jc w:val="left"/>
      </w:pPr>
      <w:r>
        <w:rPr>
          <w:rFonts w:ascii="Times New Roman" w:hAnsi="Times New Roman" w:cs="Times New Roman" w:eastAsia="Times New Roman"/>
          <w:b/>
          <w:i w:val="0"/>
          <w:sz w:val="26"/>
        </w:rPr>
        <w:t>2. Ngân sách</w:t>
      </w:r>
    </w:p>
    <w:p>
      <w:pPr>
        <w:spacing w:before="0" w:after="60" w:line="312" w:lineRule="auto"/>
        <w:jc w:val="both"/>
      </w:pPr>
      <w:r>
        <w:rPr>
          <w:rFonts w:ascii="Times New Roman" w:hAnsi="Times New Roman" w:cs="Times New Roman" w:eastAsia="Times New Roman"/>
          <w:b w:val="0"/>
          <w:i w:val="0"/>
          <w:sz w:val="26"/>
        </w:rPr>
        <w:t>- Ngân sách Trợ giá và Marketing tăng trưởng chiếm 35% tổng vốn đầu tư năm đầu tiên, dùng cho Phiếu ưu đãi, trợ giá phiên Livestream quy mô lớn và chi phí thu hút người dùng, người bán, chủ trạm ban đầu.</w:t>
      </w:r>
    </w:p>
    <w:p>
      <w:pPr>
        <w:spacing w:before="0" w:after="60" w:line="312" w:lineRule="auto"/>
        <w:jc w:val="both"/>
      </w:pPr>
      <w:r>
        <w:rPr>
          <w:rFonts w:ascii="Times New Roman" w:hAnsi="Times New Roman" w:cs="Times New Roman" w:eastAsia="Times New Roman"/>
          <w:b w:val="0"/>
          <w:i w:val="0"/>
          <w:sz w:val="26"/>
        </w:rPr>
        <w:t>- Chỉ số theo dõi chính là tỷ lệ trợ giá trên giá trị giao dịch và chi phí thu hút khách hàng trên giá trị vòng đời khách hàng.</w:t>
      </w:r>
    </w:p>
    <w:p>
      <w:pPr>
        <w:spacing w:before="200" w:after="120" w:line="312" w:lineRule="auto"/>
        <w:jc w:val="left"/>
      </w:pPr>
      <w:r>
        <w:rPr>
          <w:rFonts w:ascii="Times New Roman" w:hAnsi="Times New Roman" w:cs="Times New Roman" w:eastAsia="Times New Roman"/>
          <w:b/>
          <w:i w:val="0"/>
          <w:sz w:val="28"/>
        </w:rPr>
        <w:t>PHẦN V.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thu hút khách hàng mới</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Giảm dần theo lộ trình (từ 18.000 đồng xuống dưới 15.000 đồng cho kênh hữu cơ)</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trợ giá trên giá trị giao dịch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Giảm dần theo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tái mua</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Trên 40% (cuối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người dùng hoạt động hàng tháng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Đề án Tổng thể</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chuyển đổi từ cửa hàng sang ứng dụng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Mức độ nhận biết thương hiệu</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bl>
    <w:p>
      <w:pPr>
        <w:spacing w:after="0"/>
      </w:pPr>
    </w:p>
    <w:p>
      <w:pPr>
        <w:spacing w:before="200" w:after="120" w:line="312" w:lineRule="auto"/>
        <w:jc w:val="left"/>
      </w:pPr>
      <w:r>
        <w:rPr>
          <w:rFonts w:ascii="Times New Roman" w:hAnsi="Times New Roman" w:cs="Times New Roman" w:eastAsia="Times New Roman"/>
          <w:b/>
          <w:i w:val="0"/>
          <w:sz w:val="28"/>
        </w:rPr>
        <w:t>PHẦN VI. PHỐI HỢP LIÊN KHỐI</w:t>
      </w:r>
    </w:p>
    <w:p>
      <w:pPr>
        <w:spacing w:before="0" w:after="60" w:line="312" w:lineRule="auto"/>
        <w:jc w:val="both"/>
      </w:pPr>
      <w:r>
        <w:rPr>
          <w:rFonts w:ascii="Times New Roman" w:hAnsi="Times New Roman" w:cs="Times New Roman" w:eastAsia="Times New Roman"/>
          <w:b w:val="0"/>
          <w:i w:val="0"/>
          <w:sz w:val="26"/>
        </w:rPr>
        <w:t>- Với Khối Kinh doanh: thống nhất chỉ tiêu doanh số và phối hợp triển khai chiến dịch Ra mắt Quy mô lớn.</w:t>
      </w:r>
    </w:p>
    <w:p>
      <w:pPr>
        <w:spacing w:before="0" w:after="60" w:line="312" w:lineRule="auto"/>
        <w:jc w:val="both"/>
      </w:pPr>
      <w:r>
        <w:rPr>
          <w:rFonts w:ascii="Times New Roman" w:hAnsi="Times New Roman" w:cs="Times New Roman" w:eastAsia="Times New Roman"/>
          <w:b w:val="0"/>
          <w:i w:val="0"/>
          <w:sz w:val="26"/>
        </w:rPr>
        <w:t>- Với Đội Phát triển và Quản lý KOC: tổ chức các phiên Livestream và đo lường hiệu quả từng KOC theo mã giới thiệu.</w:t>
      </w:r>
    </w:p>
    <w:p>
      <w:pPr>
        <w:spacing w:before="0" w:after="60" w:line="312" w:lineRule="auto"/>
        <w:jc w:val="both"/>
      </w:pPr>
      <w:r>
        <w:rPr>
          <w:rFonts w:ascii="Times New Roman" w:hAnsi="Times New Roman" w:cs="Times New Roman" w:eastAsia="Times New Roman"/>
          <w:b w:val="0"/>
          <w:i w:val="0"/>
          <w:sz w:val="26"/>
        </w:rPr>
        <w:t>- Với Khối Công nghệ: đặt yêu cầu cho hệ thống thông báo đẩy theo bán kính, phân nhóm khách hàng và công cụ tạo Phiếu ưu đãi.</w:t>
      </w:r>
    </w:p>
    <w:p>
      <w:pPr>
        <w:spacing w:before="0" w:after="60" w:line="312" w:lineRule="auto"/>
        <w:jc w:val="both"/>
      </w:pPr>
      <w:r>
        <w:rPr>
          <w:rFonts w:ascii="Times New Roman" w:hAnsi="Times New Roman" w:cs="Times New Roman" w:eastAsia="Times New Roman"/>
          <w:b w:val="0"/>
          <w:i w:val="0"/>
          <w:sz w:val="26"/>
        </w:rPr>
        <w:t>- Với Khối Tài chính - Kế toán: kiểm soát ngân sách trợ giá và đối soát chi phí marketing theo từng kênh.</w:t>
      </w:r>
    </w:p>
    <w:p>
      <w:pPr>
        <w:spacing w:before="0" w:after="60" w:line="312" w:lineRule="auto"/>
        <w:jc w:val="both"/>
      </w:pPr>
      <w:r>
        <w:rPr>
          <w:rFonts w:ascii="Times New Roman" w:hAnsi="Times New Roman" w:cs="Times New Roman" w:eastAsia="Times New Roman"/>
          <w:b w:val="0"/>
          <w:i w:val="0"/>
          <w:sz w:val="26"/>
        </w:rPr>
        <w:t>- Với Khối Pháp chế - Tuân thủ: kiểm soát nội dung quảng cáo và tuân thủ quy định về bảo vệ dữ liệu cá nhân trong hoạt động tiếp thị.</w:t>
      </w:r>
    </w:p>
    <w:p>
      <w:pPr>
        <w:spacing w:before="200" w:after="120" w:line="312" w:lineRule="auto"/>
        <w:jc w:val="left"/>
      </w:pPr>
      <w:r>
        <w:rPr>
          <w:rFonts w:ascii="Times New Roman" w:hAnsi="Times New Roman" w:cs="Times New Roman" w:eastAsia="Times New Roman"/>
          <w:b/>
          <w:i w:val="0"/>
          <w:sz w:val="28"/>
        </w:rPr>
        <w:t>PHẦN VII.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Marketing và Thương hiệu chủ trì triển khai các chiến dịch truyền thông đa kênh, quản trị ngân sách trợ giá và kích hoạt tương tác cộng đồng; định kỳ báo cáo kết quả về Ban Tổng Giám đốc.</w:t>
      </w:r>
    </w:p>
    <w:p>
      <w:pPr>
        <w:spacing w:before="120" w:after="120" w:line="312" w:lineRule="auto"/>
        <w:ind w:firstLine="567"/>
        <w:jc w:val="both"/>
      </w:pPr>
      <w:r>
        <w:rPr>
          <w:rFonts w:ascii="Times New Roman" w:hAnsi="Times New Roman" w:cs="Times New Roman" w:eastAsia="Times New Roman"/>
          <w:b w:val="0"/>
          <w:i w:val="0"/>
          <w:sz w:val="26"/>
        </w:rPr>
        <w:t>Khối Marketing và Thương hiệu cùng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