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40"/>
          <w:left w:type="dxa" w:w="0"/>
          <w:bottom w:type="dxa" w:w="40"/>
          <w:right w:type="dxa" w:w="0"/>
        </w:tblCellMar>
      </w:tblPr>
      <w:tblGrid>
        <w:gridCol w:w="3742"/>
        <w:gridCol w:w="5329"/>
      </w:tblGrid>
      <w:tr>
        <w:tc>
          <w:tcPr>
            <w:tcW w:type="dxa" w:w="3742"/>
          </w:tcPr>
          <w:p>
            <w:pPr>
              <w:spacing w:after="0"/>
              <w:jc w:val="center"/>
            </w:pPr>
            <w:r>
              <w:rPr>
                <w:rFonts w:ascii="Times New Roman" w:cs="Times New Roman" w:eastAsia="Times New Roman" w:hAnsi="Times New Roman"/>
                <w:b/>
                <w:bCs/>
                <w:sz w:val="26"/>
                <w:szCs w:val="26"/>
              </w:rPr>
              <w:t xml:space="preserve">CÔNG TY CỔ PHẦN VCOMM VIỆT NAM</w:t>
            </w:r>
          </w:p>
          <w:p>
            <w:pPr>
              <w:pBdr>
                <w:bottom w:val="single" w:color="000000" w:sz="6" w:space="1"/>
              </w:pBdr>
              <w:spacing w:after="0"/>
              <w:ind w:left="1020" w:right="1020"/>
              <w:jc w:val="center"/>
            </w:pPr>
          </w:p>
          <w:p>
            <w:pPr>
              <w:spacing w:after="0" w:before="40"/>
              <w:jc w:val="center"/>
            </w:pPr>
            <w:r>
              <w:rPr>
                <w:rFonts w:ascii="Times New Roman" w:cs="Times New Roman" w:eastAsia="Times New Roman" w:hAnsi="Times New Roman"/>
                <w:sz w:val="26"/>
                <w:szCs w:val="26"/>
              </w:rPr>
              <w:t>Số: 06/KH-VCOMM</w:t>
            </w:r>
          </w:p>
        </w:tc>
        <w:tc>
          <w:tcPr>
            <w:tcW w:type="dxa" w:w="5329"/>
          </w:tcPr>
          <w:p>
            <w:pPr>
              <w:spacing w:after="0"/>
              <w:jc w:val="center"/>
            </w:pPr>
            <w:r>
              <w:rPr>
                <w:rFonts w:ascii="Times New Roman" w:cs="Times New Roman" w:eastAsia="Times New Roman" w:hAnsi="Times New Roman"/>
                <w:b/>
                <w:bCs/>
                <w:sz w:val="24"/>
                <w:szCs w:val="24"/>
              </w:rPr>
              <w:t xml:space="preserve">CỘNG HÒA XÃ HỘI CHỦ NGHĨA VIỆT NAM</w:t>
            </w:r>
          </w:p>
          <w:p>
            <w:pPr>
              <w:spacing w:after="0"/>
              <w:jc w:val="center"/>
            </w:pPr>
            <w:r>
              <w:rPr>
                <w:rFonts w:ascii="Times New Roman" w:cs="Times New Roman" w:eastAsia="Times New Roman" w:hAnsi="Times New Roman"/>
                <w:b/>
                <w:bCs/>
                <w:sz w:val="26"/>
                <w:szCs w:val="26"/>
              </w:rPr>
              <w:t xml:space="preserve">Độc lập - Tự do - Hạnh phúc</w:t>
            </w:r>
          </w:p>
          <w:p>
            <w:pPr>
              <w:pBdr>
                <w:bottom w:val="single" w:color="000000" w:sz="6" w:space="1"/>
              </w:pBdr>
              <w:spacing w:after="0"/>
              <w:ind w:left="964" w:right="964"/>
              <w:jc w:val="center"/>
            </w:pPr>
          </w:p>
          <w:p>
            <w:pPr>
              <w:spacing w:after="0" w:before="40"/>
              <w:jc w:val="center"/>
            </w:pPr>
            <w:r>
              <w:rPr>
                <w:rFonts w:ascii="Times New Roman" w:cs="Times New Roman" w:eastAsia="Times New Roman" w:hAnsi="Times New Roman"/>
                <w:i/>
                <w:iCs/>
                <w:sz w:val="26"/>
                <w:szCs w:val="26"/>
              </w:rPr>
              <w:t>TP. Hồ Chí Minh, ngày 5 tháng 10 năm 2026</w:t>
            </w:r>
          </w:p>
        </w:tc>
      </w:tr>
    </w:tbl>
    <w:p>
      <w:pPr>
        <w:spacing w:before="120" w:after="120" w:line="312" w:lineRule="auto"/>
        <w:jc w:val="center"/>
      </w:pPr>
      <w:r>
        <w:rPr>
          <w:rFonts w:ascii="Times New Roman" w:hAnsi="Times New Roman" w:cs="Times New Roman" w:eastAsia="Times New Roman"/>
          <w:b/>
          <w:i w:val="0"/>
          <w:sz w:val="28"/>
        </w:rPr>
        <w:t>ĐỀ ÁN</w:t>
      </w:r>
    </w:p>
    <w:p>
      <w:pPr>
        <w:spacing w:before="0" w:after="120" w:line="312" w:lineRule="auto"/>
        <w:jc w:val="center"/>
      </w:pPr>
      <w:r>
        <w:rPr>
          <w:rFonts w:ascii="Times New Roman" w:hAnsi="Times New Roman" w:cs="Times New Roman" w:eastAsia="Times New Roman"/>
          <w:b/>
          <w:i w:val="0"/>
          <w:sz w:val="26"/>
        </w:rPr>
        <w:t>Xây dựng tổ chức, nguồn nhân lực và chính sách đãi ngộ Sàn thương mại điện tử VComm giai đoạn 2027 - 2036</w:t>
      </w:r>
    </w:p>
    <w:p>
      <w:pPr>
        <w:spacing w:before="0" w:after="80" w:line="312" w:lineRule="auto"/>
        <w:jc w:val="center"/>
      </w:pPr>
      <w:r>
        <w:rPr>
          <w:rFonts w:ascii="Times New Roman" w:hAnsi="Times New Roman" w:cs="Times New Roman" w:eastAsia="Times New Roman"/>
          <w:b/>
          <w:i w:val="0"/>
          <w:sz w:val="26"/>
        </w:rPr>
        <w:t>CÔNG TY CỔ PHẦN VCOMM VIỆT NAM</w:t>
      </w:r>
    </w:p>
    <w:p>
      <w:pPr>
        <w:spacing w:before="0" w:after="80" w:line="312" w:lineRule="auto"/>
        <w:jc w:val="center"/>
      </w:pPr>
      <w:r>
        <w:rPr>
          <w:rFonts w:ascii="Times New Roman" w:hAnsi="Times New Roman" w:cs="Times New Roman" w:eastAsia="Times New Roman"/>
          <w:b/>
          <w:i w:val="0"/>
          <w:sz w:val="26"/>
        </w:rPr>
        <w:t>KHỐI NHÂN SỰ</w:t>
      </w:r>
    </w:p>
    <w:p>
      <w:pPr>
        <w:spacing w:before="0" w:after="200" w:line="312" w:lineRule="auto"/>
        <w:jc w:val="center"/>
      </w:pPr>
      <w:r>
        <w:rPr>
          <w:rFonts w:ascii="Times New Roman" w:hAnsi="Times New Roman" w:cs="Times New Roman" w:eastAsia="Times New Roman"/>
          <w:b w:val="0"/>
          <w:i/>
          <w:sz w:val="24"/>
        </w:rPr>
        <w:t>Tài liệu tham chiếu: Đề án Tổng thể VComm giai đoạn 2027 - 2036 (số 01/KH-VCOMM).</w:t>
      </w:r>
    </w:p>
    <w:p>
      <w:pPr>
        <w:spacing w:before="200" w:after="120" w:line="312" w:lineRule="auto"/>
        <w:jc w:val="left"/>
      </w:pPr>
      <w:r>
        <w:rPr>
          <w:rFonts w:ascii="Times New Roman" w:hAnsi="Times New Roman" w:cs="Times New Roman" w:eastAsia="Times New Roman"/>
          <w:b/>
          <w:i w:val="0"/>
          <w:sz w:val="28"/>
        </w:rPr>
        <w:t>PHẦN I. CĂN CỨ PHÁP LÝ VÀ MỤC TIÊU</w:t>
      </w:r>
    </w:p>
    <w:p>
      <w:pPr>
        <w:spacing w:before="120" w:after="80" w:line="312" w:lineRule="auto"/>
        <w:jc w:val="left"/>
      </w:pPr>
      <w:r>
        <w:rPr>
          <w:rFonts w:ascii="Times New Roman" w:hAnsi="Times New Roman" w:cs="Times New Roman" w:eastAsia="Times New Roman"/>
          <w:b/>
          <w:i w:val="0"/>
          <w:sz w:val="26"/>
        </w:rPr>
        <w:t>1. Căn cứ pháp lý</w:t>
      </w:r>
    </w:p>
    <w:p>
      <w:pPr>
        <w:spacing w:before="0" w:after="60" w:line="312" w:lineRule="auto"/>
        <w:jc w:val="both"/>
      </w:pPr>
      <w:r>
        <w:rPr>
          <w:rFonts w:ascii="Times New Roman" w:hAnsi="Times New Roman" w:cs="Times New Roman" w:eastAsia="Times New Roman"/>
          <w:b w:val="0"/>
          <w:i w:val="0"/>
          <w:sz w:val="26"/>
        </w:rPr>
        <w:t>- Bộ luật Lao động số 45/2019/QH14 ngày 20 tháng 11 năm 2019 của Quốc hội;</w:t>
      </w:r>
    </w:p>
    <w:p>
      <w:pPr>
        <w:spacing w:before="0" w:after="60" w:line="312" w:lineRule="auto"/>
        <w:jc w:val="both"/>
      </w:pPr>
      <w:r>
        <w:rPr>
          <w:rFonts w:ascii="Times New Roman" w:hAnsi="Times New Roman" w:cs="Times New Roman" w:eastAsia="Times New Roman"/>
          <w:b w:val="0"/>
          <w:i w:val="0"/>
          <w:sz w:val="26"/>
        </w:rPr>
        <w:t>- Luật Bảo hiểm xã hội số 41/2024/QH15 ngày 29 tháng 6 năm 2024 của Quốc hội;</w:t>
      </w:r>
    </w:p>
    <w:p>
      <w:pPr>
        <w:spacing w:before="0" w:after="60" w:line="312" w:lineRule="auto"/>
        <w:jc w:val="both"/>
      </w:pPr>
      <w:r>
        <w:rPr>
          <w:rFonts w:ascii="Times New Roman" w:hAnsi="Times New Roman" w:cs="Times New Roman" w:eastAsia="Times New Roman"/>
          <w:b w:val="0"/>
          <w:i w:val="0"/>
          <w:sz w:val="26"/>
        </w:rPr>
        <w:t>- Luật Doanh nghiệp số 59/2020/QH14 ngày 17 tháng 6 năm 2020 của Quốc hội;</w:t>
      </w:r>
    </w:p>
    <w:p>
      <w:pPr>
        <w:spacing w:before="0" w:after="60" w:line="312" w:lineRule="auto"/>
        <w:jc w:val="both"/>
      </w:pPr>
      <w:r>
        <w:rPr>
          <w:rFonts w:ascii="Times New Roman" w:hAnsi="Times New Roman" w:cs="Times New Roman" w:eastAsia="Times New Roman"/>
          <w:b w:val="0"/>
          <w:i w:val="0"/>
          <w:sz w:val="26"/>
        </w:rPr>
        <w:t>- Nghị quyết Đại hội đồng cổ đông Công ty Cổ phần VComm Việt Nam về định hướng phát triển giai đoạn 2027 - 2036.</w:t>
      </w:r>
    </w:p>
    <w:p>
      <w:pPr>
        <w:spacing w:before="120" w:after="80" w:line="312" w:lineRule="auto"/>
        <w:jc w:val="left"/>
      </w:pPr>
      <w:r>
        <w:rPr>
          <w:rFonts w:ascii="Times New Roman" w:hAnsi="Times New Roman" w:cs="Times New Roman" w:eastAsia="Times New Roman"/>
          <w:b/>
          <w:i w:val="0"/>
          <w:sz w:val="26"/>
        </w:rPr>
        <w:t>2. Mục tiêu của Khối Nhân sự</w:t>
      </w:r>
    </w:p>
    <w:p>
      <w:pPr>
        <w:spacing w:before="0" w:after="120" w:line="312" w:lineRule="auto"/>
        <w:ind w:firstLine="567"/>
        <w:jc w:val="both"/>
      </w:pPr>
      <w:r>
        <w:rPr>
          <w:rFonts w:ascii="Times New Roman" w:hAnsi="Times New Roman" w:cs="Times New Roman" w:eastAsia="Times New Roman"/>
          <w:b w:val="0"/>
          <w:i w:val="0"/>
          <w:sz w:val="26"/>
        </w:rPr>
        <w:t>Xây dựng bộ máy tổ chức tinh gọn, đủ năng lực triển khai Đề án Tổng thể; bảo đảm nguồn nhân sự cho từng giai đoạn theo đúng tiến độ; xây dựng chính sách đãi ngộ và môi trường làm việc giữ chân nhân sự nòng cốt trong suốt giai đoạn tăng trưởng.</w:t>
      </w:r>
    </w:p>
    <w:p>
      <w:pPr>
        <w:spacing w:before="120" w:after="80" w:line="312" w:lineRule="auto"/>
        <w:jc w:val="left"/>
      </w:pPr>
      <w:r>
        <w:rPr>
          <w:rFonts w:ascii="Times New Roman" w:hAnsi="Times New Roman" w:cs="Times New Roman" w:eastAsia="Times New Roman"/>
          <w:b/>
          <w:i w:val="0"/>
          <w:sz w:val="26"/>
        </w:rPr>
        <w:t>3. Phạm vi và nguyên tắc thực hiện</w:t>
      </w:r>
    </w:p>
    <w:p>
      <w:pPr>
        <w:spacing w:before="0" w:after="60" w:line="312" w:lineRule="auto"/>
        <w:jc w:val="both"/>
      </w:pPr>
      <w:r>
        <w:rPr>
          <w:rFonts w:ascii="Times New Roman" w:hAnsi="Times New Roman" w:cs="Times New Roman" w:eastAsia="Times New Roman"/>
          <w:b w:val="0"/>
          <w:i w:val="0"/>
          <w:sz w:val="26"/>
        </w:rPr>
        <w:t>- Phân định rõ trách nhiệm giữa khối tạo doanh thu và khối vận hành nền tảng;</w:t>
      </w:r>
    </w:p>
    <w:p>
      <w:pPr>
        <w:spacing w:before="0" w:after="60" w:line="312" w:lineRule="auto"/>
        <w:jc w:val="both"/>
      </w:pPr>
      <w:r>
        <w:rPr>
          <w:rFonts w:ascii="Times New Roman" w:hAnsi="Times New Roman" w:cs="Times New Roman" w:eastAsia="Times New Roman"/>
          <w:b w:val="0"/>
          <w:i w:val="0"/>
          <w:sz w:val="26"/>
        </w:rPr>
        <w:t>- Tuyển dụng theo đúng nhu cầu công việc, không mở rộng bộ máy trước khi có khối lượng công việc tương xứng;</w:t>
      </w:r>
    </w:p>
    <w:p>
      <w:pPr>
        <w:spacing w:before="0" w:after="60" w:line="312" w:lineRule="auto"/>
        <w:jc w:val="both"/>
      </w:pPr>
      <w:r>
        <w:rPr>
          <w:rFonts w:ascii="Times New Roman" w:hAnsi="Times New Roman" w:cs="Times New Roman" w:eastAsia="Times New Roman"/>
          <w:b w:val="0"/>
          <w:i w:val="0"/>
          <w:sz w:val="26"/>
        </w:rPr>
        <w:t>- Gắn thu nhập với kết quả công việc thực tế và mức độ gắn bó dài hạn với tổ chức.</w:t>
      </w:r>
    </w:p>
    <w:p>
      <w:pPr>
        <w:spacing w:before="200" w:after="120" w:line="312" w:lineRule="auto"/>
        <w:jc w:val="left"/>
      </w:pPr>
      <w:r>
        <w:rPr>
          <w:rFonts w:ascii="Times New Roman" w:hAnsi="Times New Roman" w:cs="Times New Roman" w:eastAsia="Times New Roman"/>
          <w:b/>
          <w:i w:val="0"/>
          <w:sz w:val="28"/>
        </w:rPr>
        <w:t>PHẦN II. NHIỆM VỤ VÀ PHẠM VI PHỤ TRÁCH</w:t>
      </w:r>
    </w:p>
    <w:p>
      <w:pPr>
        <w:spacing w:before="120" w:after="80" w:line="312" w:lineRule="auto"/>
        <w:jc w:val="left"/>
      </w:pPr>
      <w:r>
        <w:rPr>
          <w:rFonts w:ascii="Times New Roman" w:hAnsi="Times New Roman" w:cs="Times New Roman" w:eastAsia="Times New Roman"/>
          <w:b/>
          <w:i w:val="0"/>
          <w:sz w:val="26"/>
        </w:rPr>
        <w:t>1. Cơ cấu tổ chức bộ máy</w:t>
      </w:r>
    </w:p>
    <w:p>
      <w:pPr>
        <w:spacing w:before="0" w:after="120" w:line="312" w:lineRule="auto"/>
        <w:ind w:firstLine="567"/>
        <w:jc w:val="both"/>
      </w:pPr>
      <w:r>
        <w:rPr>
          <w:rFonts w:ascii="Times New Roman" w:hAnsi="Times New Roman" w:cs="Times New Roman" w:eastAsia="Times New Roman"/>
          <w:b w:val="0"/>
          <w:i w:val="0"/>
          <w:sz w:val="26"/>
        </w:rPr>
        <w:t>Bộ máy vận hành VComm được tổ chức theo các khối chức năng trực thuộc Ban Giám đốc, bảo đảm phân định rõ trách nhiệm giữa khối tạo doanh thu (Kinh doanh, Marketing và KOC) và khối vận hành nền tảng (Công nghệ, Logistics, Tài chính, Pháp chế).</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Khối chức năng</w:t>
            </w:r>
          </w:p>
        </w:tc>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Nhiệm vụ chính</w:t>
            </w:r>
          </w:p>
        </w:tc>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Quy mô dự kiến (cuối năm đầu tiên)</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Ban Giám đốc</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Hoạch định chiến lược, phê duyệt ngân sách, giám sát chỉ số toàn hệ thống</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03 - 05 người</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Khối Kinh doanh</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Phát triển người bán, Trạm Hub và khách hàng doanh nghiệp</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50 người nòng cốt, mở rộng theo giai đoạn</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Đội Phát triển và Quản lý KOC</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Tuyển chọn, đào tạo và quản lý mạng lưới KOC/KOL Livestream</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05 - 10 người</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Khối Marketing và Thương hiệu</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Truyền thông, chiến dịch Ra mắt, quản trị ngân sách Phiếu ưu đãi</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03 - 05 người</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Khối Công nghệ</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Phát triển Ứng dụng, 4 Cổng thông tin, iPOS, hạ tầng dữ liệu và bảo mật</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05 - 10 kỹ sư hoặc thuê đội outsource</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Khối Logistics và O2O</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Vận hành kho, mạng lưới Trạm Hub, điều phối giao nhận</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02 - 03 người</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Khối Tài chính - Kế toán</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Đối soát dòng tiền, quản lý tài khoản ký quỹ, báo cáo tài chính</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02 - 03 người</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Khối Pháp chế - Tuân thủ</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Hồ sơ pháp lý Sàn thương mại điện tử, hợp đồng đối tác, tuân thủ thuế</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03 - 05 người</w:t>
            </w:r>
          </w:p>
        </w:tc>
      </w:tr>
    </w:tbl>
    <w:p>
      <w:pPr>
        <w:spacing w:after="0"/>
      </w:pPr>
    </w:p>
    <w:p>
      <w:pPr>
        <w:spacing w:before="120" w:after="80" w:line="312" w:lineRule="auto"/>
        <w:jc w:val="left"/>
      </w:pPr>
      <w:r>
        <w:rPr>
          <w:rFonts w:ascii="Times New Roman" w:hAnsi="Times New Roman" w:cs="Times New Roman" w:eastAsia="Times New Roman"/>
          <w:b/>
          <w:i w:val="0"/>
          <w:sz w:val="26"/>
        </w:rPr>
        <w:t>2. Tuyển dụng theo giai đoạn</w:t>
      </w:r>
    </w:p>
    <w:p>
      <w:pPr>
        <w:spacing w:before="0" w:after="60" w:line="312" w:lineRule="auto"/>
        <w:jc w:val="both"/>
      </w:pPr>
      <w:r>
        <w:rPr>
          <w:rFonts w:ascii="Times New Roman" w:hAnsi="Times New Roman" w:cs="Times New Roman" w:eastAsia="Times New Roman"/>
          <w:b w:val="0"/>
          <w:i w:val="0"/>
          <w:sz w:val="26"/>
        </w:rPr>
        <w:t>- Giai đoạn 1 (Quý I năm 2027): tuyển 05 - 10 nhân sự Đội Phát triển và Quản lý KOC, 50 Đội Kinh doanh Nòng cốt và đội ngũ Công nghệ nòng cốt để hoàn thiện Ứng dụng phiên bản 1.0 và 4 Cổng thông tin.</w:t>
      </w:r>
    </w:p>
    <w:p>
      <w:pPr>
        <w:spacing w:before="0" w:after="60" w:line="312" w:lineRule="auto"/>
        <w:jc w:val="both"/>
      </w:pPr>
      <w:r>
        <w:rPr>
          <w:rFonts w:ascii="Times New Roman" w:hAnsi="Times New Roman" w:cs="Times New Roman" w:eastAsia="Times New Roman"/>
          <w:b w:val="0"/>
          <w:i w:val="0"/>
          <w:sz w:val="26"/>
        </w:rPr>
        <w:t>- Giai đoạn 2 (Quý II năm 2027): bổ sung nhân sự Logistics vận hành 50 Trạm Hub thử nghiệm và đội ngũ chăm sóc khách hàng xử lý khiếu nại.</w:t>
      </w:r>
    </w:p>
    <w:p>
      <w:pPr>
        <w:spacing w:before="0" w:after="60" w:line="312" w:lineRule="auto"/>
        <w:jc w:val="both"/>
      </w:pPr>
      <w:r>
        <w:rPr>
          <w:rFonts w:ascii="Times New Roman" w:hAnsi="Times New Roman" w:cs="Times New Roman" w:eastAsia="Times New Roman"/>
          <w:b w:val="0"/>
          <w:i w:val="0"/>
          <w:sz w:val="26"/>
        </w:rPr>
        <w:t>- Giai đoạn 3 (Quý III năm 2027): mở rộng đội ngũ Kinh doanh lên 500+; tuyển cấp tốc đội ngũ vận hành phủ trên 1.000 cửa hàng cho chiến dịch Ra mắt Quy mô lớn.</w:t>
      </w:r>
    </w:p>
    <w:p>
      <w:pPr>
        <w:spacing w:before="0" w:after="60" w:line="312" w:lineRule="auto"/>
        <w:jc w:val="both"/>
      </w:pPr>
      <w:r>
        <w:rPr>
          <w:rFonts w:ascii="Times New Roman" w:hAnsi="Times New Roman" w:cs="Times New Roman" w:eastAsia="Times New Roman"/>
          <w:b w:val="0"/>
          <w:i w:val="0"/>
          <w:sz w:val="26"/>
        </w:rPr>
        <w:t>- Giai đoạn 4 (Quý IV năm 2027): ổn định tổ chức, thành lập Học viện VComm đào tạo nội bộ, chuẩn bị bộ máy nhân sự cho kế hoạch năm 2028.</w:t>
      </w:r>
    </w:p>
    <w:p>
      <w:pPr>
        <w:spacing w:before="0" w:after="60" w:line="312" w:lineRule="auto"/>
        <w:jc w:val="both"/>
      </w:pPr>
      <w:r>
        <w:rPr>
          <w:rFonts w:ascii="Times New Roman" w:hAnsi="Times New Roman" w:cs="Times New Roman" w:eastAsia="Times New Roman"/>
          <w:b w:val="0"/>
          <w:i w:val="0"/>
          <w:sz w:val="26"/>
        </w:rPr>
        <w:t>- Giai đoạn 2028 - 2036: duy trì đội ngũ nòng cốt, bổ sung nhân sự theo mức độ mở rộng mạng lưới và dịch vụ.</w:t>
      </w:r>
    </w:p>
    <w:p>
      <w:pPr>
        <w:spacing w:before="120" w:after="80" w:line="312" w:lineRule="auto"/>
        <w:jc w:val="left"/>
      </w:pPr>
      <w:r>
        <w:rPr>
          <w:rFonts w:ascii="Times New Roman" w:hAnsi="Times New Roman" w:cs="Times New Roman" w:eastAsia="Times New Roman"/>
          <w:b/>
          <w:i w:val="0"/>
          <w:sz w:val="26"/>
        </w:rPr>
        <w:t>3. Đào tạo và phát triển</w:t>
      </w:r>
    </w:p>
    <w:p>
      <w:pPr>
        <w:spacing w:before="0" w:after="60" w:line="312" w:lineRule="auto"/>
        <w:jc w:val="both"/>
      </w:pPr>
      <w:r>
        <w:rPr>
          <w:rFonts w:ascii="Times New Roman" w:hAnsi="Times New Roman" w:cs="Times New Roman" w:eastAsia="Times New Roman"/>
          <w:b w:val="0"/>
          <w:i w:val="0"/>
          <w:sz w:val="26"/>
        </w:rPr>
        <w:t>- Thành lập Học viện VComm đào tạo KOC, nhân sự Kinh doanh và chủ trạm theo chương trình chuẩn hóa.</w:t>
      </w:r>
    </w:p>
    <w:p>
      <w:pPr>
        <w:spacing w:before="0" w:after="60" w:line="312" w:lineRule="auto"/>
        <w:jc w:val="both"/>
      </w:pPr>
      <w:r>
        <w:rPr>
          <w:rFonts w:ascii="Times New Roman" w:hAnsi="Times New Roman" w:cs="Times New Roman" w:eastAsia="Times New Roman"/>
          <w:b w:val="0"/>
          <w:i w:val="0"/>
          <w:sz w:val="26"/>
        </w:rPr>
        <w:t>- Xây dựng lộ trình nghề nghiệp cho nhân sự nòng cốt theo từng nhóm chuyên môn.</w:t>
      </w:r>
    </w:p>
    <w:p>
      <w:pPr>
        <w:spacing w:before="0" w:after="60" w:line="312" w:lineRule="auto"/>
        <w:jc w:val="both"/>
      </w:pPr>
      <w:r>
        <w:rPr>
          <w:rFonts w:ascii="Times New Roman" w:hAnsi="Times New Roman" w:cs="Times New Roman" w:eastAsia="Times New Roman"/>
          <w:b w:val="0"/>
          <w:i w:val="0"/>
          <w:sz w:val="26"/>
        </w:rPr>
        <w:t>- Trích 5% quỹ lợi nhuận lập quỹ thưởng cổ phần cho nhân sự xuất sắc.</w:t>
      </w:r>
    </w:p>
    <w:p>
      <w:pPr>
        <w:spacing w:before="120" w:after="80" w:line="312" w:lineRule="auto"/>
        <w:jc w:val="left"/>
      </w:pPr>
      <w:r>
        <w:rPr>
          <w:rFonts w:ascii="Times New Roman" w:hAnsi="Times New Roman" w:cs="Times New Roman" w:eastAsia="Times New Roman"/>
          <w:b/>
          <w:i w:val="0"/>
          <w:sz w:val="26"/>
        </w:rPr>
        <w:t>4. Chính sách đãi ngộ</w:t>
      </w:r>
    </w:p>
    <w:p>
      <w:pPr>
        <w:spacing w:before="0" w:after="60" w:line="312" w:lineRule="auto"/>
        <w:jc w:val="both"/>
      </w:pPr>
      <w:r>
        <w:rPr>
          <w:rFonts w:ascii="Times New Roman" w:hAnsi="Times New Roman" w:cs="Times New Roman" w:eastAsia="Times New Roman"/>
          <w:b w:val="0"/>
          <w:i w:val="0"/>
          <w:sz w:val="26"/>
        </w:rPr>
        <w:t>- Áp dụng cơ chế hoa hồng ghi nhận kép cho đội ngũ Kinh doanh và Đội Phát triển và Quản lý KOC: hoa hồng phát triển mới và hoa hồng duy trì theo doanh số định kỳ.</w:t>
      </w:r>
    </w:p>
    <w:p>
      <w:pPr>
        <w:spacing w:before="0" w:after="60" w:line="312" w:lineRule="auto"/>
        <w:jc w:val="both"/>
      </w:pPr>
      <w:r>
        <w:rPr>
          <w:rFonts w:ascii="Times New Roman" w:hAnsi="Times New Roman" w:cs="Times New Roman" w:eastAsia="Times New Roman"/>
          <w:b w:val="0"/>
          <w:i w:val="0"/>
          <w:sz w:val="26"/>
        </w:rPr>
        <w:t>- Bảo đảm chế độ bảo hiểm xã hội, bảo hiểm y tế và các quyền lợi khác theo quy định của Bộ luật Lao động.</w:t>
      </w:r>
    </w:p>
    <w:p>
      <w:pPr>
        <w:spacing w:before="0" w:after="60" w:line="312" w:lineRule="auto"/>
        <w:jc w:val="both"/>
      </w:pPr>
      <w:r>
        <w:rPr>
          <w:rFonts w:ascii="Times New Roman" w:hAnsi="Times New Roman" w:cs="Times New Roman" w:eastAsia="Times New Roman"/>
          <w:b w:val="0"/>
          <w:i w:val="0"/>
          <w:sz w:val="26"/>
        </w:rPr>
        <w:t>- Xây dựng môi trường làm việc minh bạch, gắn kết quả công việc với thu nhập và cơ hội thăng tiến.</w:t>
      </w:r>
    </w:p>
    <w:p>
      <w:pPr>
        <w:spacing w:before="200" w:after="120" w:line="312" w:lineRule="auto"/>
        <w:jc w:val="left"/>
      </w:pPr>
      <w:r>
        <w:rPr>
          <w:rFonts w:ascii="Times New Roman" w:hAnsi="Times New Roman" w:cs="Times New Roman" w:eastAsia="Times New Roman"/>
          <w:b/>
          <w:i w:val="0"/>
          <w:sz w:val="28"/>
        </w:rPr>
        <w:t>PHẦN III. KẾ HOẠCH TRIỂN KHAI THEO GIAI ĐOẠN</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Giai đoạn</w:t>
            </w:r>
          </w:p>
        </w:tc>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Thời gian</w:t>
            </w:r>
          </w:p>
        </w:tc>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Nội dung nhân sự trọng tâm</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Giai đoạn 1</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Quý I năm 2027</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Hoàn thiện cơ cấu tổ chức; tuyển 50 Đội Kinh doanh Nòng cốt, 05 - 10 nhân sự KOC và đội ngũ Công nghệ nòng cốt; ban hành hệ thống thang bảng lương và quy chế hoa hồng.</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Giai đoạn 2</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Quý II năm 2027</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Tuyển nhân sự Logistics và chăm sóc khách hàng; tổ chức đào tạo hội nhập cho nhân sự mới.</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Giai đoạn 3</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Quý III năm 2027</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Tuyển cấp tốc đội ngũ Kinh doanh lên 500+ và nhân sự vận hành; hoàn thiện quy trình đánh giá hiệu suất.</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Giai đoạn 4</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Quý IV năm 2027</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Ổn định tổ chức; thành lập Học viện VComm; rà soát chính sách đãi ngộ và chuẩn bị kế hoạch nhân sự năm 2028.</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Giai đoạn 2028 - 2031</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2028 - 2031</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Triển khai quỹ thưởng cổ phần cho nhân sự xuất sắc; mở rộng đội ngũ theo mức độ phủ sóng toàn quốc.</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Giai đoạn 2032 - 2036</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2032 - 2036</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Duy trì đội ngũ nòng cốt; chuẩn hóa khung năng lực phục vụ niêm yết.</w:t>
            </w:r>
          </w:p>
        </w:tc>
      </w:tr>
    </w:tbl>
    <w:p>
      <w:pPr>
        <w:spacing w:after="0"/>
      </w:pPr>
    </w:p>
    <w:p>
      <w:pPr>
        <w:spacing w:before="200" w:after="120" w:line="312" w:lineRule="auto"/>
        <w:jc w:val="left"/>
      </w:pPr>
      <w:r>
        <w:rPr>
          <w:rFonts w:ascii="Times New Roman" w:hAnsi="Times New Roman" w:cs="Times New Roman" w:eastAsia="Times New Roman"/>
          <w:b/>
          <w:i w:val="0"/>
          <w:sz w:val="28"/>
        </w:rPr>
        <w:t>PHẦN IV. NHU CẦU NHÂN SỰ VÀ NGÂN SÁCH</w:t>
      </w:r>
    </w:p>
    <w:p>
      <w:pPr>
        <w:spacing w:before="120" w:after="80" w:line="312" w:lineRule="auto"/>
        <w:jc w:val="left"/>
      </w:pPr>
      <w:r>
        <w:rPr>
          <w:rFonts w:ascii="Times New Roman" w:hAnsi="Times New Roman" w:cs="Times New Roman" w:eastAsia="Times New Roman"/>
          <w:b/>
          <w:i w:val="0"/>
          <w:sz w:val="26"/>
        </w:rPr>
        <w:t>1. Ngân sách nhân sự</w:t>
      </w:r>
    </w:p>
    <w:p>
      <w:pPr>
        <w:spacing w:before="0" w:after="60" w:line="312" w:lineRule="auto"/>
        <w:jc w:val="both"/>
      </w:pPr>
      <w:r>
        <w:rPr>
          <w:rFonts w:ascii="Times New Roman" w:hAnsi="Times New Roman" w:cs="Times New Roman" w:eastAsia="Times New Roman"/>
          <w:b w:val="0"/>
          <w:i w:val="0"/>
          <w:sz w:val="26"/>
        </w:rPr>
        <w:t>- Ngân sách Nhân sự chiếm 20% tổng vốn đầu tư năm đầu tiên, dùng cho lương và hoa hồng đội ngũ Kinh doanh, vận hành, kỹ thuật và kế toán trong giai đoạn xây dựng.</w:t>
      </w:r>
    </w:p>
    <w:p>
      <w:pPr>
        <w:spacing w:before="0" w:after="60" w:line="312" w:lineRule="auto"/>
        <w:jc w:val="both"/>
      </w:pPr>
      <w:r>
        <w:rPr>
          <w:rFonts w:ascii="Times New Roman" w:hAnsi="Times New Roman" w:cs="Times New Roman" w:eastAsia="Times New Roman"/>
          <w:b w:val="0"/>
          <w:i w:val="0"/>
          <w:sz w:val="26"/>
        </w:rPr>
        <w:t>- Chi phí đào tạo và quỹ thưởng cổ phần được cấu thành trong ngân sách Nhân sự hằng năm.</w:t>
      </w:r>
    </w:p>
    <w:p>
      <w:pPr>
        <w:spacing w:before="120" w:after="80" w:line="312" w:lineRule="auto"/>
        <w:jc w:val="left"/>
      </w:pPr>
      <w:r>
        <w:rPr>
          <w:rFonts w:ascii="Times New Roman" w:hAnsi="Times New Roman" w:cs="Times New Roman" w:eastAsia="Times New Roman"/>
          <w:b/>
          <w:i w:val="0"/>
          <w:sz w:val="26"/>
        </w:rPr>
        <w:t>2. Chỉ số hiệu quả nhân sự</w:t>
      </w:r>
    </w:p>
    <w:p>
      <w:pPr>
        <w:spacing w:before="0" w:after="60" w:line="312" w:lineRule="auto"/>
        <w:jc w:val="both"/>
      </w:pPr>
      <w:r>
        <w:rPr>
          <w:rFonts w:ascii="Times New Roman" w:hAnsi="Times New Roman" w:cs="Times New Roman" w:eastAsia="Times New Roman"/>
          <w:b w:val="0"/>
          <w:i w:val="0"/>
          <w:sz w:val="26"/>
        </w:rPr>
        <w:t>- Theo dõi tỷ lệ hoàn thành tuyển dụng theo từng giai đoạn, tỷ lệ nghỉ việc của nhân sự nòng cốt và mức độ hài lòng của nhân sự.</w:t>
      </w:r>
    </w:p>
    <w:p>
      <w:pPr>
        <w:spacing w:before="0" w:after="60" w:line="312" w:lineRule="auto"/>
        <w:jc w:val="both"/>
      </w:pPr>
      <w:r>
        <w:rPr>
          <w:rFonts w:ascii="Times New Roman" w:hAnsi="Times New Roman" w:cs="Times New Roman" w:eastAsia="Times New Roman"/>
          <w:b w:val="0"/>
          <w:i w:val="0"/>
          <w:sz w:val="26"/>
        </w:rPr>
        <w:t>- Đánh giá hiệu suất theo kết quả công việc gắn với chỉ số của từng khối.</w:t>
      </w:r>
    </w:p>
    <w:p>
      <w:pPr>
        <w:spacing w:before="200" w:after="120" w:line="312" w:lineRule="auto"/>
        <w:jc w:val="left"/>
      </w:pPr>
      <w:r>
        <w:rPr>
          <w:rFonts w:ascii="Times New Roman" w:hAnsi="Times New Roman" w:cs="Times New Roman" w:eastAsia="Times New Roman"/>
          <w:b/>
          <w:i w:val="0"/>
          <w:sz w:val="28"/>
        </w:rPr>
        <w:t>PHẦN V. CHỈ SỐ GIÁM SÁT VÀ ĐÁNH GIÁ</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Chỉ số</w:t>
            </w:r>
          </w:p>
        </w:tc>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Mục tiêu</w:t>
            </w:r>
          </w:p>
        </w:tc>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Tần suất</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Tỷ lệ hoàn thành kế hoạch tuyển dụng</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Từ 90% trở lên</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Hằng quý</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Tỷ lệ nghỉ việc của nhân sự nòng cốt</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Dưới 15% mỗi năm</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Hằng quý</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Số nhân sự được đào tạo qua Học viện VComm</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Theo kế hoạch từng năm</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Hằng quý</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Tỷ lệ nhân sự đạt mục tiêu hiệu suất</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Từ 80% trở lên</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Hằng quý</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Mức độ hài lòng của nhân sự</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Theo dõi xu hướng tăng dần</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Hằng năm</w:t>
            </w:r>
          </w:p>
        </w:tc>
      </w:tr>
    </w:tbl>
    <w:p>
      <w:pPr>
        <w:spacing w:after="0"/>
      </w:pPr>
    </w:p>
    <w:p>
      <w:pPr>
        <w:spacing w:before="200" w:after="120" w:line="312" w:lineRule="auto"/>
        <w:jc w:val="left"/>
      </w:pPr>
      <w:r>
        <w:rPr>
          <w:rFonts w:ascii="Times New Roman" w:hAnsi="Times New Roman" w:cs="Times New Roman" w:eastAsia="Times New Roman"/>
          <w:b/>
          <w:i w:val="0"/>
          <w:sz w:val="28"/>
        </w:rPr>
        <w:t>PHẦN VI. PHỐI HỢP LIÊN KHỐI</w:t>
      </w:r>
    </w:p>
    <w:p>
      <w:pPr>
        <w:spacing w:before="0" w:after="60" w:line="312" w:lineRule="auto"/>
        <w:jc w:val="both"/>
      </w:pPr>
      <w:r>
        <w:rPr>
          <w:rFonts w:ascii="Times New Roman" w:hAnsi="Times New Roman" w:cs="Times New Roman" w:eastAsia="Times New Roman"/>
          <w:b w:val="0"/>
          <w:i w:val="0"/>
          <w:sz w:val="26"/>
        </w:rPr>
        <w:t>- Với Ban Giám đốc: tham mưu cơ cấu tổ chức, thang bảng lương và chính sách đãi ngộ.</w:t>
      </w:r>
    </w:p>
    <w:p>
      <w:pPr>
        <w:spacing w:before="0" w:after="60" w:line="312" w:lineRule="auto"/>
        <w:jc w:val="both"/>
      </w:pPr>
      <w:r>
        <w:rPr>
          <w:rFonts w:ascii="Times New Roman" w:hAnsi="Times New Roman" w:cs="Times New Roman" w:eastAsia="Times New Roman"/>
          <w:b w:val="0"/>
          <w:i w:val="0"/>
          <w:sz w:val="26"/>
        </w:rPr>
        <w:t>- Với Khối Kinh doanh và Đội KOC: xây dựng quy chế hoa hồng ghi nhận kép và chỉ tiêu hiệu suất.</w:t>
      </w:r>
    </w:p>
    <w:p>
      <w:pPr>
        <w:spacing w:before="0" w:after="60" w:line="312" w:lineRule="auto"/>
        <w:jc w:val="both"/>
      </w:pPr>
      <w:r>
        <w:rPr>
          <w:rFonts w:ascii="Times New Roman" w:hAnsi="Times New Roman" w:cs="Times New Roman" w:eastAsia="Times New Roman"/>
          <w:b w:val="0"/>
          <w:i w:val="0"/>
          <w:sz w:val="26"/>
        </w:rPr>
        <w:t>- Với Khối Công nghệ: tuyển dụng kỹ sư và quản lý đội outsource.</w:t>
      </w:r>
    </w:p>
    <w:p>
      <w:pPr>
        <w:spacing w:before="0" w:after="60" w:line="312" w:lineRule="auto"/>
        <w:jc w:val="both"/>
      </w:pPr>
      <w:r>
        <w:rPr>
          <w:rFonts w:ascii="Times New Roman" w:hAnsi="Times New Roman" w:cs="Times New Roman" w:eastAsia="Times New Roman"/>
          <w:b w:val="0"/>
          <w:i w:val="0"/>
          <w:sz w:val="26"/>
        </w:rPr>
        <w:t>- Với Khối Tài chính - Kế toán: kiểm soát quỹ lương, chi phí nhân sự và nghĩa vụ bảo hiểm.</w:t>
      </w:r>
    </w:p>
    <w:p>
      <w:pPr>
        <w:spacing w:before="0" w:after="60" w:line="312" w:lineRule="auto"/>
        <w:jc w:val="both"/>
      </w:pPr>
      <w:r>
        <w:rPr>
          <w:rFonts w:ascii="Times New Roman" w:hAnsi="Times New Roman" w:cs="Times New Roman" w:eastAsia="Times New Roman"/>
          <w:b w:val="0"/>
          <w:i w:val="0"/>
          <w:sz w:val="26"/>
        </w:rPr>
        <w:t>- Với Khối Pháp chế - Tuân thủ: bảo đảm hợp đồng lao động, nội quy lao động và các chế độ phúc lợi đúng quy định.</w:t>
      </w:r>
    </w:p>
    <w:p>
      <w:pPr>
        <w:spacing w:before="200" w:after="120" w:line="312" w:lineRule="auto"/>
        <w:jc w:val="left"/>
      </w:pPr>
      <w:r>
        <w:rPr>
          <w:rFonts w:ascii="Times New Roman" w:hAnsi="Times New Roman" w:cs="Times New Roman" w:eastAsia="Times New Roman"/>
          <w:b/>
          <w:i w:val="0"/>
          <w:sz w:val="28"/>
        </w:rPr>
        <w:t>PHẦN VII. TỔ CHỨC THỰC HIỆN</w:t>
      </w:r>
    </w:p>
    <w:p>
      <w:pPr>
        <w:spacing w:before="0" w:after="120" w:line="312" w:lineRule="auto"/>
        <w:ind w:firstLine="567"/>
        <w:jc w:val="both"/>
      </w:pPr>
      <w:r>
        <w:rPr>
          <w:rFonts w:ascii="Times New Roman" w:hAnsi="Times New Roman" w:cs="Times New Roman" w:eastAsia="Times New Roman"/>
          <w:b w:val="0"/>
          <w:i w:val="0"/>
          <w:sz w:val="26"/>
        </w:rPr>
        <w:t>Khối Nhân sự chủ trì xây dựng cơ cấu tổ chức, tuyển dụng, đào tạo và chính sách đãi ngộ; định kỳ báo cáo tình hình nhân sự về Ban Tổng Giám đốc.</w:t>
      </w:r>
    </w:p>
    <w:p>
      <w:pPr>
        <w:spacing w:before="120" w:after="120" w:line="312" w:lineRule="auto"/>
        <w:ind w:firstLine="567"/>
        <w:jc w:val="both"/>
      </w:pPr>
      <w:r>
        <w:rPr>
          <w:rFonts w:ascii="Times New Roman" w:hAnsi="Times New Roman" w:cs="Times New Roman" w:eastAsia="Times New Roman"/>
          <w:b w:val="0"/>
          <w:i w:val="0"/>
          <w:sz w:val="26"/>
        </w:rPr>
        <w:t>Khối Nhân sự cùng các đơn vị trực thuộc Công ty Cổ phần VComm Việt Nam có trách nhiệm triển khai thực hiện nghiêm túc Đề án này./.</w:t>
      </w:r>
    </w:p>
    <w:tbl>
      <w:tblPr>
        <w:tblW w:type="dxa" w:w="9071"/>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40"/>
          <w:left w:type="dxa" w:w="0"/>
          <w:bottom w:type="dxa" w:w="40"/>
          <w:right w:type="dxa" w:w="0"/>
        </w:tblCellMar>
      </w:tblPr>
      <w:tblGrid>
        <w:gridCol w:w="5216"/>
        <w:gridCol w:w="3855"/>
      </w:tblGrid>
      <w:tr>
        <w:tc>
          <w:tcPr>
            <w:tcW w:type="dxa" w:w="5216"/>
          </w:tcPr>
          <w:p>
            <w:pPr>
              <w:spacing w:after="0"/>
            </w:pPr>
            <w:r>
              <w:rPr>
                <w:rFonts w:ascii="Times New Roman" w:cs="Times New Roman" w:eastAsia="Times New Roman" w:hAnsi="Times New Roman"/>
                <w:b/>
                <w:bCs/>
                <w:i/>
                <w:iCs/>
                <w:sz w:val="24"/>
                <w:szCs w:val="24"/>
              </w:rPr>
              <w:t xml:space="preserve">Nơi nhận:</w:t>
            </w:r>
          </w:p>
          <w:p>
            <w:pPr>
              <w:spacing w:after="0"/>
            </w:pPr>
            <w:r>
              <w:rPr>
                <w:rFonts w:ascii="Times New Roman" w:cs="Times New Roman" w:eastAsia="Times New Roman" w:hAnsi="Times New Roman"/>
                <w:sz w:val="22"/>
                <w:szCs w:val="24"/>
              </w:rPr>
              <w:t xml:space="preserve">- Hội đồng Quản trị (để báo cáo);</w:t>
            </w:r>
          </w:p>
          <w:p>
            <w:pPr>
              <w:spacing w:after="0"/>
            </w:pPr>
            <w:r>
              <w:rPr>
                <w:rFonts w:ascii="Times New Roman" w:cs="Times New Roman" w:eastAsia="Times New Roman" w:hAnsi="Times New Roman"/>
                <w:sz w:val="22"/>
                <w:szCs w:val="24"/>
              </w:rPr>
              <w:t xml:space="preserve">- Ban Tổng Giám đốc (để chỉ đạo);</w:t>
            </w:r>
          </w:p>
          <w:p>
            <w:pPr>
              <w:spacing w:after="0"/>
            </w:pPr>
            <w:r>
              <w:rPr>
                <w:rFonts w:ascii="Times New Roman" w:cs="Times New Roman" w:eastAsia="Times New Roman" w:hAnsi="Times New Roman"/>
                <w:sz w:val="22"/>
                <w:szCs w:val="24"/>
              </w:rPr>
              <w:t xml:space="preserve">- Các Khối, Phòng, Ban thuộc Công ty;</w:t>
            </w:r>
          </w:p>
          <w:p>
            <w:pPr>
              <w:spacing w:after="0"/>
            </w:pPr>
            <w:r>
              <w:rPr>
                <w:rFonts w:ascii="Times New Roman" w:cs="Times New Roman" w:eastAsia="Times New Roman" w:hAnsi="Times New Roman"/>
                <w:sz w:val="22"/>
                <w:szCs w:val="24"/>
              </w:rPr>
              <w:t xml:space="preserve">- Lưu: VT, DA.</w:t>
            </w:r>
          </w:p>
        </w:tc>
        <w:tc>
          <w:tcPr>
            <w:tcW w:type="dxa" w:w="3855"/>
          </w:tcPr>
          <w:p>
            <w:pPr>
              <w:spacing w:after="0"/>
              <w:jc w:val="center"/>
            </w:pPr>
            <w:r>
              <w:rPr>
                <w:rFonts w:ascii="Times New Roman" w:cs="Times New Roman" w:eastAsia="Times New Roman" w:hAnsi="Times New Roman"/>
                <w:b/>
                <w:bCs/>
                <w:sz w:val="26"/>
                <w:szCs w:val="26"/>
              </w:rPr>
              <w:t xml:space="preserve">TỔNG GIÁM ĐỐC</w:t>
            </w:r>
          </w:p>
          <w:p>
            <w:pPr>
              <w:spacing w:after="0"/>
              <w:jc w:val="center"/>
            </w:pPr>
            <w:r>
              <w:rPr>
                <w:rFonts w:ascii="Times New Roman" w:cs="Times New Roman" w:eastAsia="Times New Roman" w:hAnsi="Times New Roman"/>
                <w:i/>
                <w:iCs/>
                <w:sz w:val="26"/>
                <w:szCs w:val="26"/>
              </w:rPr>
              <w:t xml:space="preserve">(Ký, ghi rõ họ tên và đóng dấu)</w:t>
            </w:r>
          </w:p>
          <w:p>
            <w:pPr>
              <w:spacing w:after="0"/>
            </w:pPr>
          </w:p>
          <w:p>
            <w:pPr>
              <w:spacing w:after="0"/>
            </w:pPr>
          </w:p>
          <w:p>
            <w:pPr>
              <w:spacing w:after="0"/>
            </w:pPr>
          </w:p>
        </w:tc>
      </w:tr>
    </w:tbl>
    <w:sectPr>
      <w:footerReference w:type="default" r:id="rId7"/>
      <w:footerReference w:type="first" r:id="rId8"/>
      <w:pgSz w:w="11906" w:h="16838" w:orient="portrait"/>
      <w:pgMar w:top="1134" w:right="1134" w:bottom="1134" w:left="1701" w:header="708"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2026-10-05T05:12:11.859Z</dcterms:created>
  <dcterms:modified xsi:type="dcterms:W3CDTF">2026-10-05T05:12:11.859Z</dcterms:modified>
</cp:coreProperties>
</file>

<file path=docProps/custom.xml><?xml version="1.0" encoding="utf-8"?>
<Properties xmlns="http://schemas.openxmlformats.org/officeDocument/2006/custom-properties" xmlns:vt="http://schemas.openxmlformats.org/officeDocument/2006/docPropsVTypes"/>
</file>