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07/KH-VCOMM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Bảo đảm pháp lý, tuân thủ và quản trị rủi ro cho Sàn thương mại điện tử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PHÁP CHẾ - TUÂN THỦ</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Doanh nghiệp số 59/2020/QH14 ngày 17 tháng 6 năm 2020 của Quốc hội;</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Nghị định số 123/2020/NĐ-CP và Nghị định số 70/2025/NĐ-CP về hóa đơn, chứng từ điện tử;</w:t>
      </w:r>
    </w:p>
    <w:p>
      <w:pPr>
        <w:spacing w:before="0" w:after="60" w:line="312" w:lineRule="auto"/>
        <w:jc w:val="both"/>
      </w:pPr>
      <w:r>
        <w:rPr>
          <w:rFonts w:ascii="Times New Roman" w:hAnsi="Times New Roman" w:cs="Times New Roman" w:eastAsia="Times New Roman"/>
          <w:b w:val="0"/>
          <w:i w:val="0"/>
          <w:sz w:val="26"/>
        </w:rPr>
        <w:t>- Nghị định số 13/2023/NĐ-CP ngày 17 tháng 4 năm 2023 của Chính phủ về bảo vệ dữ liệu cá nhân;</w:t>
      </w:r>
    </w:p>
    <w:p>
      <w:pPr>
        <w:spacing w:before="0" w:after="60" w:line="312" w:lineRule="auto"/>
        <w:jc w:val="both"/>
      </w:pPr>
      <w:r>
        <w:rPr>
          <w:rFonts w:ascii="Times New Roman" w:hAnsi="Times New Roman" w:cs="Times New Roman" w:eastAsia="Times New Roman"/>
          <w:b w:val="0"/>
          <w:i w:val="0"/>
          <w:sz w:val="26"/>
        </w:rPr>
        <w:t>- Luật Quản lý thuế và các văn bản hướng dẫn thi hành hiện hành;</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Pháp chế - Tuân thủ</w:t>
      </w:r>
    </w:p>
    <w:p>
      <w:pPr>
        <w:spacing w:before="0" w:after="120" w:line="312" w:lineRule="auto"/>
        <w:ind w:firstLine="567"/>
        <w:jc w:val="both"/>
      </w:pPr>
      <w:r>
        <w:rPr>
          <w:rFonts w:ascii="Times New Roman" w:hAnsi="Times New Roman" w:cs="Times New Roman" w:eastAsia="Times New Roman"/>
          <w:b w:val="0"/>
          <w:i w:val="0"/>
          <w:sz w:val="26"/>
        </w:rPr>
        <w:t>Bảo đảm toàn bộ hoạt động của nền tảng VComm tuân thủ đúng quy định pháp luật về thương mại điện tử, thuế, hóa đơn điện tử và bảo vệ dữ liệu cá nhân; bảo vệ uy tín thương hiệu và quyền lợi người tiêu dùng; xử lý kịp thời các rủi ro pháp lý và rủi ro gian lận phát sinh trong quá trình vận hành.</w:t>
      </w:r>
    </w:p>
    <w:p>
      <w:pPr>
        <w:spacing w:before="120" w:after="80" w:line="312" w:lineRule="auto"/>
        <w:jc w:val="left"/>
      </w:pPr>
      <w:r>
        <w:rPr>
          <w:rFonts w:ascii="Times New Roman" w:hAnsi="Times New Roman" w:cs="Times New Roman" w:eastAsia="Times New Roman"/>
          <w:b/>
          <w:i w:val="0"/>
          <w:sz w:val="26"/>
        </w:rPr>
        <w:t>3. Nguyên tắc thực hiện</w:t>
      </w:r>
    </w:p>
    <w:p>
      <w:pPr>
        <w:spacing w:before="0" w:after="60" w:line="312" w:lineRule="auto"/>
        <w:jc w:val="both"/>
      </w:pPr>
      <w:r>
        <w:rPr>
          <w:rFonts w:ascii="Times New Roman" w:hAnsi="Times New Roman" w:cs="Times New Roman" w:eastAsia="Times New Roman"/>
          <w:b w:val="0"/>
          <w:i w:val="0"/>
          <w:sz w:val="26"/>
        </w:rPr>
        <w:t>- Tuân thủ nghiêm ngặt quy định về thương mại điện tử và hoàn tất thủ tục đăng ký hoạt động sàn với cơ quan quản lý nhà nước trước khi vận hành chính thức;</w:t>
      </w:r>
    </w:p>
    <w:p>
      <w:pPr>
        <w:spacing w:before="0" w:after="60" w:line="312" w:lineRule="auto"/>
        <w:jc w:val="both"/>
      </w:pPr>
      <w:r>
        <w:rPr>
          <w:rFonts w:ascii="Times New Roman" w:hAnsi="Times New Roman" w:cs="Times New Roman" w:eastAsia="Times New Roman"/>
          <w:b w:val="0"/>
          <w:i w:val="0"/>
          <w:sz w:val="26"/>
        </w:rPr>
        <w:t>- Triệt tiêu hoàn toàn các biến tướng tài chính: mọi giao dịch đều kèm luân chuyển hàng hóa thật và hóa đơn chứng từ hợp pháp;</w:t>
      </w:r>
    </w:p>
    <w:p>
      <w:pPr>
        <w:spacing w:before="0" w:after="60" w:line="312" w:lineRule="auto"/>
        <w:jc w:val="both"/>
      </w:pPr>
      <w:r>
        <w:rPr>
          <w:rFonts w:ascii="Times New Roman" w:hAnsi="Times New Roman" w:cs="Times New Roman" w:eastAsia="Times New Roman"/>
          <w:b w:val="0"/>
          <w:i w:val="0"/>
          <w:sz w:val="26"/>
        </w:rPr>
        <w:t>- Tuyệt đối không sử dụng tiền ký quỹ của người mua cho mục đích đầu tư rủi ro; dòng tiền ký quỹ được tách biệt hoàn toàn khỏi dòng tiền hoạt động của doanh nghiệp.</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Hồ sơ pháp lý và đăng ký hoạt động</w:t>
      </w:r>
    </w:p>
    <w:p>
      <w:pPr>
        <w:spacing w:before="0" w:after="60" w:line="312" w:lineRule="auto"/>
        <w:jc w:val="both"/>
      </w:pPr>
      <w:r>
        <w:rPr>
          <w:rFonts w:ascii="Times New Roman" w:hAnsi="Times New Roman" w:cs="Times New Roman" w:eastAsia="Times New Roman"/>
          <w:b w:val="0"/>
          <w:i w:val="0"/>
          <w:sz w:val="26"/>
        </w:rPr>
        <w:t>- Hoàn thiện hồ sơ đăng ký Sàn thương mại điện tử với Bộ Công Thương trước thời điểm vận hành chính thức Ứng dụng phiên bản 1.0.</w:t>
      </w:r>
    </w:p>
    <w:p>
      <w:pPr>
        <w:spacing w:before="0" w:after="60" w:line="312" w:lineRule="auto"/>
        <w:jc w:val="both"/>
      </w:pPr>
      <w:r>
        <w:rPr>
          <w:rFonts w:ascii="Times New Roman" w:hAnsi="Times New Roman" w:cs="Times New Roman" w:eastAsia="Times New Roman"/>
          <w:b w:val="0"/>
          <w:i w:val="0"/>
          <w:sz w:val="26"/>
        </w:rPr>
        <w:t>- Quản lý giấy chứng nhận đăng ký doanh nghiệp, điều lệ công ty và các giấy phép liên quan; cập nhật kịp thời khi có thay đổi.</w:t>
      </w:r>
    </w:p>
    <w:p>
      <w:pPr>
        <w:spacing w:before="0" w:after="60" w:line="312" w:lineRule="auto"/>
        <w:jc w:val="both"/>
      </w:pPr>
      <w:r>
        <w:rPr>
          <w:rFonts w:ascii="Times New Roman" w:hAnsi="Times New Roman" w:cs="Times New Roman" w:eastAsia="Times New Roman"/>
          <w:b w:val="0"/>
          <w:i w:val="0"/>
          <w:sz w:val="26"/>
        </w:rPr>
        <w:t>- Rà soát và cập nhật điều khoản sử dụng nền tảng, chính sách bảo mật và chính sách xử lý dữ liệu cá nhân theo quy định hiện hành.</w:t>
      </w:r>
    </w:p>
    <w:p>
      <w:pPr>
        <w:spacing w:before="120" w:after="80" w:line="312" w:lineRule="auto"/>
        <w:jc w:val="left"/>
      </w:pPr>
      <w:r>
        <w:rPr>
          <w:rFonts w:ascii="Times New Roman" w:hAnsi="Times New Roman" w:cs="Times New Roman" w:eastAsia="Times New Roman"/>
          <w:b/>
          <w:i w:val="0"/>
          <w:sz w:val="26"/>
        </w:rPr>
        <w:t>2. Hợp đồng và kiểm soát đối tác</w:t>
      </w:r>
    </w:p>
    <w:p>
      <w:pPr>
        <w:spacing w:before="0" w:after="60" w:line="312" w:lineRule="auto"/>
        <w:jc w:val="both"/>
      </w:pPr>
      <w:r>
        <w:rPr>
          <w:rFonts w:ascii="Times New Roman" w:hAnsi="Times New Roman" w:cs="Times New Roman" w:eastAsia="Times New Roman"/>
          <w:b w:val="0"/>
          <w:i w:val="0"/>
          <w:sz w:val="26"/>
        </w:rPr>
        <w:t>- Xây dựng bộ hợp đồng mẫu với Nhà cung cấp, Nhà máy, người bán, chủ Trạm Hub, KOC và đối tác vận chuyển.</w:t>
      </w:r>
    </w:p>
    <w:p>
      <w:pPr>
        <w:spacing w:before="0" w:after="60" w:line="312" w:lineRule="auto"/>
        <w:jc w:val="both"/>
      </w:pPr>
      <w:r>
        <w:rPr>
          <w:rFonts w:ascii="Times New Roman" w:hAnsi="Times New Roman" w:cs="Times New Roman" w:eastAsia="Times New Roman"/>
          <w:b w:val="0"/>
          <w:i w:val="0"/>
          <w:sz w:val="26"/>
        </w:rPr>
        <w:t>- Thẩm định hồ sơ pháp lý của Nhà cung cấp và người bán trước khi ký kết, gồm giấy chứng nhận đăng ký kinh doanh, mã số thuế và quyền phân phối.</w:t>
      </w:r>
    </w:p>
    <w:p>
      <w:pPr>
        <w:spacing w:before="0" w:after="60" w:line="312" w:lineRule="auto"/>
        <w:jc w:val="both"/>
      </w:pPr>
      <w:r>
        <w:rPr>
          <w:rFonts w:ascii="Times New Roman" w:hAnsi="Times New Roman" w:cs="Times New Roman" w:eastAsia="Times New Roman"/>
          <w:b w:val="0"/>
          <w:i w:val="0"/>
          <w:sz w:val="26"/>
        </w:rPr>
        <w:t>- Kiểm soát điều khoản ký quỹ chất lượng và chế tài xử lý vi phạm đối với nhà bán.</w:t>
      </w:r>
    </w:p>
    <w:p>
      <w:pPr>
        <w:spacing w:before="120" w:after="80" w:line="312" w:lineRule="auto"/>
        <w:jc w:val="left"/>
      </w:pPr>
      <w:r>
        <w:rPr>
          <w:rFonts w:ascii="Times New Roman" w:hAnsi="Times New Roman" w:cs="Times New Roman" w:eastAsia="Times New Roman"/>
          <w:b/>
          <w:i w:val="0"/>
          <w:sz w:val="26"/>
        </w:rPr>
        <w:t>3. Xác thực chính hãng và bảo vệ người tiêu dùng</w:t>
      </w:r>
    </w:p>
    <w:p>
      <w:pPr>
        <w:spacing w:before="0" w:after="60" w:line="312" w:lineRule="auto"/>
        <w:jc w:val="both"/>
      </w:pPr>
      <w:r>
        <w:rPr>
          <w:rFonts w:ascii="Times New Roman" w:hAnsi="Times New Roman" w:cs="Times New Roman" w:eastAsia="Times New Roman"/>
          <w:b w:val="0"/>
          <w:i w:val="0"/>
          <w:sz w:val="26"/>
        </w:rPr>
        <w:t>- Vận hành bộ tiêu chuẩn xét duyệt gian hàng chính hãng gồm 5 tiêu chí: pháp lý doanh nghiệp, quyền phân phối, nguồn gốc hàng hóa, chất lượng sản phẩm và cam kết hậu mãi.</w:t>
      </w:r>
    </w:p>
    <w:p>
      <w:pPr>
        <w:spacing w:before="0" w:after="60" w:line="312" w:lineRule="auto"/>
        <w:jc w:val="both"/>
      </w:pPr>
      <w:r>
        <w:rPr>
          <w:rFonts w:ascii="Times New Roman" w:hAnsi="Times New Roman" w:cs="Times New Roman" w:eastAsia="Times New Roman"/>
          <w:b w:val="0"/>
          <w:i w:val="0"/>
          <w:sz w:val="26"/>
        </w:rPr>
        <w:t>- Kiểm soát cam kết đền bù 100% giá trị đơn hàng, cộng mức phạt uy tín gấp 2 - 3 lần giá trị sản phẩm bằng Điểm thưởng V-Xu, khi phát hiện hàng giả, hàng nhái, hàng kém chất lượng.</w:t>
      </w:r>
    </w:p>
    <w:p>
      <w:pPr>
        <w:spacing w:before="0" w:after="60" w:line="312" w:lineRule="auto"/>
        <w:jc w:val="both"/>
      </w:pPr>
      <w:r>
        <w:rPr>
          <w:rFonts w:ascii="Times New Roman" w:hAnsi="Times New Roman" w:cs="Times New Roman" w:eastAsia="Times New Roman"/>
          <w:b w:val="0"/>
          <w:i w:val="0"/>
          <w:sz w:val="26"/>
        </w:rPr>
        <w:t>- Bảo đảm gian hàng vi phạm cam kết chính hãng bị đình chỉ bán hàng ngay lập tức trong thời gian xác minh và bị loại bỏ vĩnh viễn nếu vi phạm được xác nhận.</w:t>
      </w:r>
    </w:p>
    <w:p>
      <w:pPr>
        <w:spacing w:before="120" w:after="80" w:line="312" w:lineRule="auto"/>
        <w:jc w:val="left"/>
      </w:pPr>
      <w:r>
        <w:rPr>
          <w:rFonts w:ascii="Times New Roman" w:hAnsi="Times New Roman" w:cs="Times New Roman" w:eastAsia="Times New Roman"/>
          <w:b/>
          <w:i w:val="0"/>
          <w:sz w:val="26"/>
        </w:rPr>
        <w:t>4. Tuân thủ thuế và hóa đơn điện tử</w:t>
      </w:r>
    </w:p>
    <w:p>
      <w:pPr>
        <w:spacing w:before="0" w:after="60" w:line="312" w:lineRule="auto"/>
        <w:jc w:val="both"/>
      </w:pPr>
      <w:r>
        <w:rPr>
          <w:rFonts w:ascii="Times New Roman" w:hAnsi="Times New Roman" w:cs="Times New Roman" w:eastAsia="Times New Roman"/>
          <w:b w:val="0"/>
          <w:i w:val="0"/>
          <w:sz w:val="26"/>
        </w:rPr>
        <w:t>- Kiểm soát việc lập biên bản nhập hàng và xuất hóa đơn điện tử từ Nhà máy trực tiếp cho Cửa hàng, bảo đảm bộ chứng từ hợp lệ để kê khai thuế giá trị gia tăng đầu vào.</w:t>
      </w:r>
    </w:p>
    <w:p>
      <w:pPr>
        <w:spacing w:before="0" w:after="60" w:line="312" w:lineRule="auto"/>
        <w:jc w:val="both"/>
      </w:pPr>
      <w:r>
        <w:rPr>
          <w:rFonts w:ascii="Times New Roman" w:hAnsi="Times New Roman" w:cs="Times New Roman" w:eastAsia="Times New Roman"/>
          <w:b w:val="0"/>
          <w:i w:val="0"/>
          <w:sz w:val="26"/>
        </w:rPr>
        <w:t>- Kiểm soát cơ chế tự động khấu trừ thuế thu nhập cá nhân tại nguồn cho KOC và đội ngũ Kinh doanh.</w:t>
      </w:r>
    </w:p>
    <w:p>
      <w:pPr>
        <w:spacing w:before="0" w:after="60" w:line="312" w:lineRule="auto"/>
        <w:jc w:val="both"/>
      </w:pPr>
      <w:r>
        <w:rPr>
          <w:rFonts w:ascii="Times New Roman" w:hAnsi="Times New Roman" w:cs="Times New Roman" w:eastAsia="Times New Roman"/>
          <w:b w:val="0"/>
          <w:i w:val="0"/>
          <w:sz w:val="26"/>
        </w:rPr>
        <w:t>- Kiểm soát việc kê khai, nộp thay thuế thu nhập cá nhân và giá trị gia tăng cho chủ Trạm Hub, đồng thời tách biệt dòng tiền qua tài khoản đảm bảo mở tại ngân hàng liên kết.</w:t>
      </w:r>
    </w:p>
    <w:p>
      <w:pPr>
        <w:spacing w:before="120" w:after="80" w:line="312" w:lineRule="auto"/>
        <w:jc w:val="left"/>
      </w:pPr>
      <w:r>
        <w:rPr>
          <w:rFonts w:ascii="Times New Roman" w:hAnsi="Times New Roman" w:cs="Times New Roman" w:eastAsia="Times New Roman"/>
          <w:b/>
          <w:i w:val="0"/>
          <w:sz w:val="26"/>
        </w:rPr>
        <w:t>5. Quản trị rủi ro và chống gian lận</w:t>
      </w:r>
    </w:p>
    <w:p>
      <w:pPr>
        <w:spacing w:before="0" w:after="60" w:line="312" w:lineRule="auto"/>
        <w:jc w:val="both"/>
      </w:pPr>
      <w:r>
        <w:rPr>
          <w:rFonts w:ascii="Times New Roman" w:hAnsi="Times New Roman" w:cs="Times New Roman" w:eastAsia="Times New Roman"/>
          <w:b w:val="0"/>
          <w:i w:val="0"/>
          <w:sz w:val="26"/>
        </w:rPr>
        <w:t>- Chính sách 3 Cờ: áp dụng phạt hoa hồng, khóa ví và chấm dứt hợp đồng vĩnh viễn nếu chủ Trạm Hub vi phạm chất lượng phục vụ hoặc gian lận quá 3 lần.</w:t>
      </w:r>
    </w:p>
    <w:p>
      <w:pPr>
        <w:spacing w:before="0" w:after="60" w:line="312" w:lineRule="auto"/>
        <w:jc w:val="both"/>
      </w:pPr>
      <w:r>
        <w:rPr>
          <w:rFonts w:ascii="Times New Roman" w:hAnsi="Times New Roman" w:cs="Times New Roman" w:eastAsia="Times New Roman"/>
          <w:b w:val="0"/>
          <w:i w:val="0"/>
          <w:sz w:val="26"/>
        </w:rPr>
        <w:t>- Phối hợp kiểm soát cơ chế chống bẫy Phiếu ưu đãi và tài khoản giả mạo: xác thực định vị tại điểm nhận hàng trùng tọa độ Trạm Hub, khóa địa chỉ thiết bị và tự động gắn cờ đỏ khi phát hiện dấu hiệu bất thường.</w:t>
      </w:r>
    </w:p>
    <w:p>
      <w:pPr>
        <w:spacing w:before="0" w:after="60" w:line="312" w:lineRule="auto"/>
        <w:jc w:val="both"/>
      </w:pPr>
      <w:r>
        <w:rPr>
          <w:rFonts w:ascii="Times New Roman" w:hAnsi="Times New Roman" w:cs="Times New Roman" w:eastAsia="Times New Roman"/>
          <w:b w:val="0"/>
          <w:i w:val="0"/>
          <w:sz w:val="26"/>
        </w:rPr>
        <w:t>- Kiểm soát việc dùng tem vỡ niêm phong và mã QR truy xuất nguồn gốc để bảo vệ hàng hóa trong chuỗi cung ứng.</w:t>
      </w:r>
    </w:p>
    <w:p>
      <w:pPr>
        <w:spacing w:before="200" w:after="120" w:line="312" w:lineRule="auto"/>
        <w:jc w:val="left"/>
      </w:pPr>
      <w:r>
        <w:rPr>
          <w:rFonts w:ascii="Times New Roman" w:hAnsi="Times New Roman" w:cs="Times New Roman" w:eastAsia="Times New Roman"/>
          <w:b/>
          <w:i w:val="0"/>
          <w:sz w:val="28"/>
        </w:rPr>
        <w:t>PHẦN III. MA TRẬN RỦI RO VÀ BIỆN PHÁP GIẢM THIỂU</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rủi ro</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Mô tả rủi ro</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Biện pháp giảm thiểu</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Rủi ro pháp lý và thuế</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Sai sót kê khai thuế của hộ kinh doanh, chậm đăng ký Sàn thương mại điện tử</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Tích hợp khấu trừ thuế tự động qua VComm iPOS; hoàn thiện hồ sơ đăng ký Bộ Công Thương trước ngày vận hành chính thức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Rủi ro gian lận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Tạo tài khoản ảo trục lợi Phiếu ưu đãi, hàng giả trà trộn trong chuỗi cung ứng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Xác thực định vị và địa chỉ thiết bị; tem niêm phong chống giả; chính sách 3 Cờ</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Rủi ro dữ liệu cá nhân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Thu thập và xử lý dữ liệu khách hàng chưa đúng quy định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Áp dụng nghiêm ngặt quy định bảo vệ dữ liệu cá nhân; mã hóa dữ liệu người dùng; công khai chính sách xử lý dữ liệu</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Rủi ro hợp đồng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Tranh chấp với Nhà cung cấp, người bán hoặc đối tác vận chuyển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Chuẩn hóa hợp đồng mẫu; thẩm định hồ sơ đối tác trước khi ký kết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Rủi ro uy tín thương hiệu</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Hàng giả, hàng nhái ảnh hưởng đến niềm tin người tiêu dùng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bộ tiêu chuẩn xác thực chính hãng; xử lý khiếu nại trong vòng 24 giờ</w:t>
            </w:r>
          </w:p>
        </w:tc>
      </w:tr>
    </w:tbl>
    <w:p>
      <w:pPr>
        <w:spacing w:after="0"/>
      </w:pPr>
    </w:p>
    <w:p>
      <w:pPr>
        <w:spacing w:before="200" w:after="120" w:line="312" w:lineRule="auto"/>
        <w:jc w:val="left"/>
      </w:pPr>
      <w:r>
        <w:rPr>
          <w:rFonts w:ascii="Times New Roman" w:hAnsi="Times New Roman" w:cs="Times New Roman" w:eastAsia="Times New Roman"/>
          <w:b/>
          <w:i w:val="0"/>
          <w:sz w:val="28"/>
        </w:rPr>
        <w:t>PHẦN IV.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pháp chế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thiện hồ sơ đăng ký Sàn thương mại điện tử; ban hành bộ hợp đồng mẫu; ban hành bộ tiêu chuẩn xét duyệt gian hàng chính hãng; xây dựng chính sách bảo vệ dữ liệu cá nhân.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Thẩm định hồ sơ nhóm Nhà cung cấp và Trạm Hub thí điểm; chạy thử kênh báo cáo hàng giả; rà soát điều khoản sử dụng nền tảng.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Kiểm soát hồ sơ pháp lý cho làn sóng đăng ký đại trà; bảo đảm 100% nguồn hàng của các trụ cột tăng trưởng đạt chuẩn xác thực trước khi niêm yết.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Rà soát tuân thủ toàn diện; đánh giá hiệu quả chính sách 3 Cờ; chuẩn bị hồ sơ pháp lý cho năm 2028.</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Cập nhật quy định pháp luật mới; kiểm soát tuân thủ khi mở rộng toàn quốc; hoàn thiện hồ sơ phục vụ gọi vốn.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Chuẩn bị hồ sơ pháp lý và quản trị công ty phục vụ niêm yết.</w:t>
            </w:r>
          </w:p>
        </w:tc>
      </w:tr>
    </w:tbl>
    <w:p>
      <w:pPr>
        <w:spacing w:after="0"/>
      </w:pPr>
    </w:p>
    <w:p>
      <w:pPr>
        <w:spacing w:before="200" w:after="120" w:line="312" w:lineRule="auto"/>
        <w:jc w:val="left"/>
      </w:pPr>
      <w:r>
        <w:rPr>
          <w:rFonts w:ascii="Times New Roman" w:hAnsi="Times New Roman" w:cs="Times New Roman" w:eastAsia="Times New Roman"/>
          <w:b/>
          <w:i w:val="0"/>
          <w:sz w:val="28"/>
        </w:rPr>
        <w:t>PHẦN 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Pháp lý doanh nghiệp và hợp đồng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Hồ sơ pháp lý, hợp đồng đối tác, điều khoản sử dụng nền tảng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Tuân thủ thuế và hóa đơn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Kiểm soát khấu trừ thuế, hóa đơn điện tử và đối soát nghĩa vụ thuế</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01 - 02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Kiểm soát chất lượng và xác thực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Thẩm định gian hàng chính hãng, kiểm định chất lượng định kỳ</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01 - 02 người</w:t>
            </w:r>
          </w:p>
        </w:tc>
      </w:tr>
    </w:tbl>
    <w:p>
      <w:pPr>
        <w:spacing w:after="0"/>
      </w:pPr>
    </w:p>
    <w:p>
      <w:pPr>
        <w:spacing w:before="120" w:after="80" w:line="312" w:lineRule="auto"/>
        <w:jc w:val="left"/>
      </w:pPr>
      <w:r>
        <w:rPr>
          <w:rFonts w:ascii="Times New Roman" w:hAnsi="Times New Roman" w:cs="Times New Roman" w:eastAsia="Times New Roman"/>
          <w:b/>
          <w:i w:val="0"/>
          <w:sz w:val="26"/>
        </w:rPr>
        <w:t>2. Ngân sách</w:t>
      </w:r>
    </w:p>
    <w:p>
      <w:pPr>
        <w:spacing w:before="0" w:after="60" w:line="312" w:lineRule="auto"/>
        <w:jc w:val="both"/>
      </w:pPr>
      <w:r>
        <w:rPr>
          <w:rFonts w:ascii="Times New Roman" w:hAnsi="Times New Roman" w:cs="Times New Roman" w:eastAsia="Times New Roman"/>
          <w:b w:val="0"/>
          <w:i w:val="0"/>
          <w:sz w:val="26"/>
        </w:rPr>
        <w:t>- Ngân sách Pháp lý, thuế và dự phòng chiếm 8% tổng vốn đầu tư năm đầu tiên, dùng cho chi phí đăng ký Sàn thương mại điện tử, tư vấn pháp lý, thuế và quỹ dự phòng rủi ro vận hành.</w:t>
      </w:r>
    </w:p>
    <w:p>
      <w:pPr>
        <w:spacing w:before="0" w:after="60" w:line="312" w:lineRule="auto"/>
        <w:jc w:val="both"/>
      </w:pPr>
      <w:r>
        <w:rPr>
          <w:rFonts w:ascii="Times New Roman" w:hAnsi="Times New Roman" w:cs="Times New Roman" w:eastAsia="Times New Roman"/>
          <w:b w:val="0"/>
          <w:i w:val="0"/>
          <w:sz w:val="26"/>
        </w:rPr>
        <w:t>- Chi phí thẩm định pháp lý và kiểm định chất lượng định kỳ của khu vực gian hàng chính hãng được cấu thành trong ngân sách Pháp lý, thuế và dự phòng.</w:t>
      </w:r>
    </w:p>
    <w:p>
      <w:pPr>
        <w:spacing w:before="200" w:after="120" w:line="312" w:lineRule="auto"/>
        <w:jc w:val="left"/>
      </w:pPr>
      <w:r>
        <w:rPr>
          <w:rFonts w:ascii="Times New Roman" w:hAnsi="Times New Roman" w:cs="Times New Roman" w:eastAsia="Times New Roman"/>
          <w:b/>
          <w:i w:val="0"/>
          <w:sz w:val="28"/>
        </w:rPr>
        <w:t>PHẦN VI.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Tình trạng hồ sơ đăng ký Sàn thương mại điện tử</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Hoàn tất trước ngày vận hành chính thức</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mốc</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lượng gian hàng đạt chuẩn chính hãng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khiếu nại hàng giả trên tổng số đơn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Giảm dần theo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Thời gian xử lý khiếu nại trung bình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Trong vòng 24 giờ</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vụ việc pháp lý phát sinh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tuân thủ nghĩa vụ thuế và hóa đơn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100%</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bl>
    <w:p>
      <w:pPr>
        <w:spacing w:after="0"/>
      </w:pPr>
    </w:p>
    <w:p>
      <w:pPr>
        <w:spacing w:before="200" w:after="120" w:line="312" w:lineRule="auto"/>
        <w:jc w:val="left"/>
      </w:pPr>
      <w:r>
        <w:rPr>
          <w:rFonts w:ascii="Times New Roman" w:hAnsi="Times New Roman" w:cs="Times New Roman" w:eastAsia="Times New Roman"/>
          <w:b/>
          <w:i w:val="0"/>
          <w:sz w:val="28"/>
        </w:rPr>
        <w:t>PHẦN VII. PHỐI HỢP LIÊN KHỐI</w:t>
      </w:r>
    </w:p>
    <w:p>
      <w:pPr>
        <w:spacing w:before="0" w:after="60" w:line="312" w:lineRule="auto"/>
        <w:jc w:val="both"/>
      </w:pPr>
      <w:r>
        <w:rPr>
          <w:rFonts w:ascii="Times New Roman" w:hAnsi="Times New Roman" w:cs="Times New Roman" w:eastAsia="Times New Roman"/>
          <w:b w:val="0"/>
          <w:i w:val="0"/>
          <w:sz w:val="26"/>
        </w:rPr>
        <w:t>- Với Khối Công nghệ: kiểm soát tính tuân thủ của hệ thống hóa đơn điện tử, khấu trừ thuế tự động và bảo vệ dữ liệu cá nhân.</w:t>
      </w:r>
    </w:p>
    <w:p>
      <w:pPr>
        <w:spacing w:before="0" w:after="60" w:line="312" w:lineRule="auto"/>
        <w:jc w:val="both"/>
      </w:pPr>
      <w:r>
        <w:rPr>
          <w:rFonts w:ascii="Times New Roman" w:hAnsi="Times New Roman" w:cs="Times New Roman" w:eastAsia="Times New Roman"/>
          <w:b w:val="0"/>
          <w:i w:val="0"/>
          <w:sz w:val="26"/>
        </w:rPr>
        <w:t>- Với Khối Tài chính - Kế toán: đối soát nghĩa vụ thuế, quản lý tài khoản đảm bảo và dòng tiền ký quỹ.</w:t>
      </w:r>
    </w:p>
    <w:p>
      <w:pPr>
        <w:spacing w:before="0" w:after="60" w:line="312" w:lineRule="auto"/>
        <w:jc w:val="both"/>
      </w:pPr>
      <w:r>
        <w:rPr>
          <w:rFonts w:ascii="Times New Roman" w:hAnsi="Times New Roman" w:cs="Times New Roman" w:eastAsia="Times New Roman"/>
          <w:b w:val="0"/>
          <w:i w:val="0"/>
          <w:sz w:val="26"/>
        </w:rPr>
        <w:t>- Với Khối Kinh doanh: thẩm định hồ sơ Nhà cung cấp và người bán trước khi ký kết.</w:t>
      </w:r>
    </w:p>
    <w:p>
      <w:pPr>
        <w:spacing w:before="0" w:after="60" w:line="312" w:lineRule="auto"/>
        <w:jc w:val="both"/>
      </w:pPr>
      <w:r>
        <w:rPr>
          <w:rFonts w:ascii="Times New Roman" w:hAnsi="Times New Roman" w:cs="Times New Roman" w:eastAsia="Times New Roman"/>
          <w:b w:val="0"/>
          <w:i w:val="0"/>
          <w:sz w:val="26"/>
        </w:rPr>
        <w:t>- Với Khối Logistics và O2O: kiểm soát chính sách bảo toàn hàng hóa và xử lý thất thoát tại Trạm Hub.</w:t>
      </w:r>
    </w:p>
    <w:p>
      <w:pPr>
        <w:spacing w:before="0" w:after="60" w:line="312" w:lineRule="auto"/>
        <w:jc w:val="both"/>
      </w:pPr>
      <w:r>
        <w:rPr>
          <w:rFonts w:ascii="Times New Roman" w:hAnsi="Times New Roman" w:cs="Times New Roman" w:eastAsia="Times New Roman"/>
          <w:b w:val="0"/>
          <w:i w:val="0"/>
          <w:sz w:val="26"/>
        </w:rPr>
        <w:t>- Với Khối Marketing và Đội KOC: kiểm soát nội dung quảng cáo và hợp đồng hợp tác với KOC.</w:t>
      </w:r>
    </w:p>
    <w:p>
      <w:pPr>
        <w:spacing w:before="200" w:after="120" w:line="312" w:lineRule="auto"/>
        <w:jc w:val="left"/>
      </w:pPr>
      <w:r>
        <w:rPr>
          <w:rFonts w:ascii="Times New Roman" w:hAnsi="Times New Roman" w:cs="Times New Roman" w:eastAsia="Times New Roman"/>
          <w:b/>
          <w:i w:val="0"/>
          <w:sz w:val="28"/>
        </w:rPr>
        <w:t>PHẦN VIII.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Pháp chế - Tuân thủ chủ trì hoàn thiện hồ sơ pháp lý, kiểm soát tuân thủ và quản trị rủi ro; định kỳ báo cáo Ban Tổng Giám đốc về tình hình pháp lý và các rủi ro phát sinh.</w:t>
      </w:r>
    </w:p>
    <w:p>
      <w:pPr>
        <w:spacing w:before="120" w:after="120" w:line="312" w:lineRule="auto"/>
        <w:ind w:firstLine="567"/>
        <w:jc w:val="both"/>
      </w:pPr>
      <w:r>
        <w:rPr>
          <w:rFonts w:ascii="Times New Roman" w:hAnsi="Times New Roman" w:cs="Times New Roman" w:eastAsia="Times New Roman"/>
          <w:b w:val="0"/>
          <w:i w:val="0"/>
          <w:sz w:val="26"/>
        </w:rPr>
        <w:t>Khối Pháp chế - Tuân thủ cùng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