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09/KH-VCOMM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Kế hoạch tài chính, quản trị dòng tiền và huy động nguồn vốn Sàn thương mại điện tử VComm giai đoạn 2027 - 2036</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KHỐI TÀI CHÍNH - KẾ TOÁN</w:t>
      </w:r>
    </w:p>
    <w:p>
      <w:pPr>
        <w:spacing w:before="0" w:after="200" w:line="312" w:lineRule="auto"/>
        <w:jc w:val="center"/>
      </w:pPr>
      <w:r>
        <w:rPr>
          <w:rFonts w:ascii="Times New Roman" w:hAnsi="Times New Roman" w:cs="Times New Roman" w:eastAsia="Times New Roman"/>
          <w:b w:val="0"/>
          <w:i/>
          <w:sz w:val="24"/>
        </w:rPr>
        <w:t>Tài liệu tham chiếu: Đề án Tổng thể VComm giai đoạn 2027 - 2036 (số 01/KH-VCOMM) và bảng mô hình tài chính 5 năm kèm theo.</w:t>
      </w:r>
    </w:p>
    <w:p>
      <w:pPr>
        <w:spacing w:before="200" w:after="120" w:line="312" w:lineRule="auto"/>
        <w:jc w:val="left"/>
      </w:pPr>
      <w:r>
        <w:rPr>
          <w:rFonts w:ascii="Times New Roman" w:hAnsi="Times New Roman" w:cs="Times New Roman" w:eastAsia="Times New Roman"/>
          <w:b/>
          <w:i w:val="0"/>
          <w:sz w:val="28"/>
        </w:rPr>
        <w:t>PHẦN I. CĂN CỨ PHÁP LÝ VÀ MỤC TIÊU</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Doanh nghiệp số 59/2020/QH14 ngày 17 tháng 6 năm 2020 của Quốc hội;</w:t>
      </w:r>
    </w:p>
    <w:p>
      <w:pPr>
        <w:spacing w:before="0" w:after="60" w:line="312" w:lineRule="auto"/>
        <w:jc w:val="both"/>
      </w:pPr>
      <w:r>
        <w:rPr>
          <w:rFonts w:ascii="Times New Roman" w:hAnsi="Times New Roman" w:cs="Times New Roman" w:eastAsia="Times New Roman"/>
          <w:b w:val="0"/>
          <w:i w:val="0"/>
          <w:sz w:val="26"/>
        </w:rPr>
        <w:t>- Luật Chứng khoán số 54/2019/QH14 ngày 26 tháng 11 năm 2019 của Quốc hội;</w:t>
      </w:r>
    </w:p>
    <w:p>
      <w:pPr>
        <w:spacing w:before="0" w:after="60" w:line="312" w:lineRule="auto"/>
        <w:jc w:val="both"/>
      </w:pPr>
      <w:r>
        <w:rPr>
          <w:rFonts w:ascii="Times New Roman" w:hAnsi="Times New Roman" w:cs="Times New Roman" w:eastAsia="Times New Roman"/>
          <w:b w:val="0"/>
          <w:i w:val="0"/>
          <w:sz w:val="26"/>
        </w:rPr>
        <w:t>- Luật Kế toán và các chuẩn mực kế toán Việt Nam hiện hành;</w:t>
      </w:r>
    </w:p>
    <w:p>
      <w:pPr>
        <w:spacing w:before="0" w:after="60" w:line="312" w:lineRule="auto"/>
        <w:jc w:val="both"/>
      </w:pPr>
      <w:r>
        <w:rPr>
          <w:rFonts w:ascii="Times New Roman" w:hAnsi="Times New Roman" w:cs="Times New Roman" w:eastAsia="Times New Roman"/>
          <w:b w:val="0"/>
          <w:i w:val="0"/>
          <w:sz w:val="26"/>
        </w:rPr>
        <w:t>- Thông tư 99/2025/TT-BTC về hướng dẫn chế độ kế toán doanh nghiệp;</w:t>
      </w:r>
    </w:p>
    <w:p>
      <w:pPr>
        <w:spacing w:before="0" w:after="60" w:line="312" w:lineRule="auto"/>
        <w:jc w:val="both"/>
      </w:pPr>
      <w:r>
        <w:rPr>
          <w:rFonts w:ascii="Times New Roman" w:hAnsi="Times New Roman" w:cs="Times New Roman" w:eastAsia="Times New Roman"/>
          <w:b w:val="0"/>
          <w:i w:val="0"/>
          <w:sz w:val="26"/>
        </w:rPr>
        <w:t>- Điều lệ tổ chức và hoạt động của Công ty Cổ phần VComm Việt Nam;</w:t>
      </w:r>
    </w:p>
    <w:p>
      <w:pPr>
        <w:spacing w:before="0" w:after="60" w:line="312" w:lineRule="auto"/>
        <w:jc w:val="both"/>
      </w:pPr>
      <w:r>
        <w:rPr>
          <w:rFonts w:ascii="Times New Roman" w:hAnsi="Times New Roman" w:cs="Times New Roman" w:eastAsia="Times New Roman"/>
          <w:b w:val="0"/>
          <w:i w:val="0"/>
          <w:sz w:val="26"/>
        </w:rPr>
        <w:t>- Nghị quyết Đại hội đồng cổ đông về Kế hoạch tài chính giai đoạn 2027 - 2031.</w:t>
      </w:r>
    </w:p>
    <w:p>
      <w:pPr>
        <w:spacing w:before="120" w:after="80" w:line="312" w:lineRule="auto"/>
        <w:jc w:val="left"/>
      </w:pPr>
      <w:r>
        <w:rPr>
          <w:rFonts w:ascii="Times New Roman" w:hAnsi="Times New Roman" w:cs="Times New Roman" w:eastAsia="Times New Roman"/>
          <w:b/>
          <w:i w:val="0"/>
          <w:sz w:val="26"/>
        </w:rPr>
        <w:t>2. Mục tiêu tài chính tổng quát</w:t>
      </w:r>
    </w:p>
    <w:p>
      <w:pPr>
        <w:spacing w:before="0" w:after="120" w:line="312" w:lineRule="auto"/>
        <w:ind w:firstLine="567"/>
        <w:jc w:val="both"/>
      </w:pPr>
      <w:r>
        <w:rPr>
          <w:rFonts w:ascii="Times New Roman" w:hAnsi="Times New Roman" w:cs="Times New Roman" w:eastAsia="Times New Roman"/>
          <w:b w:val="0"/>
          <w:i w:val="0"/>
          <w:sz w:val="26"/>
        </w:rPr>
        <w:t>Thiết lập cấu trúc tài chính lành mạnh, quản trị dòng tiền hoạt động thuần, kiểm soát chặt chẽ chi phí thu hút khách hàng và chi phí vận hành để đưa doanh nghiệp đạt điểm hòa vốn vào tháng thứ 16, hướng tới mục tiêu niêm yết đại chúng. Đến năm thứ năm, doanh nghiệp đạt doanh thu thuần 3.360 tỷ đồng và lợi nhuận sau thuế 1.217,9 tỷ đồng.</w:t>
      </w:r>
    </w:p>
    <w:p>
      <w:pPr>
        <w:spacing w:before="120" w:after="80" w:line="312" w:lineRule="auto"/>
        <w:jc w:val="left"/>
      </w:pPr>
      <w:r>
        <w:rPr>
          <w:rFonts w:ascii="Times New Roman" w:hAnsi="Times New Roman" w:cs="Times New Roman" w:eastAsia="Times New Roman"/>
          <w:b/>
          <w:i w:val="0"/>
          <w:sz w:val="26"/>
        </w:rPr>
        <w:t>3. Nguyên tắc quản trị vốn</w:t>
      </w:r>
    </w:p>
    <w:p>
      <w:pPr>
        <w:spacing w:before="0" w:after="60" w:line="312" w:lineRule="auto"/>
        <w:jc w:val="both"/>
      </w:pPr>
      <w:r>
        <w:rPr>
          <w:rFonts w:ascii="Times New Roman" w:hAnsi="Times New Roman" w:cs="Times New Roman" w:eastAsia="Times New Roman"/>
          <w:b w:val="0"/>
          <w:i w:val="0"/>
          <w:sz w:val="26"/>
        </w:rPr>
        <w:t>- Tách biệt hoàn toàn dòng tiền ký quỹ của người mua với dòng tiền hoạt động của doanh nghiệp; tuyệt đối không sử dụng tiền ký quỹ cho mục đích đầu tư rủi ro;</w:t>
      </w:r>
    </w:p>
    <w:p>
      <w:pPr>
        <w:spacing w:before="0" w:after="60" w:line="312" w:lineRule="auto"/>
        <w:jc w:val="both"/>
      </w:pPr>
      <w:r>
        <w:rPr>
          <w:rFonts w:ascii="Times New Roman" w:hAnsi="Times New Roman" w:cs="Times New Roman" w:eastAsia="Times New Roman"/>
          <w:b w:val="0"/>
          <w:i w:val="0"/>
          <w:sz w:val="26"/>
        </w:rPr>
        <w:t>- Ưu tiên tái đầu tư lợi nhuận để củng cố thị phần trong giai đoạn tăng trưởng;</w:t>
      </w:r>
    </w:p>
    <w:p>
      <w:pPr>
        <w:spacing w:before="0" w:after="60" w:line="312" w:lineRule="auto"/>
        <w:jc w:val="both"/>
      </w:pPr>
      <w:r>
        <w:rPr>
          <w:rFonts w:ascii="Times New Roman" w:hAnsi="Times New Roman" w:cs="Times New Roman" w:eastAsia="Times New Roman"/>
          <w:b w:val="0"/>
          <w:i w:val="0"/>
          <w:sz w:val="26"/>
        </w:rPr>
        <w:t>- Duy trì an toàn thanh khoản hệ thống và kiểm soát chặt chẽ các chỉ số an toàn tài chính.</w:t>
      </w:r>
    </w:p>
    <w:p>
      <w:pPr>
        <w:spacing w:before="200" w:after="120" w:line="312" w:lineRule="auto"/>
        <w:jc w:val="left"/>
      </w:pPr>
      <w:r>
        <w:rPr>
          <w:rFonts w:ascii="Times New Roman" w:hAnsi="Times New Roman" w:cs="Times New Roman" w:eastAsia="Times New Roman"/>
          <w:b/>
          <w:i w:val="0"/>
          <w:sz w:val="28"/>
        </w:rPr>
        <w:t>PHẦN II. DỰ PHÓNG KẾT QUẢ KINH DOANH NĂM NĂM</w:t>
      </w:r>
    </w:p>
    <w:p>
      <w:pPr>
        <w:spacing w:before="0" w:after="120" w:line="312" w:lineRule="auto"/>
        <w:ind w:firstLine="567"/>
        <w:jc w:val="both"/>
      </w:pPr>
      <w:r>
        <w:rPr>
          <w:rFonts w:ascii="Times New Roman" w:hAnsi="Times New Roman" w:cs="Times New Roman" w:eastAsia="Times New Roman"/>
          <w:b w:val="0"/>
          <w:i w:val="0"/>
          <w:sz w:val="26"/>
        </w:rPr>
        <w:t>Kết quả kinh doanh hợp nhất giai đoạn 2027 - 2031 được dự phóng theo lộ trình mở rộng mạng lưới và kiểm soát chi phí, tổng hợp trong bảng sau:</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tiêu</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1 (2027)</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2 (2028)</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3 (2029)</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4 (2030)</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5 (2031)</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lượng Trạm Hub O2O</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9.000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35.000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Tổng giá trị giao dịch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4.800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28.000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Doanh thu thuần sàn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28,0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480,0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1.375,0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3.360,0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Lợi nhuận trước lãi vay, thuế và khấu hao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+18,0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+140,0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+1.582,4</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Lợi nhuận sau thuế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100,6</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412,0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1.217,9</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Người dùng hoạt động hàng tháng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450.000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1.800.000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5.200.000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10.500.000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15.000.000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Chi phí thu hút khách hàng mới (VNĐ)</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18.000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14.500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11.000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8.500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6.500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đơn nhận tại Trạm Hub</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55%</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65%</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75%</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80%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85%</w:t>
            </w:r>
          </w:p>
        </w:tc>
      </w:tr>
    </w:tbl>
    <w:p>
      <w:pPr>
        <w:spacing w:after="0"/>
      </w:pPr>
    </w:p>
    <w:p>
      <w:pPr>
        <w:spacing w:before="120" w:after="80" w:line="312" w:lineRule="auto"/>
        <w:jc w:val="left"/>
      </w:pPr>
      <w:r>
        <w:rPr>
          <w:rFonts w:ascii="Times New Roman" w:hAnsi="Times New Roman" w:cs="Times New Roman" w:eastAsia="Times New Roman"/>
          <w:b/>
          <w:i w:val="0"/>
          <w:sz w:val="26"/>
        </w:rPr>
        <w:t>1. Diễn giải theo từng năm</w:t>
      </w:r>
    </w:p>
    <w:p>
      <w:pPr>
        <w:spacing w:before="0" w:after="60" w:line="312" w:lineRule="auto"/>
        <w:jc w:val="both"/>
      </w:pPr>
      <w:r>
        <w:rPr>
          <w:rFonts w:ascii="Times New Roman" w:hAnsi="Times New Roman" w:cs="Times New Roman" w:eastAsia="Times New Roman"/>
          <w:b w:val="0"/>
          <w:i w:val="0"/>
          <w:sz w:val="26"/>
        </w:rPr>
        <w:t>- Năm 2027 - Thiết lập nền tảng: doanh nghiệp tập trung đầu tư hạ tầng và chi phí thu hút người dùng ban đầu nên lợi nhuận trước lãi vay, thuế và khấu hao âm 12,0 tỷ đồng.</w:t>
      </w:r>
    </w:p>
    <w:p>
      <w:pPr>
        <w:spacing w:before="0" w:after="60" w:line="312" w:lineRule="auto"/>
        <w:jc w:val="both"/>
      </w:pPr>
      <w:r>
        <w:rPr>
          <w:rFonts w:ascii="Times New Roman" w:hAnsi="Times New Roman" w:cs="Times New Roman" w:eastAsia="Times New Roman"/>
          <w:b w:val="0"/>
          <w:i w:val="0"/>
          <w:sz w:val="26"/>
        </w:rPr>
        <w:t>- Năm 2028 - Bứt phá và hòa vốn: doanh nghiệp chính thức đạt điểm hòa vốn tại tháng thứ 16 khi đạt quy mô 2.200 Trạm Hub; lợi nhuận trước lãi vay, thuế và khấu hao chuyển dương 18,0 tỷ đồng.</w:t>
      </w:r>
    </w:p>
    <w:p>
      <w:pPr>
        <w:spacing w:before="0" w:after="60" w:line="312" w:lineRule="auto"/>
        <w:jc w:val="both"/>
      </w:pPr>
      <w:r>
        <w:rPr>
          <w:rFonts w:ascii="Times New Roman" w:hAnsi="Times New Roman" w:cs="Times New Roman" w:eastAsia="Times New Roman"/>
          <w:b w:val="0"/>
          <w:i w:val="0"/>
          <w:sz w:val="26"/>
        </w:rPr>
        <w:t>- Năm 2029 - Mở rộng quy mô: hiệu quả kinh tế theo quy mô bắt đầu phát huy, lợi nhuận sau thuế đạt 100,6 tỷ đồng.</w:t>
      </w:r>
    </w:p>
    <w:p>
      <w:pPr>
        <w:spacing w:before="0" w:after="60" w:line="312" w:lineRule="auto"/>
        <w:jc w:val="both"/>
      </w:pPr>
      <w:r>
        <w:rPr>
          <w:rFonts w:ascii="Times New Roman" w:hAnsi="Times New Roman" w:cs="Times New Roman" w:eastAsia="Times New Roman"/>
          <w:b w:val="0"/>
          <w:i w:val="0"/>
          <w:sz w:val="26"/>
        </w:rPr>
        <w:t>- Năm 2030 - Thống lĩnh thị trường: lợi nhuận sau thuế đạt 412,0 tỷ đồng.</w:t>
      </w:r>
    </w:p>
    <w:p>
      <w:pPr>
        <w:spacing w:before="0" w:after="60" w:line="312" w:lineRule="auto"/>
        <w:jc w:val="both"/>
      </w:pPr>
      <w:r>
        <w:rPr>
          <w:rFonts w:ascii="Times New Roman" w:hAnsi="Times New Roman" w:cs="Times New Roman" w:eastAsia="Times New Roman"/>
          <w:b w:val="0"/>
          <w:i w:val="0"/>
          <w:sz w:val="26"/>
        </w:rPr>
        <w:t>- Năm 2031 - Khai thác dòng tiền: lợi nhuận sau thuế đạt 1.217,9 tỷ đồng.</w:t>
      </w:r>
    </w:p>
    <w:p>
      <w:pPr>
        <w:spacing w:before="0" w:after="60" w:line="312" w:lineRule="auto"/>
        <w:jc w:val="both"/>
      </w:pPr>
      <w:r>
        <w:rPr>
          <w:rFonts w:ascii="Times New Roman" w:hAnsi="Times New Roman" w:cs="Times New Roman" w:eastAsia="Times New Roman"/>
          <w:b w:val="0"/>
          <w:i w:val="0"/>
          <w:sz w:val="26"/>
        </w:rPr>
        <w:t>- Giai đoạn 2032 - 2036: tiếp tục khai thác dịch vụ tài chính nhúng và dịch vụ dữ liệu bán lẻ, hướng tới niêm yết đại chúng.</w:t>
      </w:r>
    </w:p>
    <w:p>
      <w:pPr>
        <w:spacing w:before="200" w:after="120" w:line="312" w:lineRule="auto"/>
        <w:jc w:val="left"/>
      </w:pPr>
      <w:r>
        <w:rPr>
          <w:rFonts w:ascii="Times New Roman" w:hAnsi="Times New Roman" w:cs="Times New Roman" w:eastAsia="Times New Roman"/>
          <w:b/>
          <w:i w:val="0"/>
          <w:sz w:val="28"/>
        </w:rPr>
        <w:t>PHẦN III. CƠ CẤU NĂM DÒNG DOANH THU</w:t>
      </w:r>
    </w:p>
    <w:p>
      <w:pPr>
        <w:spacing w:before="0" w:after="120" w:line="312" w:lineRule="auto"/>
        <w:ind w:firstLine="567"/>
        <w:jc w:val="both"/>
      </w:pPr>
      <w:r>
        <w:rPr>
          <w:rFonts w:ascii="Times New Roman" w:hAnsi="Times New Roman" w:cs="Times New Roman" w:eastAsia="Times New Roman"/>
          <w:b w:val="0"/>
          <w:i w:val="0"/>
          <w:sz w:val="26"/>
        </w:rPr>
        <w:t>Cơ cấu doanh thu được thiết kế cân bằng giữa nguồn thu từ lưu lượng truy cập, nguồn thu từ giao dịch và nguồn thu từ chuỗi cung ứng, giảm thiểu rủi ro phụ thuộc vào một nguồn duy nhất: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Hạng mục doanh thu</w:t>
            </w:r>
          </w:p>
        </w:tc>
        <w:tc>
          <w:tcPr>
            <w:tcW w:type="dxa" w:w="2268"/>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Nguồn tạo doanh thu</w:t>
            </w:r>
          </w:p>
        </w:tc>
        <w:tc>
          <w:tcPr>
            <w:tcW w:type="dxa" w:w="2268"/>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Tỷ trọng mục tiêu (Năm 5)</w:t>
            </w:r>
          </w:p>
        </w:tc>
        <w:tc>
          <w:tcPr>
            <w:tcW w:type="dxa" w:w="2268"/>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Doanh thu năm thứ năm (tỷ đồng)</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 Phí hoa hồng giao dịch (Take Rate)</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Đơn hàng thương mại điện tử và mua chung</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30%</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1.008,0</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 Dịch vụ tiếp thị và quảng cáo</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Nhà sản xuất, thương hiệu</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1.176,0</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 Chênh lệch phân phối sỉ F2B2B</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Chuỗi cung ứng Cross-docking</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504,0</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 Phí dịch vụ Trạm Hub logistics</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Điều phối vận tải gom lô</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336,0</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 Dịch vụ tài chính và thu nhập từ dòng tiền</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Dòng tiền ký quỹ và dịch vụ tài chính nhúng</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336,0</w:t>
            </w:r>
          </w:p>
        </w:tc>
      </w:tr>
    </w:tbl>
    <w:p>
      <w:pPr>
        <w:spacing w:after="0"/>
      </w:pPr>
    </w:p>
    <w:p>
      <w:pPr>
        <w:spacing w:before="200" w:after="120" w:line="312" w:lineRule="auto"/>
        <w:jc w:val="left"/>
      </w:pPr>
      <w:r>
        <w:rPr>
          <w:rFonts w:ascii="Times New Roman" w:hAnsi="Times New Roman" w:cs="Times New Roman" w:eastAsia="Times New Roman"/>
          <w:b/>
          <w:i w:val="0"/>
          <w:sz w:val="28"/>
        </w:rPr>
        <w:t>PHẦN IV. CƠ CẤU PHÂN BỔ DÒNG TIỀN GIAO DỊCH</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Thành phần hưởng dòng tiền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Tỷ lệ chia thực trả</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Vai trò quản trị tài chính</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Nhà cung cấp, Nhà máy, Người bán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55,0% - 60,0%</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Chi trả giá sỉ hoặc giá gốc sản phẩm, chi phí đóng gói và rủi ro tồn kho</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KOC, KOL Livestream</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 - 12,0%</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Hoa hồng chốt đơn Livestream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Đội Phát triển và Quản lý KOC</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 - 1,5%</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Hoa hồng quản lý, đào tạo và phát triển mạng lưới KOC</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Khối Kinh doanh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 - 3,0%</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Hoa hồng quản trị tệp khách hàng và cửa hàng gắn mã giới thiệu</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Sàn VComm</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23,5% - 32,0%</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Ngân sách Phiếu ưu đãi, Khách hàng thân thiết V-Xu, máy chủ và lãi ròng</w:t>
            </w:r>
          </w:p>
        </w:tc>
      </w:tr>
    </w:tbl>
    <w:p>
      <w:pPr>
        <w:spacing w:after="0"/>
      </w:pPr>
    </w:p>
    <w:p>
      <w:pPr>
        <w:spacing w:before="0" w:after="120" w:line="312" w:lineRule="auto"/>
        <w:ind w:firstLine="567"/>
        <w:jc w:val="both"/>
      </w:pPr>
      <w:r>
        <w:rPr>
          <w:rFonts w:ascii="Times New Roman" w:hAnsi="Times New Roman" w:cs="Times New Roman" w:eastAsia="Times New Roman"/>
          <w:b w:val="0"/>
          <w:i w:val="0"/>
          <w:sz w:val="26"/>
        </w:rPr>
        <w:t>Cơ cấu phân bổ trên bảo đảm nguyên tắc: chi phí sản phẩm và rủi ro tồn kho thuộc về Nhà cung cấp và người bán, trong khi Sàn VComm làm nhiệm vụ điều phối dòng tiền, tài trợ chi phí marketing và chương trình khách hàng thân thiết, đồng thời thu lợi nhuận ròng từ phần chênh lệch còn lại sau khi trừ toàn bộ hoa hồng vận hành.</w:t>
      </w:r>
    </w:p>
    <w:p>
      <w:pPr>
        <w:spacing w:before="200" w:after="120" w:line="312" w:lineRule="auto"/>
        <w:jc w:val="left"/>
      </w:pPr>
      <w:r>
        <w:rPr>
          <w:rFonts w:ascii="Times New Roman" w:hAnsi="Times New Roman" w:cs="Times New Roman" w:eastAsia="Times New Roman"/>
          <w:b/>
          <w:i w:val="0"/>
          <w:sz w:val="28"/>
        </w:rPr>
        <w:t>PHẦN V. QUẢN TRỊ DÒNG TIỀN KÝ QUỸ VÀ HẠ TẦNG THANH TOÁN</w:t>
      </w:r>
    </w:p>
    <w:p>
      <w:pPr>
        <w:spacing w:before="0" w:after="60" w:line="312" w:lineRule="auto"/>
        <w:jc w:val="both"/>
      </w:pPr>
      <w:r>
        <w:rPr>
          <w:rFonts w:ascii="Times New Roman" w:hAnsi="Times New Roman" w:cs="Times New Roman" w:eastAsia="Times New Roman"/>
          <w:b w:val="0"/>
          <w:i w:val="0"/>
          <w:sz w:val="26"/>
        </w:rPr>
        <w:t>- Tách dòng tiền tự động: ngay khi giao dịch thành công, hệ thống tự động tách tiền theo tỷ lệ cấu hình sẵn, gồm trích hoa hồng sàn, chuyển tiền gốc cho nhà sản xuất hoặc nhà cung cấp và ghi nhận phí dịch vụ hoặc lưu kho cho chủ Trạm Hub.</w:t>
      </w:r>
    </w:p>
    <w:p>
      <w:pPr>
        <w:spacing w:before="0" w:after="60" w:line="312" w:lineRule="auto"/>
        <w:jc w:val="both"/>
      </w:pPr>
      <w:r>
        <w:rPr>
          <w:rFonts w:ascii="Times New Roman" w:hAnsi="Times New Roman" w:cs="Times New Roman" w:eastAsia="Times New Roman"/>
          <w:b w:val="0"/>
          <w:i w:val="0"/>
          <w:sz w:val="26"/>
        </w:rPr>
        <w:t>- Ký quỹ bảo vệ người mua: tiền thanh toán của đơn mua chung hoặc đơn giao về Trạm Hub được giữ tại tài khoản tạm giữ, chỉ giải ngân cho nhà cung cấp khi khách quét mã nhận hàng tại Trạm Hub hoặc sau thời hạn bảo đảm từ 3 đến 7 ngày mà không có khiếu nại.</w:t>
      </w:r>
    </w:p>
    <w:p>
      <w:pPr>
        <w:spacing w:before="0" w:after="60" w:line="312" w:lineRule="auto"/>
        <w:jc w:val="both"/>
      </w:pPr>
      <w:r>
        <w:rPr>
          <w:rFonts w:ascii="Times New Roman" w:hAnsi="Times New Roman" w:cs="Times New Roman" w:eastAsia="Times New Roman"/>
          <w:b w:val="0"/>
          <w:i w:val="0"/>
          <w:sz w:val="26"/>
        </w:rPr>
        <w:t>- Quản trị dòng tiền ký quỹ: toàn bộ tiền ký quỹ được hạch toán và quản lý tách biệt khỏi dòng tiền hoạt động của doanh nghiệp, có kiểm soát nội bộ chặt chẽ và không sử dụng cho hoạt động đầu tư rủi ro.</w:t>
      </w:r>
    </w:p>
    <w:p>
      <w:pPr>
        <w:spacing w:before="0" w:after="60" w:line="312" w:lineRule="auto"/>
        <w:jc w:val="both"/>
      </w:pPr>
      <w:r>
        <w:rPr>
          <w:rFonts w:ascii="Times New Roman" w:hAnsi="Times New Roman" w:cs="Times New Roman" w:eastAsia="Times New Roman"/>
          <w:b w:val="0"/>
          <w:i w:val="0"/>
          <w:sz w:val="26"/>
        </w:rPr>
        <w:t>- Dịch vụ cấp vốn ứng trước cho tiểu thương: cấp vốn ứng trước cho chủ Trạm Hub dựa trên dữ liệu doanh thu đối soát qua VComm iPOS, mở rộng dần từ giai đoạn thứ ba của lộ trình.</w:t>
      </w:r>
    </w:p>
    <w:p>
      <w:pPr>
        <w:spacing w:before="200" w:after="120" w:line="312" w:lineRule="auto"/>
        <w:jc w:val="left"/>
      </w:pPr>
      <w:r>
        <w:rPr>
          <w:rFonts w:ascii="Times New Roman" w:hAnsi="Times New Roman" w:cs="Times New Roman" w:eastAsia="Times New Roman"/>
          <w:b/>
          <w:i w:val="0"/>
          <w:sz w:val="28"/>
        </w:rPr>
        <w:t>PHẦN VI. NHU CẦU VỐN VÀ LỘ TRÌNH BỐN VÒNG GỌI VỐN</w:t>
      </w:r>
    </w:p>
    <w:p>
      <w:pPr>
        <w:spacing w:before="120" w:after="80" w:line="312" w:lineRule="auto"/>
        <w:jc w:val="left"/>
      </w:pPr>
      <w:r>
        <w:rPr>
          <w:rFonts w:ascii="Times New Roman" w:hAnsi="Times New Roman" w:cs="Times New Roman" w:eastAsia="Times New Roman"/>
          <w:b/>
          <w:i w:val="0"/>
          <w:sz w:val="26"/>
        </w:rPr>
        <w:t>1. Cơ cấu sử dụng vốn năm đầu tiên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Hạng mục đầu tư</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Tỷ trọng ước tính</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Nội dung sử dụng vốn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Công nghệ và Nền tảng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25%</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Phát triển Ứng dụng, 4 Cổng thông tin, hệ thống chia hoa hồng tự động, hạ tầng máy chủ và điện toán đám mây</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Trợ giá và Marketing tăng trưởng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Ngân sách Phiếu ưu đãi, trợ giá phiên Livestream quy mô lớn, chi phí thu hút KOC, người bán, chủ trạm ban đầu</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Nhân sự</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Lương và hoa hồng đội ngũ Kinh doanh, vận hành, kỹ thuật, kế toán trong giai đoạn xây dựng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Logistics và O2O</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Chi phí thiết lập mạng lưới Trạm Hub, kho Dropship ba miền, quỹ bảo hiểm O2O</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Pháp lý, thuế và dự phòng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8%</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Chi phí đăng ký Sàn thương mại điện tử, tư vấn pháp lý và thuế, quỹ dự phòng rủi ro vận hành</w:t>
            </w:r>
          </w:p>
        </w:tc>
      </w:tr>
    </w:tbl>
    <w:p>
      <w:pPr>
        <w:spacing w:after="0"/>
      </w:pPr>
    </w:p>
    <w:p>
      <w:pPr>
        <w:spacing w:before="120" w:after="80" w:line="312" w:lineRule="auto"/>
        <w:jc w:val="left"/>
      </w:pPr>
      <w:r>
        <w:rPr>
          <w:rFonts w:ascii="Times New Roman" w:hAnsi="Times New Roman" w:cs="Times New Roman" w:eastAsia="Times New Roman"/>
          <w:b/>
          <w:i w:val="0"/>
          <w:sz w:val="26"/>
        </w:rPr>
        <w:t>2. Lộ trình bốn vòng gọi vốn</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Vòng gọi vốn</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điểm</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Vốn huy động (tỷ đồng)</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Định giá trước đầu tư (tỷ đồng)</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Tỷ lệ cổ phần phát hành</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hạt giống (Seed / Angel)</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01/2027</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20,0%</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Series A (tăng tốc quy mô)</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06/2028</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20,0%</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Series B (thống lĩnh toàn quốc)</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12/2029</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375,0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2.500,0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13,0%</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Series C / Tiền niêm yết</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06/2031</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9,1%</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Tổng vốn huy động tích lũy</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2027 - 2031</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1.525,0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w:t>
            </w:r>
          </w:p>
        </w:tc>
      </w:tr>
    </w:tbl>
    <w:p>
      <w:pPr>
        <w:spacing w:after="0"/>
      </w:pPr>
    </w:p>
    <w:p>
      <w:pPr>
        <w:spacing w:before="0" w:after="60" w:line="312" w:lineRule="auto"/>
        <w:jc w:val="both"/>
      </w:pPr>
      <w:r>
        <w:rPr>
          <w:rFonts w:ascii="Times New Roman" w:hAnsi="Times New Roman" w:cs="Times New Roman" w:eastAsia="Times New Roman"/>
          <w:b w:val="0"/>
          <w:i w:val="0"/>
          <w:sz w:val="26"/>
        </w:rPr>
        <w:t>- Vòng hạt giống (tháng 01/2027): hoàn thiện lõi công nghệ vi dịch vụ và triển khai 1.200 điểm bán thử nghiệm tại Thành phố Hồ Chí Minh.</w:t>
      </w:r>
    </w:p>
    <w:p>
      <w:pPr>
        <w:spacing w:before="0" w:after="60" w:line="312" w:lineRule="auto"/>
        <w:jc w:val="both"/>
      </w:pPr>
      <w:r>
        <w:rPr>
          <w:rFonts w:ascii="Times New Roman" w:hAnsi="Times New Roman" w:cs="Times New Roman" w:eastAsia="Times New Roman"/>
          <w:b w:val="0"/>
          <w:i w:val="0"/>
          <w:sz w:val="26"/>
        </w:rPr>
        <w:t>- Vòng Series A (tháng 06/2028): đưa doanh nghiệp vượt điểm hòa vốn, mở rộng lên 3.500 Trạm Hub phủ kín khu vực miền Nam.</w:t>
      </w:r>
    </w:p>
    <w:p>
      <w:pPr>
        <w:spacing w:before="0" w:after="60" w:line="312" w:lineRule="auto"/>
        <w:jc w:val="both"/>
      </w:pPr>
      <w:r>
        <w:rPr>
          <w:rFonts w:ascii="Times New Roman" w:hAnsi="Times New Roman" w:cs="Times New Roman" w:eastAsia="Times New Roman"/>
          <w:b w:val="0"/>
          <w:i w:val="0"/>
          <w:sz w:val="26"/>
        </w:rPr>
        <w:t>- Vòng Series B (tháng 12/2029): mở rộng mạng lưới toàn quốc, kích hoạt dịch vụ tài chính nhúng.</w:t>
      </w:r>
    </w:p>
    <w:p>
      <w:pPr>
        <w:spacing w:before="0" w:after="60" w:line="312" w:lineRule="auto"/>
        <w:jc w:val="both"/>
      </w:pPr>
      <w:r>
        <w:rPr>
          <w:rFonts w:ascii="Times New Roman" w:hAnsi="Times New Roman" w:cs="Times New Roman" w:eastAsia="Times New Roman"/>
          <w:b w:val="0"/>
          <w:i w:val="0"/>
          <w:sz w:val="26"/>
        </w:rPr>
        <w:t>- Vòng Series C (tháng 06/2031): mở rộng lên 35.000 Trạm Hub và hoàn tất cấu trúc niêm yết.</w:t>
      </w:r>
    </w:p>
    <w:p>
      <w:pPr>
        <w:spacing w:before="120" w:after="80" w:line="312" w:lineRule="auto"/>
        <w:jc w:val="left"/>
      </w:pPr>
      <w:r>
        <w:rPr>
          <w:rFonts w:ascii="Times New Roman" w:hAnsi="Times New Roman" w:cs="Times New Roman" w:eastAsia="Times New Roman"/>
          <w:b/>
          <w:i w:val="0"/>
          <w:sz w:val="26"/>
        </w:rPr>
        <w:t>3. Chiến lược thoái vốn</w:t>
      </w:r>
    </w:p>
    <w:p>
      <w:pPr>
        <w:spacing w:before="0" w:after="60" w:line="312" w:lineRule="auto"/>
        <w:jc w:val="both"/>
      </w:pPr>
      <w:r>
        <w:rPr>
          <w:rFonts w:ascii="Times New Roman" w:hAnsi="Times New Roman" w:cs="Times New Roman" w:eastAsia="Times New Roman"/>
          <w:b w:val="0"/>
          <w:i w:val="0"/>
          <w:sz w:val="26"/>
        </w:rPr>
        <w:t>- Phương án niêm yết đại chúng: mục tiêu niêm yết chính thức trên sàn HOSE; song song chuẩn bị cấu trúc pháp lý quốc tế để sẵn sàng niêm yết trên sàn NASDAQ thông qua công ty mẹ tại Singapore.</w:t>
      </w:r>
    </w:p>
    <w:p>
      <w:pPr>
        <w:spacing w:before="0" w:after="60" w:line="312" w:lineRule="auto"/>
        <w:jc w:val="both"/>
      </w:pPr>
      <w:r>
        <w:rPr>
          <w:rFonts w:ascii="Times New Roman" w:hAnsi="Times New Roman" w:cs="Times New Roman" w:eastAsia="Times New Roman"/>
          <w:b w:val="0"/>
          <w:i w:val="0"/>
          <w:sz w:val="26"/>
        </w:rPr>
        <w:t>- Phương án sáp nhập và thoái vốn chiến lược: sẵn sàng phương án sáp nhập hoặc thoái vốn cho các tập đoàn bán lẻ đa quốc gia hoặc các nền tảng tài chính khu vực với mức định giá mục tiêu từ 500 triệu đến 1 tỷ đô la Mỹ.</w:t>
      </w:r>
    </w:p>
    <w:p>
      <w:pPr>
        <w:spacing w:before="200" w:after="120" w:line="312" w:lineRule="auto"/>
        <w:jc w:val="left"/>
      </w:pPr>
      <w:r>
        <w:rPr>
          <w:rFonts w:ascii="Times New Roman" w:hAnsi="Times New Roman" w:cs="Times New Roman" w:eastAsia="Times New Roman"/>
          <w:b/>
          <w:i w:val="0"/>
          <w:sz w:val="28"/>
        </w:rPr>
        <w:t>PHẦN VII. CHỈ SỐ HIỆU QUẢ TÀI CHÍNH CẦN THEO DÕI</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số</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Định nghĩa hoặc cách tính</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Tần suất theo dõi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thực thu của Sàn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Doanh thu Sàn chia cho tổng giá trị giao dịch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Chi phí thu hút khách hàng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Tổng chi phí marketing chia cho số khách hàng mới</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Giá trị vòng đời khách hàng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Giá trị đơn hàng trung bình nhân tần suất mua lặp lại nhân thời gian giữ chân trung bình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trợ giá trên giá trị giao dịch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Ngân sách Phiếu ưu đãi và trợ giá chia cho giá trị giao dịch kỳ</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Biên lợi nhuận gộp của chủ Trạm Hub F2B2B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Chênh lệch giá nhập F2B2B so với giá bán lẻ truyền thống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Dòng tiền hoạt động thuần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Dòng tiền vào trừ dòng tiền ra từ hoạt động kinh doanh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bl>
    <w:p>
      <w:pPr>
        <w:spacing w:after="0"/>
      </w:pPr>
    </w:p>
    <w:p>
      <w:pPr>
        <w:spacing w:before="200" w:after="120" w:line="312" w:lineRule="auto"/>
        <w:jc w:val="left"/>
      </w:pPr>
      <w:r>
        <w:rPr>
          <w:rFonts w:ascii="Times New Roman" w:hAnsi="Times New Roman" w:cs="Times New Roman" w:eastAsia="Times New Roman"/>
          <w:b/>
          <w:i w:val="0"/>
          <w:sz w:val="28"/>
        </w:rPr>
        <w:t>PHẦN VIII. PHỐI HỢP LIÊN KHỐI</w:t>
      </w:r>
    </w:p>
    <w:p>
      <w:pPr>
        <w:spacing w:before="0" w:after="60" w:line="312" w:lineRule="auto"/>
        <w:jc w:val="both"/>
      </w:pPr>
      <w:r>
        <w:rPr>
          <w:rFonts w:ascii="Times New Roman" w:hAnsi="Times New Roman" w:cs="Times New Roman" w:eastAsia="Times New Roman"/>
          <w:b w:val="0"/>
          <w:i w:val="0"/>
          <w:sz w:val="26"/>
        </w:rPr>
        <w:t>- Với Khối Công nghệ: kết nối cổng thanh toán, cơ chế tách dòng tiền tự động, ký quỹ và xuất hóa đơn điện tử.</w:t>
      </w:r>
    </w:p>
    <w:p>
      <w:pPr>
        <w:spacing w:before="0" w:after="60" w:line="312" w:lineRule="auto"/>
        <w:jc w:val="both"/>
      </w:pPr>
      <w:r>
        <w:rPr>
          <w:rFonts w:ascii="Times New Roman" w:hAnsi="Times New Roman" w:cs="Times New Roman" w:eastAsia="Times New Roman"/>
          <w:b w:val="0"/>
          <w:i w:val="0"/>
          <w:sz w:val="26"/>
        </w:rPr>
        <w:t>- Với Khối Kinh doanh và Đội KOC: đối soát doanh số, hoa hồng và công nợ của tệp đối tác.</w:t>
      </w:r>
    </w:p>
    <w:p>
      <w:pPr>
        <w:spacing w:before="0" w:after="60" w:line="312" w:lineRule="auto"/>
        <w:jc w:val="both"/>
      </w:pPr>
      <w:r>
        <w:rPr>
          <w:rFonts w:ascii="Times New Roman" w:hAnsi="Times New Roman" w:cs="Times New Roman" w:eastAsia="Times New Roman"/>
          <w:b w:val="0"/>
          <w:i w:val="0"/>
          <w:sz w:val="26"/>
        </w:rPr>
        <w:t>- Với Khối Logistics và O2O: đối soát phí giữ hàng, quỹ bảo hiểm O2O và công nợ của chủ Trạm Hub.</w:t>
      </w:r>
    </w:p>
    <w:p>
      <w:pPr>
        <w:spacing w:before="0" w:after="60" w:line="312" w:lineRule="auto"/>
        <w:jc w:val="both"/>
      </w:pPr>
      <w:r>
        <w:rPr>
          <w:rFonts w:ascii="Times New Roman" w:hAnsi="Times New Roman" w:cs="Times New Roman" w:eastAsia="Times New Roman"/>
          <w:b w:val="0"/>
          <w:i w:val="0"/>
          <w:sz w:val="26"/>
        </w:rPr>
        <w:t>- Với Khối Pháp chế - Tuân thủ: đối soát nghĩa vụ thuế, quản lý tài khoản đảm bảo và dòng tiền ký quỹ.</w:t>
      </w:r>
    </w:p>
    <w:p>
      <w:pPr>
        <w:spacing w:before="0" w:after="60" w:line="312" w:lineRule="auto"/>
        <w:jc w:val="both"/>
      </w:pPr>
      <w:r>
        <w:rPr>
          <w:rFonts w:ascii="Times New Roman" w:hAnsi="Times New Roman" w:cs="Times New Roman" w:eastAsia="Times New Roman"/>
          <w:b w:val="0"/>
          <w:i w:val="0"/>
          <w:sz w:val="26"/>
        </w:rPr>
        <w:t>- Với Khối Nhân sự: kiểm soát quỹ lương, chi phí nhân sự và nghĩa vụ bảo hiểm.</w:t>
      </w:r>
    </w:p>
    <w:p>
      <w:pPr>
        <w:spacing w:before="200" w:after="120" w:line="312" w:lineRule="auto"/>
        <w:jc w:val="left"/>
      </w:pPr>
      <w:r>
        <w:rPr>
          <w:rFonts w:ascii="Times New Roman" w:hAnsi="Times New Roman" w:cs="Times New Roman" w:eastAsia="Times New Roman"/>
          <w:b/>
          <w:i w:val="0"/>
          <w:sz w:val="28"/>
        </w:rPr>
        <w:t>PHẦN IX. TỔ CHỨC THỰC HIỆN, KIỂM TOÁN VÀ QUẢN TRỊ RỦI RO TÀI CHÍNH</w:t>
      </w:r>
    </w:p>
    <w:p>
      <w:pPr>
        <w:spacing w:before="0" w:after="120" w:line="312" w:lineRule="auto"/>
        <w:ind w:firstLine="567"/>
        <w:jc w:val="both"/>
      </w:pPr>
      <w:r>
        <w:rPr>
          <w:rFonts w:ascii="Times New Roman" w:hAnsi="Times New Roman" w:cs="Times New Roman" w:eastAsia="Times New Roman"/>
          <w:b w:val="0"/>
          <w:i w:val="0"/>
          <w:sz w:val="26"/>
        </w:rPr>
        <w:t>Khối Tài chính - Kế toán thiết lập hệ thống kiểm soát nội bộ và quản trị dòng tiền tự động; ký hợp đồng với các công ty kiểm toán độc lập được Bộ Tài chính chấp thuận để bảo đảm tính minh bạch của báo cáo tài chính hằng năm, phục vụ công tác gọi vốn và niêm yết.</w:t>
      </w:r>
    </w:p>
    <w:p>
      <w:pPr>
        <w:spacing w:before="120" w:after="120" w:line="312" w:lineRule="auto"/>
        <w:ind w:firstLine="567"/>
        <w:jc w:val="both"/>
      </w:pPr>
      <w:r>
        <w:rPr>
          <w:rFonts w:ascii="Times New Roman" w:hAnsi="Times New Roman" w:cs="Times New Roman" w:eastAsia="Times New Roman"/>
          <w:b w:val="0"/>
          <w:i w:val="0"/>
          <w:sz w:val="26"/>
        </w:rPr>
        <w:t>Khối Tài chính - Kế toán chủ trì điều phối việc thực hiện Đề án này; định kỳ hằng quý báo cáo Hội đồng Quản trị và Ban Tổng Giám đốc về hiệu quả sử dụng vốn và các chỉ số an toàn tài chính./.</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