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3742"/>
        <w:gridCol w:w="5329"/>
      </w:tblGrid>
      <w:tr>
        <w:tc>
          <w:tcPr>
            <w:tcW w:type="dxa" w:w="3742"/>
          </w:tcPr>
          <w:p>
            <w:pPr>
              <w:spacing w:after="0"/>
              <w:jc w:val="center"/>
            </w:pPr>
            <w:r>
              <w:rPr>
                <w:rFonts w:ascii="Times New Roman" w:cs="Times New Roman" w:eastAsia="Times New Roman" w:hAnsi="Times New Roman"/>
                <w:b/>
                <w:bCs/>
                <w:sz w:val="26"/>
                <w:szCs w:val="26"/>
              </w:rPr>
              <w:t xml:space="preserve">CÔNG TY CỔ PHẦN VCOMM VIỆT NAM</w:t>
            </w:r>
          </w:p>
          <w:p>
            <w:pPr>
              <w:pBdr>
                <w:bottom w:val="single" w:color="000000" w:sz="6" w:space="1"/>
              </w:pBdr>
              <w:spacing w:after="0"/>
              <w:ind w:left="1020" w:right="1020"/>
              <w:jc w:val="center"/>
            </w:pPr>
          </w:p>
          <w:p>
            <w:pPr>
              <w:spacing w:after="0" w:before="40"/>
              <w:jc w:val="center"/>
            </w:pPr>
            <w:r>
              <w:rPr>
                <w:rFonts w:ascii="Times New Roman" w:cs="Times New Roman" w:eastAsia="Times New Roman" w:hAnsi="Times New Roman"/>
                <w:sz w:val="26"/>
                <w:szCs w:val="26"/>
              </w:rPr>
              <w:t>Số: 03/KH-VCOMM</w:t>
            </w:r>
          </w:p>
        </w:tc>
        <w:tc>
          <w:tcPr>
            <w:tcW w:type="dxa" w:w="5329"/>
          </w:tcPr>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0"/>
              <w:jc w:val="center"/>
            </w:pPr>
            <w:r>
              <w:rPr>
                <w:rFonts w:ascii="Times New Roman" w:cs="Times New Roman" w:eastAsia="Times New Roman" w:hAnsi="Times New Roman"/>
                <w:b/>
                <w:bCs/>
                <w:sz w:val="26"/>
                <w:szCs w:val="26"/>
              </w:rPr>
              <w:t xml:space="preserve">Độc lập - Tự do - Hạnh phúc</w:t>
            </w:r>
          </w:p>
          <w:p>
            <w:pPr>
              <w:pBdr>
                <w:bottom w:val="single" w:color="000000" w:sz="6" w:space="1"/>
              </w:pBdr>
              <w:spacing w:after="0"/>
              <w:ind w:left="964" w:right="964"/>
              <w:jc w:val="center"/>
            </w:pPr>
          </w:p>
          <w:p>
            <w:pPr>
              <w:spacing w:after="0" w:before="40"/>
              <w:jc w:val="center"/>
            </w:pPr>
            <w:r>
              <w:rPr>
                <w:rFonts w:ascii="Times New Roman" w:cs="Times New Roman" w:eastAsia="Times New Roman" w:hAnsi="Times New Roman"/>
                <w:i/>
                <w:iCs/>
                <w:sz w:val="26"/>
                <w:szCs w:val="26"/>
              </w:rPr>
              <w:t>TP. Hồ Chí Minh, ngày 5 tháng 10 năm 2026</w:t>
            </w:r>
          </w:p>
        </w:tc>
      </w:tr>
    </w:tbl>
    <w:p>
      <w:pPr>
        <w:spacing w:before="120" w:after="120" w:line="312" w:lineRule="auto"/>
        <w:jc w:val="center"/>
      </w:pPr>
      <w:r>
        <w:rPr>
          <w:rFonts w:ascii="Times New Roman" w:hAnsi="Times New Roman" w:cs="Times New Roman" w:eastAsia="Times New Roman"/>
          <w:b/>
          <w:i w:val="0"/>
          <w:sz w:val="28"/>
        </w:rPr>
        <w:t>ĐỀ ÁN</w:t>
      </w:r>
    </w:p>
    <w:p>
      <w:pPr>
        <w:spacing w:before="0" w:after="120" w:line="312" w:lineRule="auto"/>
        <w:jc w:val="center"/>
      </w:pPr>
      <w:r>
        <w:rPr>
          <w:rFonts w:ascii="Times New Roman" w:hAnsi="Times New Roman" w:cs="Times New Roman" w:eastAsia="Times New Roman"/>
          <w:b/>
          <w:i w:val="0"/>
          <w:sz w:val="26"/>
        </w:rPr>
        <w:t>Chiến lược phát triển kinh doanh và mở rộng thị trường Sàn thương mại điện tử Bán lẻ Hợp kênh VComm giai đoạn 2026 - 2030</w:t>
      </w:r>
    </w:p>
    <w:p>
      <w:pPr>
        <w:spacing w:before="0" w:after="80" w:line="312" w:lineRule="auto"/>
        <w:jc w:val="center"/>
      </w:pPr>
      <w:r>
        <w:rPr>
          <w:rFonts w:ascii="Times New Roman" w:hAnsi="Times New Roman" w:cs="Times New Roman" w:eastAsia="Times New Roman"/>
          <w:b/>
          <w:i w:val="0"/>
          <w:sz w:val="26"/>
        </w:rPr>
        <w:t>CÔNG TY CỔ PHẦN VCOMM VIỆT NAM</w:t>
      </w:r>
    </w:p>
    <w:p>
      <w:pPr>
        <w:spacing w:before="0" w:after="80" w:line="312" w:lineRule="auto"/>
        <w:jc w:val="center"/>
      </w:pPr>
      <w:r>
        <w:rPr>
          <w:rFonts w:ascii="Times New Roman" w:hAnsi="Times New Roman" w:cs="Times New Roman" w:eastAsia="Times New Roman"/>
          <w:b/>
          <w:i w:val="0"/>
          <w:sz w:val="26"/>
        </w:rPr>
        <w:t>BAN CHIẾN LƯỢC &amp; PHÁT TRIỂN DỰ ÁN</w:t>
      </w:r>
    </w:p>
    <w:p>
      <w:pPr>
        <w:spacing w:before="0" w:after="200" w:line="312" w:lineRule="auto"/>
        <w:jc w:val="center"/>
      </w:pPr>
      <w:r>
        <w:rPr>
          <w:rFonts w:ascii="Times New Roman" w:hAnsi="Times New Roman" w:cs="Times New Roman" w:eastAsia="Times New Roman"/>
          <w:b w:val="0"/>
          <w:i/>
          <w:sz w:val="24"/>
        </w:rPr>
        <w:t>Tài liệu tham chiếu: Kế hoạch tài chính 5 năm giai đoạn 2026 - 2030; Chiến lược phát triển kinh doanh đã được Hội đồng Quản trị phê duyệt.</w:t>
      </w:r>
    </w:p>
    <w:p>
      <w:pPr>
        <w:spacing w:before="200" w:after="120" w:line="312" w:lineRule="auto"/>
        <w:jc w:val="left"/>
      </w:pPr>
      <w:r>
        <w:rPr>
          <w:rFonts w:ascii="Times New Roman" w:hAnsi="Times New Roman" w:cs="Times New Roman" w:eastAsia="Times New Roman"/>
          <w:b/>
          <w:i w:val="0"/>
          <w:sz w:val="28"/>
        </w:rPr>
        <w:t>I. CĂN CỨ PHÁP LÝ VÀ ĐÁNH GIÁ THỊ TRƯỜNG</w:t>
      </w:r>
    </w:p>
    <w:p>
      <w:pPr>
        <w:spacing w:before="120" w:after="80" w:line="312" w:lineRule="auto"/>
        <w:jc w:val="left"/>
      </w:pPr>
      <w:r>
        <w:rPr>
          <w:rFonts w:ascii="Times New Roman" w:hAnsi="Times New Roman" w:cs="Times New Roman" w:eastAsia="Times New Roman"/>
          <w:b/>
          <w:i w:val="0"/>
          <w:sz w:val="26"/>
        </w:rPr>
        <w:t>1. Căn cứ pháp lý</w:t>
      </w:r>
    </w:p>
    <w:p>
      <w:pPr>
        <w:spacing w:before="0" w:after="60" w:line="312" w:lineRule="auto"/>
        <w:jc w:val="both"/>
      </w:pPr>
      <w:r>
        <w:rPr>
          <w:rFonts w:ascii="Times New Roman" w:hAnsi="Times New Roman" w:cs="Times New Roman" w:eastAsia="Times New Roman"/>
          <w:b w:val="0"/>
          <w:i w:val="0"/>
          <w:sz w:val="26"/>
        </w:rPr>
        <w:t>- Luật Thương mại số 36/2005/QH11 ngày 14 tháng 6 năm 2005 của Quốc hội;</w:t>
      </w:r>
    </w:p>
    <w:p>
      <w:pPr>
        <w:spacing w:before="0" w:after="60" w:line="312" w:lineRule="auto"/>
        <w:jc w:val="both"/>
      </w:pPr>
      <w:r>
        <w:rPr>
          <w:rFonts w:ascii="Times New Roman" w:hAnsi="Times New Roman" w:cs="Times New Roman" w:eastAsia="Times New Roman"/>
          <w:b w:val="0"/>
          <w:i w:val="0"/>
          <w:sz w:val="26"/>
        </w:rPr>
        <w:t>- Luật Doanh nghiệp số 59/2020/QH14 ngày 17 tháng 6 năm 2020 của Quốc hội;</w:t>
      </w:r>
    </w:p>
    <w:p>
      <w:pPr>
        <w:spacing w:before="0" w:after="60" w:line="312" w:lineRule="auto"/>
        <w:jc w:val="both"/>
      </w:pPr>
      <w:r>
        <w:rPr>
          <w:rFonts w:ascii="Times New Roman" w:hAnsi="Times New Roman" w:cs="Times New Roman" w:eastAsia="Times New Roman"/>
          <w:b w:val="0"/>
          <w:i w:val="0"/>
          <w:sz w:val="26"/>
        </w:rPr>
        <w:t>- Nghị định số 52/2013/NĐ-CP và Nghị định số 85/2021/NĐ-CP về thương mại điện tử;</w:t>
      </w:r>
    </w:p>
    <w:p>
      <w:pPr>
        <w:spacing w:before="0" w:after="60" w:line="312" w:lineRule="auto"/>
        <w:jc w:val="both"/>
      </w:pPr>
      <w:r>
        <w:rPr>
          <w:rFonts w:ascii="Times New Roman" w:hAnsi="Times New Roman" w:cs="Times New Roman" w:eastAsia="Times New Roman"/>
          <w:b w:val="0"/>
          <w:i w:val="0"/>
          <w:sz w:val="26"/>
        </w:rPr>
        <w:t>- Nghị quyết Đại hội đồng cổ đông Công ty Cổ phần VComm Việt Nam về định hướng phát triển giai đoạn 2026 - 2030.</w:t>
      </w:r>
    </w:p>
    <w:p>
      <w:pPr>
        <w:spacing w:before="120" w:after="80" w:line="312" w:lineRule="auto"/>
        <w:jc w:val="left"/>
      </w:pPr>
      <w:r>
        <w:rPr>
          <w:rFonts w:ascii="Times New Roman" w:hAnsi="Times New Roman" w:cs="Times New Roman" w:eastAsia="Times New Roman"/>
          <w:b/>
          <w:i w:val="0"/>
          <w:sz w:val="26"/>
        </w:rPr>
        <w:t>2. Đánh giá thị trường và phân tích năng lực cạnh tranh</w:t>
      </w:r>
    </w:p>
    <w:p>
      <w:pPr>
        <w:spacing w:before="0" w:after="120" w:line="312" w:lineRule="auto"/>
        <w:ind w:firstLine="567"/>
        <w:jc w:val="both"/>
      </w:pPr>
      <w:r>
        <w:rPr>
          <w:rFonts w:ascii="Times New Roman" w:hAnsi="Times New Roman" w:cs="Times New Roman" w:eastAsia="Times New Roman"/>
          <w:b w:val="0"/>
          <w:i w:val="0"/>
          <w:sz w:val="26"/>
        </w:rPr>
        <w:t>Thị trường thương mại điện tử Việt Nam duy trì tốc độ tăng trưởng trên 20% mỗi năm nhưng đang bão hòa ở mô hình giao hàng tận cửa truyền thống do chi phí logistics tăng cao và chi phí thu hút khách hàng leo thang. VComm lựa chọn chiến lược đại dương xanh thông qua mô hình Bán lẻ Hợp kênh, khai thác mạng lưới tiệm tạp hóa ngõ xóm làm điểm tựa phát triển, giảm cạnh tranh trực diện bằng ngân sách quảng cáo.</w:t>
      </w:r>
    </w:p>
    <w:p>
      <w:pPr>
        <w:spacing w:before="0" w:after="120" w:line="312" w:lineRule="auto"/>
        <w:ind w:firstLine="567"/>
        <w:jc w:val="both"/>
      </w:pPr>
      <w:r>
        <w:rPr>
          <w:rFonts w:ascii="Times New Roman" w:hAnsi="Times New Roman" w:cs="Times New Roman" w:eastAsia="Times New Roman"/>
          <w:b w:val="0"/>
          <w:i w:val="0"/>
          <w:sz w:val="26"/>
        </w:rPr>
        <w:t>Lợi thế cạnh tranh cốt lõi của VComm gồm ba trụ: chi phí thu hút khách hàng thấp nhờ tương tác xã hội của cơ chế mua chung; chi phí giao hàng chặng cuối giảm từ 40% đến 50% nhờ chính sách nhận hàng tại Trạm Hub; và tỷ lệ giữ chân khách hàng cao nhờ hệ thống tích điểm liên minh dùng chung trên toàn bộ điểm bán trong hệ sinh thái.</w:t>
      </w:r>
    </w:p>
    <w:p>
      <w:pPr>
        <w:spacing w:before="200" w:after="120" w:line="312" w:lineRule="auto"/>
        <w:jc w:val="left"/>
      </w:pPr>
      <w:r>
        <w:rPr>
          <w:rFonts w:ascii="Times New Roman" w:hAnsi="Times New Roman" w:cs="Times New Roman" w:eastAsia="Times New Roman"/>
          <w:b/>
          <w:i w:val="0"/>
          <w:sz w:val="28"/>
        </w:rPr>
        <w:t>II. MỤC TIÊU TĂNG TRƯỞNG KINH DOANH VÀ THỊ PHẦN NĂM NĂM</w:t>
      </w:r>
    </w:p>
    <w:p>
      <w:pPr>
        <w:spacing w:before="0" w:after="120" w:line="312" w:lineRule="auto"/>
        <w:ind w:firstLine="567"/>
        <w:jc w:val="both"/>
      </w:pPr>
      <w:r>
        <w:rPr>
          <w:rFonts w:ascii="Times New Roman" w:hAnsi="Times New Roman" w:cs="Times New Roman" w:eastAsia="Times New Roman"/>
          <w:b w:val="0"/>
          <w:i w:val="0"/>
          <w:sz w:val="26"/>
        </w:rPr>
        <w:t>Mục tiêu tăng trưởng được xác định theo từng năm, gắn chặt với quy mô mạng lưới Trạm Hub và giá trị giao dịch toàn sàn, cụ thể như sau:</w:t>
      </w:r>
    </w:p>
    <w:p>
      <w:pPr>
        <w:spacing w:before="0" w:after="60" w:line="312" w:lineRule="auto"/>
        <w:jc w:val="both"/>
      </w:pPr>
      <w:r>
        <w:rPr>
          <w:rFonts w:ascii="Times New Roman" w:hAnsi="Times New Roman" w:cs="Times New Roman" w:eastAsia="Times New Roman"/>
          <w:b w:val="0"/>
          <w:i w:val="0"/>
          <w:sz w:val="26"/>
        </w:rPr>
        <w:t>- Năm 2026 (xây dựng nền tảng): phát triển 1.200 Trạm Hub tại khu vực Thành phố Hồ Chí Minh; tổng giá trị giao dịch đạt 350 tỷ đồng; phục vụ 450.000 người dùng hoạt động hàng tháng.</w:t>
      </w:r>
    </w:p>
    <w:p>
      <w:pPr>
        <w:spacing w:before="0" w:after="60" w:line="312" w:lineRule="auto"/>
        <w:jc w:val="both"/>
      </w:pPr>
      <w:r>
        <w:rPr>
          <w:rFonts w:ascii="Times New Roman" w:hAnsi="Times New Roman" w:cs="Times New Roman" w:eastAsia="Times New Roman"/>
          <w:b w:val="0"/>
          <w:i w:val="0"/>
          <w:sz w:val="26"/>
        </w:rPr>
        <w:t>- Năm 2027 (tăng tốc): mở rộng lên 3.500 Trạm Hub tại khu vực miền Nam; tổng giá trị giao dịch đạt 1.500 tỷ đồng; đạt điểm hòa vốn hoạt động vào tháng thứ 16.</w:t>
      </w:r>
    </w:p>
    <w:p>
      <w:pPr>
        <w:spacing w:before="0" w:after="60" w:line="312" w:lineRule="auto"/>
        <w:jc w:val="both"/>
      </w:pPr>
      <w:r>
        <w:rPr>
          <w:rFonts w:ascii="Times New Roman" w:hAnsi="Times New Roman" w:cs="Times New Roman" w:eastAsia="Times New Roman"/>
          <w:b w:val="0"/>
          <w:i w:val="0"/>
          <w:sz w:val="26"/>
        </w:rPr>
        <w:t>- Năm 2028 (phủ sóng): mở rộng lên 9.000 Trạm Hub tại các đô thị loại 1 và loại 2; tổng giá trị giao dịch đạt 4.800 tỷ đồng.</w:t>
      </w:r>
    </w:p>
    <w:p>
      <w:pPr>
        <w:spacing w:before="0" w:after="60" w:line="312" w:lineRule="auto"/>
        <w:jc w:val="both"/>
      </w:pPr>
      <w:r>
        <w:rPr>
          <w:rFonts w:ascii="Times New Roman" w:hAnsi="Times New Roman" w:cs="Times New Roman" w:eastAsia="Times New Roman"/>
          <w:b w:val="0"/>
          <w:i w:val="0"/>
          <w:sz w:val="26"/>
        </w:rPr>
        <w:t>- Năm 2029 (bứt phá): đạt 20.000 Trạm Hub; tổng giá trị giao dịch đạt 12.500 tỷ đồng.</w:t>
      </w:r>
    </w:p>
    <w:p>
      <w:pPr>
        <w:spacing w:before="0" w:after="60" w:line="312" w:lineRule="auto"/>
        <w:jc w:val="both"/>
      </w:pPr>
      <w:r>
        <w:rPr>
          <w:rFonts w:ascii="Times New Roman" w:hAnsi="Times New Roman" w:cs="Times New Roman" w:eastAsia="Times New Roman"/>
          <w:b w:val="0"/>
          <w:i w:val="0"/>
          <w:sz w:val="26"/>
        </w:rPr>
        <w:t>- Năm 2030 (thống lĩnh): hoàn thành mạng lưới 35.000 Trạm Hub toàn quốc; tổng giá trị giao dịch đạt 28.000 tỷ đồng; 15.000.000 người dùng hoạt động hàng tháng.</w:t>
      </w:r>
    </w:p>
    <w:p>
      <w:pPr>
        <w:spacing w:before="200" w:after="120" w:line="312" w:lineRule="auto"/>
        <w:jc w:val="left"/>
      </w:pPr>
      <w:r>
        <w:rPr>
          <w:rFonts w:ascii="Times New Roman" w:hAnsi="Times New Roman" w:cs="Times New Roman" w:eastAsia="Times New Roman"/>
          <w:b/>
          <w:i w:val="0"/>
          <w:sz w:val="28"/>
        </w:rPr>
        <w:t>III. LỘ TRÌNH BA GIAI ĐOẠN PHÁT TRIỂN THỊ TRƯỜNG</w:t>
      </w:r>
    </w:p>
    <w:p>
      <w:pPr>
        <w:spacing w:before="0" w:after="60" w:line="312" w:lineRule="auto"/>
        <w:jc w:val="both"/>
      </w:pPr>
      <w:r>
        <w:rPr>
          <w:rFonts w:ascii="Times New Roman" w:hAnsi="Times New Roman" w:cs="Times New Roman" w:eastAsia="Times New Roman"/>
          <w:b w:val="0"/>
          <w:i w:val="0"/>
          <w:sz w:val="26"/>
        </w:rPr>
        <w:t>- Giai đoạn 1 (2026 - 2027) - Thâm nhập thị trường và thiết lập mạng lưới Trạm Hub nền tảng: tập trung chiếm lĩnh Thành phố Hồ Chí Minh và các tỉnh Đông Nam Bộ; mục tiêu phủ 3.500 Trạm Hub; hoàn thiện tính năng mua chung cho nông sản và hàng tiêu dùng nhanh; tích hợp hoàn chỉnh phần mềm bán hàng và cổng thanh toán; đạt mốc hòa vốn hoạt động tại tháng thứ 16.</w:t>
      </w:r>
    </w:p>
    <w:p>
      <w:pPr>
        <w:spacing w:before="0" w:after="60" w:line="312" w:lineRule="auto"/>
        <w:jc w:val="both"/>
      </w:pPr>
      <w:r>
        <w:rPr>
          <w:rFonts w:ascii="Times New Roman" w:hAnsi="Times New Roman" w:cs="Times New Roman" w:eastAsia="Times New Roman"/>
          <w:b w:val="0"/>
          <w:i w:val="0"/>
          <w:sz w:val="26"/>
        </w:rPr>
        <w:t>- Giai đoạn 2 (2027 - 2029) - Mở rộng mạng lưới toàn quốc và đẩy mạnh chuỗi cung ứng: phủ sóng mạng lưới lên 20.000 điểm tại các đô thị loại 1 và loại 2 gồm Hà Nội, Đà Nẵng, Cần Thơ, Hải Phòng; đẩy mạnh chuỗi cung ứng tận xưởng; nâng tỷ trọng thanh toán không dùng tiền mặt lên 70%; triển khai các chương trình đồng thương hiệu với các nhãn hàng tiêu dùng lớn.</w:t>
      </w:r>
    </w:p>
    <w:p>
      <w:pPr>
        <w:spacing w:before="0" w:after="60" w:line="312" w:lineRule="auto"/>
        <w:jc w:val="both"/>
      </w:pPr>
      <w:r>
        <w:rPr>
          <w:rFonts w:ascii="Times New Roman" w:hAnsi="Times New Roman" w:cs="Times New Roman" w:eastAsia="Times New Roman"/>
          <w:b w:val="0"/>
          <w:i w:val="0"/>
          <w:sz w:val="26"/>
        </w:rPr>
        <w:t>- Giai đoạn 3 (2029 - 2030) - Hoàn thiện hệ sinh thái đa kênh và chuẩn bị niêm yết: đạt quy mô 35.000 Trạm Hub, trở thành nền tảng Bán lẻ Hợp kênh lớn nhất Việt Nam; khai thác mảng dịch vụ tài chính nhúng và dịch vụ dữ liệu bán lẻ; tiến hành gọi vốn vòng cuối và chuẩn bị hồ sơ niêm yết trên thị trường chứng khoán trong nước hoặc quốc tế.</w:t>
      </w:r>
    </w:p>
    <w:p>
      <w:pPr>
        <w:spacing w:before="200" w:after="120" w:line="312" w:lineRule="auto"/>
        <w:jc w:val="left"/>
      </w:pPr>
      <w:r>
        <w:rPr>
          <w:rFonts w:ascii="Times New Roman" w:hAnsi="Times New Roman" w:cs="Times New Roman" w:eastAsia="Times New Roman"/>
          <w:b/>
          <w:i w:val="0"/>
          <w:sz w:val="28"/>
        </w:rPr>
        <w:t>IV. CHIẾN LƯỢC GO-TO-MARKET VÀ PHÁT TRIỂN ĐIỂM BÁN</w:t>
      </w:r>
    </w:p>
    <w:p>
      <w:pPr>
        <w:spacing w:before="120" w:after="80" w:line="312" w:lineRule="auto"/>
        <w:jc w:val="left"/>
      </w:pPr>
      <w:r>
        <w:rPr>
          <w:rFonts w:ascii="Times New Roman" w:hAnsi="Times New Roman" w:cs="Times New Roman" w:eastAsia="Times New Roman"/>
          <w:b/>
          <w:i w:val="0"/>
          <w:sz w:val="26"/>
        </w:rPr>
        <w:t>1. Chiến thuật "Vết dầu loang" (Density-first Strategy)</w:t>
      </w:r>
    </w:p>
    <w:p>
      <w:pPr>
        <w:spacing w:before="0" w:after="120" w:line="312" w:lineRule="auto"/>
        <w:ind w:firstLine="567"/>
        <w:jc w:val="both"/>
      </w:pPr>
      <w:r>
        <w:rPr>
          <w:rFonts w:ascii="Times New Roman" w:hAnsi="Times New Roman" w:cs="Times New Roman" w:eastAsia="Times New Roman"/>
          <w:b w:val="0"/>
          <w:i w:val="0"/>
          <w:sz w:val="26"/>
        </w:rPr>
        <w:t>Không dàn trải nguồn lực ra toàn quốc ngay từ đầu. VComm tập trung tuyển chọn Trạm Hub theo từng cụm phường, quận có mật độ dân cư cao để rút ngắn tuyến đường xe tải vận chuyển gom lô, đạt hiệu quả kinh tế trên từng chuyến xe trước khi mở rộng diện rộng.</w:t>
      </w:r>
    </w:p>
    <w:p>
      <w:pPr>
        <w:spacing w:before="120" w:after="80" w:line="312" w:lineRule="auto"/>
        <w:jc w:val="left"/>
      </w:pPr>
      <w:r>
        <w:rPr>
          <w:rFonts w:ascii="Times New Roman" w:hAnsi="Times New Roman" w:cs="Times New Roman" w:eastAsia="Times New Roman"/>
          <w:b/>
          <w:i w:val="0"/>
          <w:sz w:val="26"/>
        </w:rPr>
        <w:t>2. Chính sách thu hút điểm bán Hub</w:t>
      </w:r>
    </w:p>
    <w:p>
      <w:pPr>
        <w:spacing w:before="0" w:after="60" w:line="312" w:lineRule="auto"/>
        <w:jc w:val="both"/>
      </w:pPr>
      <w:r>
        <w:rPr>
          <w:rFonts w:ascii="Times New Roman" w:hAnsi="Times New Roman" w:cs="Times New Roman" w:eastAsia="Times New Roman"/>
          <w:b w:val="0"/>
          <w:i w:val="0"/>
          <w:sz w:val="26"/>
        </w:rPr>
        <w:t>- Tặng máy bán hàng cảm ứng và phần mềm quản lý miễn phí trọn đời cho các chủ tiệm tạp hóa đầu tiên cam kết đồng hành, tạo sự gắn kết dài hạn.</w:t>
      </w:r>
    </w:p>
    <w:p>
      <w:pPr>
        <w:spacing w:before="0" w:after="60" w:line="312" w:lineRule="auto"/>
        <w:jc w:val="both"/>
      </w:pPr>
      <w:r>
        <w:rPr>
          <w:rFonts w:ascii="Times New Roman" w:hAnsi="Times New Roman" w:cs="Times New Roman" w:eastAsia="Times New Roman"/>
          <w:b w:val="0"/>
          <w:i w:val="0"/>
          <w:sz w:val="26"/>
        </w:rPr>
        <w:t>- Cam kết mức thu nhập hoa hồng tối thiểu từ hoạt động giao nhận kiện hàng, giúp chủ tiệm có thêm thu nhập thụ động mà không cần bỏ vốn nhập hàng.</w:t>
      </w:r>
    </w:p>
    <w:p>
      <w:pPr>
        <w:spacing w:before="120" w:after="80" w:line="312" w:lineRule="auto"/>
        <w:jc w:val="left"/>
      </w:pPr>
      <w:r>
        <w:rPr>
          <w:rFonts w:ascii="Times New Roman" w:hAnsi="Times New Roman" w:cs="Times New Roman" w:eastAsia="Times New Roman"/>
          <w:b/>
          <w:i w:val="0"/>
          <w:sz w:val="26"/>
        </w:rPr>
        <w:t>3. Chương trình KOC cộng đồng và "trưởng nhóm mua chung"</w:t>
      </w:r>
    </w:p>
    <w:p>
      <w:pPr>
        <w:spacing w:before="0" w:after="120" w:line="312" w:lineRule="auto"/>
        <w:ind w:firstLine="567"/>
        <w:jc w:val="both"/>
      </w:pPr>
      <w:r>
        <w:rPr>
          <w:rFonts w:ascii="Times New Roman" w:hAnsi="Times New Roman" w:cs="Times New Roman" w:eastAsia="Times New Roman"/>
          <w:b w:val="0"/>
          <w:i w:val="0"/>
          <w:sz w:val="26"/>
        </w:rPr>
        <w:t>Đào tạo và trao quyền cho chính các chủ Trạm Hub và những người có uy tín tại khu dân cư trở thành "trưởng nhóm mua chung", hỗ trợ họ công cụ tạo đường dẫn gom đơn qua các nhóm cộng đồng để chia sẻ cho cư dân xung quanh. Đây là lực lượng bán hàng cộng đồng có chi phí thấp nhưng độ tin cậy cao.</w:t>
      </w:r>
    </w:p>
    <w:p>
      <w:pPr>
        <w:spacing w:before="200" w:after="120" w:line="312" w:lineRule="auto"/>
        <w:jc w:val="left"/>
      </w:pPr>
      <w:r>
        <w:rPr>
          <w:rFonts w:ascii="Times New Roman" w:hAnsi="Times New Roman" w:cs="Times New Roman" w:eastAsia="Times New Roman"/>
          <w:b/>
          <w:i w:val="0"/>
          <w:sz w:val="28"/>
        </w:rPr>
        <w:t>V. CƠ CHẾ KÍCH HOẠT VÀ GIỮ CHÂN CHỦ ĐIỂM BÁN</w:t>
      </w:r>
    </w:p>
    <w:p>
      <w:pPr>
        <w:spacing w:before="120" w:after="80" w:line="312" w:lineRule="auto"/>
        <w:jc w:val="left"/>
      </w:pPr>
      <w:r>
        <w:rPr>
          <w:rFonts w:ascii="Times New Roman" w:hAnsi="Times New Roman" w:cs="Times New Roman" w:eastAsia="Times New Roman"/>
          <w:b/>
          <w:i w:val="0"/>
          <w:sz w:val="26"/>
        </w:rPr>
        <w:t>1. Nguồn thu hoa hồng đa tầng</w:t>
      </w:r>
    </w:p>
    <w:p>
      <w:pPr>
        <w:spacing w:before="0" w:after="120" w:line="312" w:lineRule="auto"/>
        <w:ind w:firstLine="567"/>
        <w:jc w:val="both"/>
      </w:pPr>
      <w:r>
        <w:rPr>
          <w:rFonts w:ascii="Times New Roman" w:hAnsi="Times New Roman" w:cs="Times New Roman" w:eastAsia="Times New Roman"/>
          <w:b w:val="0"/>
          <w:i w:val="0"/>
          <w:sz w:val="26"/>
        </w:rPr>
        <w:t>Trả hoa hồng từ 3% đến 5% trên mỗi kiện hàng lưu kho và bàn giao thành công, giúp chủ tiệm tạp hóa có thêm thu nhập thụ động từ 5 đến 15 triệu đồng mỗi tháng mà không cần bỏ vốn nhập hàng.</w:t>
      </w:r>
    </w:p>
    <w:p>
      <w:pPr>
        <w:spacing w:before="120" w:after="80" w:line="312" w:lineRule="auto"/>
        <w:jc w:val="left"/>
      </w:pPr>
      <w:r>
        <w:rPr>
          <w:rFonts w:ascii="Times New Roman" w:hAnsi="Times New Roman" w:cs="Times New Roman" w:eastAsia="Times New Roman"/>
          <w:b/>
          <w:i w:val="0"/>
          <w:sz w:val="26"/>
        </w:rPr>
        <w:t>2. Hưởng trọn lưu lượng khách ghé thăm</w:t>
      </w:r>
    </w:p>
    <w:p>
      <w:pPr>
        <w:spacing w:before="0" w:after="120" w:line="312" w:lineRule="auto"/>
        <w:ind w:firstLine="567"/>
        <w:jc w:val="both"/>
      </w:pPr>
      <w:r>
        <w:rPr>
          <w:rFonts w:ascii="Times New Roman" w:hAnsi="Times New Roman" w:cs="Times New Roman" w:eastAsia="Times New Roman"/>
          <w:b w:val="0"/>
          <w:i w:val="0"/>
          <w:sz w:val="26"/>
        </w:rPr>
        <w:t>Điểm giá trị nhất đối với chủ quán là lượng khách ghé lấy hàng mỗi ngày. Trung bình cứ 100 người đến Trạm Hub nhận hàng thì có khoảng 25 đến 35 người sẽ tiện tay mua thêm nước uống, bánh kẹo hoặc đồ dùng thiết yếu tại chỗ, tạo doanh thu tăng thêm trực tiếp cho chủ điểm bán.</w:t>
      </w:r>
    </w:p>
    <w:p>
      <w:pPr>
        <w:spacing w:before="120" w:after="80" w:line="312" w:lineRule="auto"/>
        <w:jc w:val="left"/>
      </w:pPr>
      <w:r>
        <w:rPr>
          <w:rFonts w:ascii="Times New Roman" w:hAnsi="Times New Roman" w:cs="Times New Roman" w:eastAsia="Times New Roman"/>
          <w:b/>
          <w:i w:val="0"/>
          <w:sz w:val="26"/>
        </w:rPr>
        <w:t>3. Trang bị công cụ quản lý miễn phí</w:t>
      </w:r>
    </w:p>
    <w:p>
      <w:pPr>
        <w:spacing w:before="0" w:after="120" w:line="312" w:lineRule="auto"/>
        <w:ind w:firstLine="567"/>
        <w:jc w:val="both"/>
      </w:pPr>
      <w:r>
        <w:rPr>
          <w:rFonts w:ascii="Times New Roman" w:hAnsi="Times New Roman" w:cs="Times New Roman" w:eastAsia="Times New Roman"/>
          <w:b w:val="0"/>
          <w:i w:val="0"/>
          <w:sz w:val="26"/>
        </w:rPr>
        <w:t>Tặng phần mềm quản lý bán hàng và máy quét mã vạch cho chủ điểm bán để đổi lấy sự gắn kết dài hạn, biến họ thành "đại sứ thương hiệu" tại khu dân cư và là kênh thu thập dữ liệu bán lẻ quan trọng của nền tảng.</w:t>
      </w:r>
    </w:p>
    <w:p>
      <w:pPr>
        <w:spacing w:before="200" w:after="120" w:line="312" w:lineRule="auto"/>
        <w:jc w:val="left"/>
      </w:pPr>
      <w:r>
        <w:rPr>
          <w:rFonts w:ascii="Times New Roman" w:hAnsi="Times New Roman" w:cs="Times New Roman" w:eastAsia="Times New Roman"/>
          <w:b/>
          <w:i w:val="0"/>
          <w:sz w:val="28"/>
        </w:rPr>
        <w:t>VI. BA VÒNG LẶP TĂNG TRƯỞNG NGƯỜI DÙNG</w:t>
      </w:r>
    </w:p>
    <w:p>
      <w:pPr>
        <w:spacing w:before="120" w:after="80" w:line="312" w:lineRule="auto"/>
        <w:jc w:val="left"/>
      </w:pPr>
      <w:r>
        <w:rPr>
          <w:rFonts w:ascii="Times New Roman" w:hAnsi="Times New Roman" w:cs="Times New Roman" w:eastAsia="Times New Roman"/>
          <w:b/>
          <w:i w:val="0"/>
          <w:sz w:val="26"/>
        </w:rPr>
        <w:t>1. Vòng lặp giới thiệu xã hội (Social Referral Loop)</w:t>
      </w:r>
    </w:p>
    <w:p>
      <w:pPr>
        <w:spacing w:before="0" w:after="120" w:line="312" w:lineRule="auto"/>
        <w:ind w:firstLine="567"/>
        <w:jc w:val="both"/>
      </w:pPr>
      <w:r>
        <w:rPr>
          <w:rFonts w:ascii="Times New Roman" w:hAnsi="Times New Roman" w:cs="Times New Roman" w:eastAsia="Times New Roman"/>
          <w:b w:val="0"/>
          <w:i w:val="0"/>
          <w:sz w:val="26"/>
        </w:rPr>
        <w:t>Giá mua chung rẻ hơn giá bán lẻ từ 30% tạo động lực tự nhiên để người dùng gửi đường dẫn mời ít nhất 2 đến 3 người quen tham gia nhằm được chốt đơn, giúp giảm chi phí thu hút khách hàng hữu cơ xuống dưới mức 15.000 đồng cho mỗi người dùng mới.</w:t>
      </w:r>
    </w:p>
    <w:p>
      <w:pPr>
        <w:spacing w:before="120" w:after="80" w:line="312" w:lineRule="auto"/>
        <w:jc w:val="left"/>
      </w:pPr>
      <w:r>
        <w:rPr>
          <w:rFonts w:ascii="Times New Roman" w:hAnsi="Times New Roman" w:cs="Times New Roman" w:eastAsia="Times New Roman"/>
          <w:b/>
          <w:i w:val="0"/>
          <w:sz w:val="26"/>
        </w:rPr>
        <w:t>2. Vòng lặp chuyển đổi từ cửa hàng sang ứng dụng (Store-to-App Conversion Loop)</w:t>
      </w:r>
    </w:p>
    <w:p>
      <w:pPr>
        <w:spacing w:before="0" w:after="120" w:line="312" w:lineRule="auto"/>
        <w:ind w:firstLine="567"/>
        <w:jc w:val="both"/>
      </w:pPr>
      <w:r>
        <w:rPr>
          <w:rFonts w:ascii="Times New Roman" w:hAnsi="Times New Roman" w:cs="Times New Roman" w:eastAsia="Times New Roman"/>
          <w:b w:val="0"/>
          <w:i w:val="0"/>
          <w:sz w:val="26"/>
        </w:rPr>
        <w:t>Khách hàng mua sắm trực tiếp tại các cửa hàng tạp hóa đối tác được giảm giá ngay từ 5.000 đến 10.000 đồng khi quét mã QR tải ứng dụng để thanh toán và tích lũy điểm thưởng, chuyển hóa khách vãng lai thành người dùng số.</w:t>
      </w:r>
    </w:p>
    <w:p>
      <w:pPr>
        <w:spacing w:before="120" w:after="80" w:line="312" w:lineRule="auto"/>
        <w:jc w:val="left"/>
      </w:pPr>
      <w:r>
        <w:rPr>
          <w:rFonts w:ascii="Times New Roman" w:hAnsi="Times New Roman" w:cs="Times New Roman" w:eastAsia="Times New Roman"/>
          <w:b/>
          <w:i w:val="0"/>
          <w:sz w:val="26"/>
        </w:rPr>
        <w:t>3. Vòng lặp giữ chân qua ví điểm thưởng (Retention Loop)</w:t>
      </w:r>
    </w:p>
    <w:p>
      <w:pPr>
        <w:spacing w:before="0" w:after="120" w:line="312" w:lineRule="auto"/>
        <w:ind w:firstLine="567"/>
        <w:jc w:val="both"/>
      </w:pPr>
      <w:r>
        <w:rPr>
          <w:rFonts w:ascii="Times New Roman" w:hAnsi="Times New Roman" w:cs="Times New Roman" w:eastAsia="Times New Roman"/>
          <w:b w:val="0"/>
          <w:i w:val="0"/>
          <w:sz w:val="26"/>
        </w:rPr>
        <w:t>Điểm thưởng tích lũy có thể dùng để khấu trừ trực tiếp cho các nhu cầu thiết yếu hàng ngày như mua thẻ điện thoại, thanh toán tiền điện nước hoặc trừ tiền khi mua nhu yếu phẩm tại bất kỳ Trạm Hub nào trong liên minh, tạo lý do quay lại mua sắm thường xuyên.</w:t>
      </w:r>
    </w:p>
    <w:p>
      <w:pPr>
        <w:spacing w:before="200" w:after="120" w:line="312" w:lineRule="auto"/>
        <w:jc w:val="left"/>
      </w:pPr>
      <w:r>
        <w:rPr>
          <w:rFonts w:ascii="Times New Roman" w:hAnsi="Times New Roman" w:cs="Times New Roman" w:eastAsia="Times New Roman"/>
          <w:b/>
          <w:i w:val="0"/>
          <w:sz w:val="28"/>
        </w:rPr>
        <w:t>VII. TIẾP THỊ THEO ĐỊNH VỊ VÀ TỰ ĐỘNG HÓA GIỮ CHÂN KHÁCH</w:t>
      </w:r>
    </w:p>
    <w:p>
      <w:pPr>
        <w:spacing w:before="120" w:after="80" w:line="312" w:lineRule="auto"/>
        <w:jc w:val="left"/>
      </w:pPr>
      <w:r>
        <w:rPr>
          <w:rFonts w:ascii="Times New Roman" w:hAnsi="Times New Roman" w:cs="Times New Roman" w:eastAsia="Times New Roman"/>
          <w:b/>
          <w:i w:val="0"/>
          <w:sz w:val="26"/>
        </w:rPr>
        <w:t>1. Thông báo đẩy theo bán kính</w:t>
      </w:r>
    </w:p>
    <w:p>
      <w:pPr>
        <w:spacing w:before="0" w:after="120" w:line="312" w:lineRule="auto"/>
        <w:ind w:firstLine="567"/>
        <w:jc w:val="both"/>
      </w:pPr>
      <w:r>
        <w:rPr>
          <w:rFonts w:ascii="Times New Roman" w:hAnsi="Times New Roman" w:cs="Times New Roman" w:eastAsia="Times New Roman"/>
          <w:b w:val="0"/>
          <w:i w:val="0"/>
          <w:sz w:val="26"/>
        </w:rPr>
        <w:t>Khi người dùng bước vào vùng định vị bán kính từ 1 đến 2 km quanh một Trạm Hub đối tác, hệ thống tự động gửi thông báo về các ưu đãi chớp nhoáng hoặc nhắc nhở ghé lấy đơn hàng đang chờ.</w:t>
      </w:r>
    </w:p>
    <w:p>
      <w:pPr>
        <w:spacing w:before="120" w:after="80" w:line="312" w:lineRule="auto"/>
        <w:jc w:val="left"/>
      </w:pPr>
      <w:r>
        <w:rPr>
          <w:rFonts w:ascii="Times New Roman" w:hAnsi="Times New Roman" w:cs="Times New Roman" w:eastAsia="Times New Roman"/>
          <w:b/>
          <w:i w:val="0"/>
          <w:sz w:val="26"/>
        </w:rPr>
        <w:t>2. Phân nhóm khách hàng thông minh</w:t>
      </w:r>
    </w:p>
    <w:p>
      <w:pPr>
        <w:spacing w:before="0" w:after="120" w:line="312" w:lineRule="auto"/>
        <w:ind w:firstLine="567"/>
        <w:jc w:val="both"/>
      </w:pPr>
      <w:r>
        <w:rPr>
          <w:rFonts w:ascii="Times New Roman" w:hAnsi="Times New Roman" w:cs="Times New Roman" w:eastAsia="Times New Roman"/>
          <w:b w:val="0"/>
          <w:i w:val="0"/>
          <w:sz w:val="26"/>
        </w:rPr>
        <w:t>Ứng dụng mô hình đánh giá theo tần suất mua và giá trị đơn để chia tệp khách hàng, từ đó tự động tặng ưu đãi kéo khách lâu ngày chưa quay lại hoặc tặng quyền ưu tiên mua chung cho nhóm khách hàng thân thiết.</w:t>
      </w:r>
    </w:p>
    <w:p>
      <w:pPr>
        <w:spacing w:before="120" w:after="80" w:line="312" w:lineRule="auto"/>
        <w:jc w:val="left"/>
      </w:pPr>
      <w:r>
        <w:rPr>
          <w:rFonts w:ascii="Times New Roman" w:hAnsi="Times New Roman" w:cs="Times New Roman" w:eastAsia="Times New Roman"/>
          <w:b/>
          <w:i w:val="0"/>
          <w:sz w:val="26"/>
        </w:rPr>
        <w:t>3. Liên minh tích điểm dùng chung</w:t>
      </w:r>
    </w:p>
    <w:p>
      <w:pPr>
        <w:spacing w:before="0" w:after="120" w:line="312" w:lineRule="auto"/>
        <w:ind w:firstLine="567"/>
        <w:jc w:val="both"/>
      </w:pPr>
      <w:r>
        <w:rPr>
          <w:rFonts w:ascii="Times New Roman" w:hAnsi="Times New Roman" w:cs="Times New Roman" w:eastAsia="Times New Roman"/>
          <w:b w:val="0"/>
          <w:i w:val="0"/>
          <w:sz w:val="26"/>
        </w:rPr>
        <w:t>Cho phép khách hàng sử dụng điểm tích lũy từ đơn trực tuyến để thanh toán trực tiếp tại các cửa hàng liên kết trong hệ sinh thái, tăng tính gắn kết giữa các điểm bán và nền tảng.</w:t>
      </w:r>
    </w:p>
    <w:p>
      <w:pPr>
        <w:spacing w:before="200" w:after="120" w:line="312" w:lineRule="auto"/>
        <w:jc w:val="left"/>
      </w:pPr>
      <w:r>
        <w:rPr>
          <w:rFonts w:ascii="Times New Roman" w:hAnsi="Times New Roman" w:cs="Times New Roman" w:eastAsia="Times New Roman"/>
          <w:b/>
          <w:i w:val="0"/>
          <w:sz w:val="28"/>
        </w:rPr>
        <w:t>VIII. PHÁT TRIỂN NGUỒN CUNG VÀ DANH MỤC HÀNG HÓA</w:t>
      </w:r>
    </w:p>
    <w:p>
      <w:pPr>
        <w:spacing w:before="120" w:after="80" w:line="312" w:lineRule="auto"/>
        <w:jc w:val="left"/>
      </w:pPr>
      <w:r>
        <w:rPr>
          <w:rFonts w:ascii="Times New Roman" w:hAnsi="Times New Roman" w:cs="Times New Roman" w:eastAsia="Times New Roman"/>
          <w:b/>
          <w:i w:val="0"/>
          <w:sz w:val="26"/>
        </w:rPr>
        <w:t>1. Trực tiếp từ nhà sản xuất</w:t>
      </w:r>
    </w:p>
    <w:p>
      <w:pPr>
        <w:spacing w:before="0" w:after="120" w:line="312" w:lineRule="auto"/>
        <w:ind w:firstLine="567"/>
        <w:jc w:val="both"/>
      </w:pPr>
      <w:r>
        <w:rPr>
          <w:rFonts w:ascii="Times New Roman" w:hAnsi="Times New Roman" w:cs="Times New Roman" w:eastAsia="Times New Roman"/>
          <w:b w:val="0"/>
          <w:i w:val="0"/>
          <w:sz w:val="26"/>
        </w:rPr>
        <w:t>Kết nối với hàng trăm nhà máy và hợp tác xã nông sản lớn, loại bỏ hoàn toàn các tầng đại lý trung gian để bảo đảm biên lợi nhuận cao và giá bán cạnh tranh cho người tiêu dùng.</w:t>
      </w:r>
    </w:p>
    <w:p>
      <w:pPr>
        <w:spacing w:before="120" w:after="80" w:line="312" w:lineRule="auto"/>
        <w:jc w:val="left"/>
      </w:pPr>
      <w:r>
        <w:rPr>
          <w:rFonts w:ascii="Times New Roman" w:hAnsi="Times New Roman" w:cs="Times New Roman" w:eastAsia="Times New Roman"/>
          <w:b/>
          <w:i w:val="0"/>
          <w:sz w:val="26"/>
        </w:rPr>
        <w:t>2. Danh mục sản phẩm mũi nhọn</w:t>
      </w:r>
    </w:p>
    <w:p>
      <w:pPr>
        <w:spacing w:before="0" w:after="60" w:line="312" w:lineRule="auto"/>
        <w:jc w:val="both"/>
      </w:pPr>
      <w:r>
        <w:rPr>
          <w:rFonts w:ascii="Times New Roman" w:hAnsi="Times New Roman" w:cs="Times New Roman" w:eastAsia="Times New Roman"/>
          <w:b w:val="0"/>
          <w:i w:val="0"/>
          <w:sz w:val="26"/>
        </w:rPr>
        <w:t>- Nhóm hàng tiêu dùng nhanh thiết yếu, có tần suất mua cao và nhu cầu ổn định.</w:t>
      </w:r>
    </w:p>
    <w:p>
      <w:pPr>
        <w:spacing w:before="0" w:after="60" w:line="312" w:lineRule="auto"/>
        <w:jc w:val="both"/>
      </w:pPr>
      <w:r>
        <w:rPr>
          <w:rFonts w:ascii="Times New Roman" w:hAnsi="Times New Roman" w:cs="Times New Roman" w:eastAsia="Times New Roman"/>
          <w:b w:val="0"/>
          <w:i w:val="0"/>
          <w:sz w:val="26"/>
        </w:rPr>
        <w:t>- Nhóm thực phẩm tươi sống gom chung trong ngày, phù hợp với mô hình đoàn mua cộng đồng.</w:t>
      </w:r>
    </w:p>
    <w:p>
      <w:pPr>
        <w:spacing w:before="0" w:after="60" w:line="312" w:lineRule="auto"/>
        <w:jc w:val="both"/>
      </w:pPr>
      <w:r>
        <w:rPr>
          <w:rFonts w:ascii="Times New Roman" w:hAnsi="Times New Roman" w:cs="Times New Roman" w:eastAsia="Times New Roman"/>
          <w:b w:val="0"/>
          <w:i w:val="0"/>
          <w:sz w:val="26"/>
        </w:rPr>
        <w:t>- Nhóm thiết bị gia dụng tiện ích chính hãng, phù hợp với hình thức mua chung bậc thang.</w:t>
      </w:r>
    </w:p>
    <w:p>
      <w:pPr>
        <w:spacing w:before="120" w:after="80" w:line="312" w:lineRule="auto"/>
        <w:jc w:val="left"/>
      </w:pPr>
      <w:r>
        <w:rPr>
          <w:rFonts w:ascii="Times New Roman" w:hAnsi="Times New Roman" w:cs="Times New Roman" w:eastAsia="Times New Roman"/>
          <w:b/>
          <w:i w:val="0"/>
          <w:sz w:val="26"/>
        </w:rPr>
        <w:t>3. Chính sách ký quỹ và bảo chứng nguồn cung</w:t>
      </w:r>
    </w:p>
    <w:p>
      <w:pPr>
        <w:spacing w:before="0" w:after="120" w:line="312" w:lineRule="auto"/>
        <w:ind w:firstLine="567"/>
        <w:jc w:val="both"/>
      </w:pPr>
      <w:r>
        <w:rPr>
          <w:rFonts w:ascii="Times New Roman" w:hAnsi="Times New Roman" w:cs="Times New Roman" w:eastAsia="Times New Roman"/>
          <w:b w:val="0"/>
          <w:i w:val="0"/>
          <w:sz w:val="26"/>
        </w:rPr>
        <w:t>Bắt buộc nhà bán ký quỹ cam kết chất lượng, bảo đảm nguồn gốc xuất xứ rõ ràng và hóa đơn chứng từ hợp lệ, nhằm bảo vệ quyền lợi người tiêu dùng và uy tín nền tảng.</w:t>
      </w:r>
    </w:p>
    <w:p>
      <w:pPr>
        <w:spacing w:before="200" w:after="120" w:line="312" w:lineRule="auto"/>
        <w:jc w:val="left"/>
      </w:pPr>
      <w:r>
        <w:rPr>
          <w:rFonts w:ascii="Times New Roman" w:hAnsi="Times New Roman" w:cs="Times New Roman" w:eastAsia="Times New Roman"/>
          <w:b/>
          <w:i w:val="0"/>
          <w:sz w:val="28"/>
        </w:rPr>
        <w:t>IX. QUẢN TRỊ RỦI RO GIAN LẬN VÀ KIỂM SOÁT THẤT THOÁT</w:t>
      </w:r>
    </w:p>
    <w:p>
      <w:pPr>
        <w:spacing w:before="0" w:after="60" w:line="312" w:lineRule="auto"/>
        <w:jc w:val="both"/>
      </w:pPr>
      <w:r>
        <w:rPr>
          <w:rFonts w:ascii="Times New Roman" w:hAnsi="Times New Roman" w:cs="Times New Roman" w:eastAsia="Times New Roman"/>
          <w:b w:val="0"/>
          <w:i w:val="0"/>
          <w:sz w:val="26"/>
        </w:rPr>
        <w:t>- Nhận diện thiết bị gian lận: ứng dụng cơ chế nhận diện thiết bị để phát hiện và chặn các tài khoản ảo cố tình tạo nhiều tài khoản trên cùng một điện thoại nhằm trục lợi ưu đãi hoặc tạo đơn "mua chung ảo".</w:t>
      </w:r>
    </w:p>
    <w:p>
      <w:pPr>
        <w:spacing w:before="0" w:after="60" w:line="312" w:lineRule="auto"/>
        <w:jc w:val="both"/>
      </w:pPr>
      <w:r>
        <w:rPr>
          <w:rFonts w:ascii="Times New Roman" w:hAnsi="Times New Roman" w:cs="Times New Roman" w:eastAsia="Times New Roman"/>
          <w:b w:val="0"/>
          <w:i w:val="0"/>
          <w:sz w:val="26"/>
        </w:rPr>
        <w:t>- Giám sát chéo bằng hóa đơn điện tử: việc bắt buộc xuất hóa đơn điện tử khởi tạo từ máy tính tiền giúp kiểm soát minh bạch doanh thu tại quầy, triệt tiêu tình trạng nhân viên thu ngân hủy hóa đơn để biển thủ tiền mặt.</w:t>
      </w:r>
    </w:p>
    <w:p>
      <w:pPr>
        <w:spacing w:before="0" w:after="60" w:line="312" w:lineRule="auto"/>
        <w:jc w:val="both"/>
      </w:pPr>
      <w:r>
        <w:rPr>
          <w:rFonts w:ascii="Times New Roman" w:hAnsi="Times New Roman" w:cs="Times New Roman" w:eastAsia="Times New Roman"/>
          <w:b w:val="0"/>
          <w:i w:val="0"/>
          <w:sz w:val="26"/>
        </w:rPr>
        <w:t>- Quy trình đổi trả chéo kênh: khách hàng mua trực tuyến có thể mang hàng lỗi ra bất kỳ cửa hàng nào trong chuỗi để đổi trả; nhân viên quét mã đơn, kiểm tra lý do và thực hiện hoàn tiền tự động về ví khách trong thời gian ngắn.</w:t>
      </w:r>
    </w:p>
    <w:p>
      <w:pPr>
        <w:spacing w:before="200" w:after="120" w:line="312" w:lineRule="auto"/>
        <w:jc w:val="left"/>
      </w:pPr>
      <w:r>
        <w:rPr>
          <w:rFonts w:ascii="Times New Roman" w:hAnsi="Times New Roman" w:cs="Times New Roman" w:eastAsia="Times New Roman"/>
          <w:b/>
          <w:i w:val="0"/>
          <w:sz w:val="28"/>
        </w:rPr>
        <w:t>X. TỔ CHỨC THỰC HIỆN</w:t>
      </w:r>
    </w:p>
    <w:p>
      <w:pPr>
        <w:spacing w:before="0" w:after="120" w:line="312" w:lineRule="auto"/>
        <w:ind w:firstLine="567"/>
        <w:jc w:val="both"/>
      </w:pPr>
      <w:r>
        <w:rPr>
          <w:rFonts w:ascii="Times New Roman" w:hAnsi="Times New Roman" w:cs="Times New Roman" w:eastAsia="Times New Roman"/>
          <w:b w:val="0"/>
          <w:i w:val="0"/>
          <w:sz w:val="26"/>
        </w:rPr>
        <w:t>Khối Phát triển Kinh doanh chịu trách nhiệm phát triển mạng lưới Trạm Hub và đàm phán nhà cung cấp; Khối Marketing triển khai các chiến dịch truyền thông đa kênh và kích hoạt tương tác cộng đồng; Trung tâm Chăm sóc Khách hàng bảo đảm xử lý khiếu nại trong vòng 24 giờ.</w:t>
      </w:r>
    </w:p>
    <w:p>
      <w:pPr>
        <w:spacing w:before="120" w:after="120" w:line="312" w:lineRule="auto"/>
        <w:ind w:firstLine="567"/>
        <w:jc w:val="both"/>
      </w:pPr>
      <w:r>
        <w:rPr>
          <w:rFonts w:ascii="Times New Roman" w:hAnsi="Times New Roman" w:cs="Times New Roman" w:eastAsia="Times New Roman"/>
          <w:b w:val="0"/>
          <w:i w:val="0"/>
          <w:sz w:val="26"/>
        </w:rPr>
        <w:t>Các Khối, Phòng, Ban và đơn vị trực thuộc Công ty Cổ phần VComm Việt Nam căn cứ Đề án này để xây dựng kế hoạch hành động cụ thể; định kỳ báo cáo tiến độ thực hiện về Ban Tổng Giám đốc./.</w:t>
      </w:r>
    </w:p>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5216"/>
        <w:gridCol w:w="3855"/>
      </w:tblGrid>
      <w:tr>
        <w:tc>
          <w:tcPr>
            <w:tcW w:type="dxa" w:w="5216"/>
          </w:tcPr>
          <w:p>
            <w:pPr>
              <w:spacing w:after="0"/>
            </w:pPr>
            <w:r>
              <w:rPr>
                <w:rFonts w:ascii="Times New Roman" w:cs="Times New Roman" w:eastAsia="Times New Roman" w:hAnsi="Times New Roman"/>
                <w:b/>
                <w:bCs/>
                <w:i/>
                <w:iCs/>
                <w:sz w:val="24"/>
                <w:szCs w:val="24"/>
              </w:rPr>
              <w:t xml:space="preserve">Nơi nhận:</w:t>
            </w:r>
          </w:p>
          <w:p>
            <w:pPr>
              <w:spacing w:after="0"/>
            </w:pPr>
            <w:r>
              <w:rPr>
                <w:rFonts w:ascii="Times New Roman" w:cs="Times New Roman" w:eastAsia="Times New Roman" w:hAnsi="Times New Roman"/>
                <w:sz w:val="22"/>
                <w:szCs w:val="24"/>
              </w:rPr>
              <w:t xml:space="preserve">- Hội đồng Quản trị (để báo cáo);</w:t>
            </w:r>
          </w:p>
          <w:p>
            <w:pPr>
              <w:spacing w:after="0"/>
            </w:pPr>
            <w:r>
              <w:rPr>
                <w:rFonts w:ascii="Times New Roman" w:cs="Times New Roman" w:eastAsia="Times New Roman" w:hAnsi="Times New Roman"/>
                <w:sz w:val="22"/>
                <w:szCs w:val="24"/>
              </w:rPr>
              <w:t xml:space="preserve">- Ban Tổng Giám đốc (để chỉ đạo);</w:t>
            </w:r>
          </w:p>
          <w:p>
            <w:pPr>
              <w:spacing w:after="0"/>
            </w:pPr>
            <w:r>
              <w:rPr>
                <w:rFonts w:ascii="Times New Roman" w:cs="Times New Roman" w:eastAsia="Times New Roman" w:hAnsi="Times New Roman"/>
                <w:sz w:val="22"/>
                <w:szCs w:val="24"/>
              </w:rPr>
              <w:t xml:space="preserve">- Các Khối, Phòng, Ban thuộc Công ty;</w:t>
            </w:r>
          </w:p>
          <w:p>
            <w:pPr>
              <w:spacing w:after="0"/>
            </w:pPr>
            <w:r>
              <w:rPr>
                <w:rFonts w:ascii="Times New Roman" w:cs="Times New Roman" w:eastAsia="Times New Roman" w:hAnsi="Times New Roman"/>
                <w:sz w:val="22"/>
                <w:szCs w:val="24"/>
              </w:rPr>
              <w:t xml:space="preserve">- Lưu: VT, DA.</w:t>
            </w:r>
          </w:p>
        </w:tc>
        <w:tc>
          <w:tcPr>
            <w:tcW w:type="dxa" w:w="3855"/>
          </w:tcPr>
          <w:p>
            <w:pPr>
              <w:spacing w:after="0"/>
              <w:jc w:val="center"/>
            </w:pPr>
            <w:r>
              <w:rPr>
                <w:rFonts w:ascii="Times New Roman" w:cs="Times New Roman" w:eastAsia="Times New Roman" w:hAnsi="Times New Roman"/>
                <w:b/>
                <w:bCs/>
                <w:sz w:val="26"/>
                <w:szCs w:val="26"/>
              </w:rPr>
              <w:t xml:space="preserve">TỔNG GIÁM ĐỐC</w:t>
            </w:r>
          </w:p>
          <w:p>
            <w:pPr>
              <w:spacing w:after="0"/>
              <w:jc w:val="center"/>
            </w:pPr>
            <w:r>
              <w:rPr>
                <w:rFonts w:ascii="Times New Roman" w:cs="Times New Roman" w:eastAsia="Times New Roman" w:hAnsi="Times New Roman"/>
                <w:i/>
                <w:iCs/>
                <w:sz w:val="26"/>
                <w:szCs w:val="26"/>
              </w:rPr>
              <w:t xml:space="preserve">(Ký, ghi rõ họ tên và đóng dấu)</w:t>
            </w:r>
          </w:p>
          <w:p>
            <w:pPr>
              <w:spacing w:after="0"/>
            </w:pPr>
          </w:p>
          <w:p>
            <w:pPr>
              <w:spacing w:after="0"/>
            </w:pPr>
          </w:p>
          <w:p>
            <w:pPr>
              <w:spacing w:after="0"/>
            </w:pPr>
          </w:p>
        </w:tc>
      </w:tr>
    </w:tbl>
    <w:sectPr>
      <w:footerReference w:type="default" r:id="rId7"/>
      <w:footerReference w:type="first" r:id="rId8"/>
      <w:pgSz w:w="11906" w:h="16838" w:orient="portrait"/>
      <w:pgMar w:top="1134" w:right="1134"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2026-10-05T05:12:11.859Z</dcterms:created>
  <dcterms:modified xsi:type="dcterms:W3CDTF">2026-10-05T05:12:11.859Z</dcterms:modified>
</cp:coreProperties>
</file>

<file path=docProps/custom.xml><?xml version="1.0" encoding="utf-8"?>
<Properties xmlns="http://schemas.openxmlformats.org/officeDocument/2006/custom-properties" xmlns:vt="http://schemas.openxmlformats.org/officeDocument/2006/docPropsVTypes"/>
</file>