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3742"/>
        <w:gridCol w:w="5329"/>
      </w:tblGrid>
      <w:tr>
        <w:tc>
          <w:tcPr>
            <w:tcW w:type="dxa" w:w="3742"/>
          </w:tcPr>
          <w:p>
            <w:pPr>
              <w:spacing w:after="0"/>
              <w:jc w:val="center"/>
            </w:pPr>
            <w:r>
              <w:rPr>
                <w:rFonts w:ascii="Times New Roman" w:cs="Times New Roman" w:eastAsia="Times New Roman" w:hAnsi="Times New Roman"/>
                <w:b/>
                <w:bCs/>
                <w:sz w:val="26"/>
                <w:szCs w:val="26"/>
              </w:rPr>
              <w:t xml:space="preserve">CÔNG TY CỔ PHẦN VCOMM VIỆT NAM</w:t>
            </w:r>
          </w:p>
          <w:p>
            <w:pPr>
              <w:pBdr>
                <w:bottom w:val="single" w:color="000000" w:sz="6" w:space="1"/>
              </w:pBdr>
              <w:spacing w:after="0"/>
              <w:ind w:left="1020" w:right="1020"/>
              <w:jc w:val="center"/>
            </w:pPr>
          </w:p>
          <w:p>
            <w:pPr>
              <w:spacing w:after="0" w:before="40"/>
              <w:jc w:val="center"/>
            </w:pPr>
            <w:r>
              <w:rPr>
                <w:rFonts w:ascii="Times New Roman" w:cs="Times New Roman" w:eastAsia="Times New Roman" w:hAnsi="Times New Roman"/>
                <w:sz w:val="26"/>
                <w:szCs w:val="26"/>
              </w:rPr>
              <w:t>Số: 02/KH-VCOMM</w:t>
            </w:r>
          </w:p>
        </w:tc>
        <w:tc>
          <w:tcPr>
            <w:tcW w:type="dxa" w:w="5329"/>
          </w:tcPr>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6"/>
                <w:szCs w:val="26"/>
              </w:rPr>
              <w:t xml:space="preserve">Độc lập - Tự do - Hạnh phúc</w:t>
            </w:r>
          </w:p>
          <w:p>
            <w:pPr>
              <w:pBdr>
                <w:bottom w:val="single" w:color="000000" w:sz="6" w:space="1"/>
              </w:pBdr>
              <w:spacing w:after="0"/>
              <w:ind w:left="964" w:right="964"/>
              <w:jc w:val="center"/>
            </w:pPr>
          </w:p>
          <w:p>
            <w:pPr>
              <w:spacing w:after="0" w:before="40"/>
              <w:jc w:val="center"/>
            </w:pPr>
            <w:r>
              <w:rPr>
                <w:rFonts w:ascii="Times New Roman" w:cs="Times New Roman" w:eastAsia="Times New Roman" w:hAnsi="Times New Roman"/>
                <w:i/>
                <w:iCs/>
                <w:sz w:val="26"/>
                <w:szCs w:val="26"/>
              </w:rPr>
              <w:t>TP. Hồ Chí Minh, ngày 5 tháng 10 năm 2026</w:t>
            </w:r>
          </w:p>
        </w:tc>
      </w:tr>
    </w:tbl>
    <w:p>
      <w:pPr>
        <w:spacing w:before="120" w:after="120" w:line="312" w:lineRule="auto"/>
        <w:jc w:val="center"/>
      </w:pPr>
      <w:r>
        <w:rPr>
          <w:rFonts w:ascii="Times New Roman" w:hAnsi="Times New Roman" w:cs="Times New Roman" w:eastAsia="Times New Roman"/>
          <w:b/>
          <w:i w:val="0"/>
          <w:sz w:val="28"/>
        </w:rPr>
        <w:t>ĐỀ ÁN</w:t>
      </w:r>
    </w:p>
    <w:p>
      <w:pPr>
        <w:spacing w:before="0" w:after="120" w:line="312" w:lineRule="auto"/>
        <w:jc w:val="center"/>
      </w:pPr>
      <w:r>
        <w:rPr>
          <w:rFonts w:ascii="Times New Roman" w:hAnsi="Times New Roman" w:cs="Times New Roman" w:eastAsia="Times New Roman"/>
          <w:b/>
          <w:i w:val="0"/>
          <w:sz w:val="26"/>
        </w:rPr>
        <w:t>Xây dựng kiến trúc kỹ thuật và hạ tầng công nghệ Sàn thương mại điện tử Bán lẻ Hợp kênh VComm giai đoạn 2026 - 2030</w:t>
      </w:r>
    </w:p>
    <w:p>
      <w:pPr>
        <w:spacing w:before="0" w:after="80" w:line="312" w:lineRule="auto"/>
        <w:jc w:val="center"/>
      </w:pPr>
      <w:r>
        <w:rPr>
          <w:rFonts w:ascii="Times New Roman" w:hAnsi="Times New Roman" w:cs="Times New Roman" w:eastAsia="Times New Roman"/>
          <w:b/>
          <w:i w:val="0"/>
          <w:sz w:val="26"/>
        </w:rPr>
        <w:t>CÔNG TY CỔ PHẦN VCOMM VIỆT NAM</w:t>
      </w:r>
    </w:p>
    <w:p>
      <w:pPr>
        <w:spacing w:before="0" w:after="80" w:line="312" w:lineRule="auto"/>
        <w:jc w:val="center"/>
      </w:pPr>
      <w:r>
        <w:rPr>
          <w:rFonts w:ascii="Times New Roman" w:hAnsi="Times New Roman" w:cs="Times New Roman" w:eastAsia="Times New Roman"/>
          <w:b/>
          <w:i w:val="0"/>
          <w:sz w:val="26"/>
        </w:rPr>
        <w:t>BAN CHIẾN LƯỢC &amp; PHÁT TRIỂN DỰ ÁN</w:t>
      </w:r>
    </w:p>
    <w:p>
      <w:pPr>
        <w:spacing w:before="0" w:after="200" w:line="312" w:lineRule="auto"/>
        <w:jc w:val="center"/>
      </w:pPr>
      <w:r>
        <w:rPr>
          <w:rFonts w:ascii="Times New Roman" w:hAnsi="Times New Roman" w:cs="Times New Roman" w:eastAsia="Times New Roman"/>
          <w:b w:val="0"/>
          <w:i/>
          <w:sz w:val="24"/>
        </w:rPr>
        <w:t>Tài liệu tham chiếu: Thiết kế luồng dữ liệu tích hợp và kiến trúc thanh toán - tích điểm hợp nhất của hệ sinh thái O2O VComm.</w:t>
      </w:r>
    </w:p>
    <w:p>
      <w:pPr>
        <w:spacing w:before="200" w:after="120" w:line="312" w:lineRule="auto"/>
        <w:jc w:val="left"/>
      </w:pPr>
      <w:r>
        <w:rPr>
          <w:rFonts w:ascii="Times New Roman" w:hAnsi="Times New Roman" w:cs="Times New Roman" w:eastAsia="Times New Roman"/>
          <w:b/>
          <w:i w:val="0"/>
          <w:sz w:val="28"/>
        </w:rPr>
        <w:t>I. CĂN CỨ PHÁP LÝ VÀ MỤC TIÊU THIẾT KẾ HỆ THỐNG</w:t>
      </w:r>
    </w:p>
    <w:p>
      <w:pPr>
        <w:spacing w:before="120" w:after="80" w:line="312" w:lineRule="auto"/>
        <w:jc w:val="left"/>
      </w:pPr>
      <w:r>
        <w:rPr>
          <w:rFonts w:ascii="Times New Roman" w:hAnsi="Times New Roman" w:cs="Times New Roman" w:eastAsia="Times New Roman"/>
          <w:b/>
          <w:i w:val="0"/>
          <w:sz w:val="26"/>
        </w:rPr>
        <w:t>1. Căn cứ pháp lý</w:t>
      </w:r>
    </w:p>
    <w:p>
      <w:pPr>
        <w:spacing w:before="0" w:after="60" w:line="312" w:lineRule="auto"/>
        <w:jc w:val="both"/>
      </w:pPr>
      <w:r>
        <w:rPr>
          <w:rFonts w:ascii="Times New Roman" w:hAnsi="Times New Roman" w:cs="Times New Roman" w:eastAsia="Times New Roman"/>
          <w:b w:val="0"/>
          <w:i w:val="0"/>
          <w:sz w:val="26"/>
        </w:rPr>
        <w:t>- Luật Công nghệ thông tin số 67/2006/QH11 ngày 29 tháng 6 năm 2006 của Quốc hội;</w:t>
      </w:r>
    </w:p>
    <w:p>
      <w:pPr>
        <w:spacing w:before="0" w:after="60" w:line="312" w:lineRule="auto"/>
        <w:jc w:val="both"/>
      </w:pPr>
      <w:r>
        <w:rPr>
          <w:rFonts w:ascii="Times New Roman" w:hAnsi="Times New Roman" w:cs="Times New Roman" w:eastAsia="Times New Roman"/>
          <w:b w:val="0"/>
          <w:i w:val="0"/>
          <w:sz w:val="26"/>
        </w:rPr>
        <w:t>- Luật An toàn thông tin mạng số 86/2015/QH13 ngày 19 tháng 11 năm 2015 của Quốc hội;</w:t>
      </w:r>
    </w:p>
    <w:p>
      <w:pPr>
        <w:spacing w:before="0" w:after="60" w:line="312" w:lineRule="auto"/>
        <w:jc w:val="both"/>
      </w:pPr>
      <w:r>
        <w:rPr>
          <w:rFonts w:ascii="Times New Roman" w:hAnsi="Times New Roman" w:cs="Times New Roman" w:eastAsia="Times New Roman"/>
          <w:b w:val="0"/>
          <w:i w:val="0"/>
          <w:sz w:val="26"/>
        </w:rPr>
        <w:t>- Luật An ninh mạng số 24/2018/QH14 ngày 12 tháng 6 năm 2018 của Quốc hội;</w:t>
      </w:r>
    </w:p>
    <w:p>
      <w:pPr>
        <w:spacing w:before="0" w:after="60" w:line="312" w:lineRule="auto"/>
        <w:jc w:val="both"/>
      </w:pPr>
      <w:r>
        <w:rPr>
          <w:rFonts w:ascii="Times New Roman" w:hAnsi="Times New Roman" w:cs="Times New Roman" w:eastAsia="Times New Roman"/>
          <w:b w:val="0"/>
          <w:i w:val="0"/>
          <w:sz w:val="26"/>
        </w:rPr>
        <w:t>- Nghị định số 13/2023/NĐ-CP ngày 17 tháng 4 năm 2023 của Chính phủ về bảo vệ dữ liệu cá nhân;</w:t>
      </w:r>
    </w:p>
    <w:p>
      <w:pPr>
        <w:spacing w:before="0" w:after="60" w:line="312" w:lineRule="auto"/>
        <w:jc w:val="both"/>
      </w:pPr>
      <w:r>
        <w:rPr>
          <w:rFonts w:ascii="Times New Roman" w:hAnsi="Times New Roman" w:cs="Times New Roman" w:eastAsia="Times New Roman"/>
          <w:b w:val="0"/>
          <w:i w:val="0"/>
          <w:sz w:val="26"/>
        </w:rPr>
        <w:t>- Nghị định số 52/2013/NĐ-CP và Nghị định số 85/2021/NĐ-CP về thương mại điện tử;</w:t>
      </w:r>
    </w:p>
    <w:p>
      <w:pPr>
        <w:spacing w:before="0" w:after="60" w:line="312" w:lineRule="auto"/>
        <w:jc w:val="both"/>
      </w:pPr>
      <w:r>
        <w:rPr>
          <w:rFonts w:ascii="Times New Roman" w:hAnsi="Times New Roman" w:cs="Times New Roman" w:eastAsia="Times New Roman"/>
          <w:b w:val="0"/>
          <w:i w:val="0"/>
          <w:sz w:val="26"/>
        </w:rPr>
        <w:t>- Nghị quyết Đại hội đồng cổ đông Công ty Cổ phần VComm Việt Nam về định hướng phát triển giai đoạn 2026 - 2030.</w:t>
      </w:r>
    </w:p>
    <w:p>
      <w:pPr>
        <w:spacing w:before="120" w:after="80" w:line="312" w:lineRule="auto"/>
        <w:jc w:val="left"/>
      </w:pPr>
      <w:r>
        <w:rPr>
          <w:rFonts w:ascii="Times New Roman" w:hAnsi="Times New Roman" w:cs="Times New Roman" w:eastAsia="Times New Roman"/>
          <w:b/>
          <w:i w:val="0"/>
          <w:sz w:val="26"/>
        </w:rPr>
        <w:t>2. Mục tiêu công nghệ</w:t>
      </w:r>
    </w:p>
    <w:p>
      <w:pPr>
        <w:spacing w:before="0" w:after="120" w:line="312" w:lineRule="auto"/>
        <w:ind w:firstLine="567"/>
        <w:jc w:val="both"/>
      </w:pPr>
      <w:r>
        <w:rPr>
          <w:rFonts w:ascii="Times New Roman" w:hAnsi="Times New Roman" w:cs="Times New Roman" w:eastAsia="Times New Roman"/>
          <w:b w:val="0"/>
          <w:i w:val="0"/>
          <w:sz w:val="26"/>
        </w:rPr>
        <w:t>Xây dựng nền tảng thương mại điện tử hợp kênh đạt chuẩn doanh nghiệp lớn, bảo đảm độ sẵn sàng tối thiểu 99,99%, năng lực xử lý đỉnh 50.000 giao dịch mỗi giây và độ trễ phản hồi dưới 200 mili giây. Hệ thống phải vận hành ổn định trong điều kiện mạng không ổn định tại các điểm bán ở vùng sâu, vùng xa, đồng thời bảo đảm khả năng mở rộng theo chiều ngang khi số lượng Trạm Hub và người dùng tăng nhanh.</w:t>
      </w:r>
    </w:p>
    <w:p>
      <w:pPr>
        <w:spacing w:before="120" w:after="80" w:line="312" w:lineRule="auto"/>
        <w:jc w:val="left"/>
      </w:pPr>
      <w:r>
        <w:rPr>
          <w:rFonts w:ascii="Times New Roman" w:hAnsi="Times New Roman" w:cs="Times New Roman" w:eastAsia="Times New Roman"/>
          <w:b/>
          <w:i w:val="0"/>
          <w:sz w:val="26"/>
        </w:rPr>
        <w:t>3. Nguyên tắc thiết kế cốt lõi</w:t>
      </w:r>
    </w:p>
    <w:p>
      <w:pPr>
        <w:spacing w:before="0" w:after="60" w:line="312" w:lineRule="auto"/>
        <w:jc w:val="both"/>
      </w:pPr>
      <w:r>
        <w:rPr>
          <w:rFonts w:ascii="Times New Roman" w:hAnsi="Times New Roman" w:cs="Times New Roman" w:eastAsia="Times New Roman"/>
          <w:b w:val="0"/>
          <w:i w:val="0"/>
          <w:sz w:val="26"/>
        </w:rPr>
        <w:t>- Kiến trúc vi dịch vụ hướng sự kiện (Event-driven Microservices), phân tách nghiệp vụ thành các dịch vụ độc lập có thể triển khai và mở rộng riêng biệt.</w:t>
      </w:r>
    </w:p>
    <w:p>
      <w:pPr>
        <w:spacing w:before="0" w:after="60" w:line="312" w:lineRule="auto"/>
        <w:jc w:val="both"/>
      </w:pPr>
      <w:r>
        <w:rPr>
          <w:rFonts w:ascii="Times New Roman" w:hAnsi="Times New Roman" w:cs="Times New Roman" w:eastAsia="Times New Roman"/>
          <w:b w:val="0"/>
          <w:i w:val="0"/>
          <w:sz w:val="26"/>
        </w:rPr>
        <w:t>- Tính phân tán cao, không có điểm lỗi đơn lẻ; các thành phần đều có cơ chế dự phòng và tự phục hồi.</w:t>
      </w:r>
    </w:p>
    <w:p>
      <w:pPr>
        <w:spacing w:before="0" w:after="60" w:line="312" w:lineRule="auto"/>
        <w:jc w:val="both"/>
      </w:pPr>
      <w:r>
        <w:rPr>
          <w:rFonts w:ascii="Times New Roman" w:hAnsi="Times New Roman" w:cs="Times New Roman" w:eastAsia="Times New Roman"/>
          <w:b w:val="0"/>
          <w:i w:val="0"/>
          <w:sz w:val="26"/>
        </w:rPr>
        <w:t>- Bảo mật theo chiều sâu (Defense in Depth), áp dụng nhiều lớp kiểm soát từ thiết bị, đường truyền đến dữ liệu.</w:t>
      </w:r>
    </w:p>
    <w:p>
      <w:pPr>
        <w:spacing w:before="0" w:after="60" w:line="312" w:lineRule="auto"/>
        <w:jc w:val="both"/>
      </w:pPr>
      <w:r>
        <w:rPr>
          <w:rFonts w:ascii="Times New Roman" w:hAnsi="Times New Roman" w:cs="Times New Roman" w:eastAsia="Times New Roman"/>
          <w:b w:val="0"/>
          <w:i w:val="0"/>
          <w:sz w:val="26"/>
        </w:rPr>
        <w:t>- Trải nghiệm một chạm cho người dùng thiết bị di động và tại quầy thu ngân.</w:t>
      </w:r>
    </w:p>
    <w:p>
      <w:pPr>
        <w:spacing w:before="200" w:after="120" w:line="312" w:lineRule="auto"/>
        <w:jc w:val="left"/>
      </w:pPr>
      <w:r>
        <w:rPr>
          <w:rFonts w:ascii="Times New Roman" w:hAnsi="Times New Roman" w:cs="Times New Roman" w:eastAsia="Times New Roman"/>
          <w:b/>
          <w:i w:val="0"/>
          <w:sz w:val="28"/>
        </w:rPr>
        <w:t>II. KIẾN TRÚC TỔNG THỂ NĂM TẦNG ENTERPRISE</w:t>
      </w:r>
    </w:p>
    <w:p>
      <w:pPr>
        <w:spacing w:before="120" w:after="80" w:line="312" w:lineRule="auto"/>
        <w:jc w:val="left"/>
      </w:pPr>
      <w:r>
        <w:rPr>
          <w:rFonts w:ascii="Times New Roman" w:hAnsi="Times New Roman" w:cs="Times New Roman" w:eastAsia="Times New Roman"/>
          <w:b/>
          <w:i w:val="0"/>
          <w:sz w:val="26"/>
        </w:rPr>
        <w:t>1. Tầng trình diễn (Presentation Layer)</w:t>
      </w:r>
    </w:p>
    <w:p>
      <w:pPr>
        <w:spacing w:before="0" w:after="120" w:line="312" w:lineRule="auto"/>
        <w:ind w:firstLine="567"/>
        <w:jc w:val="both"/>
      </w:pPr>
      <w:r>
        <w:rPr>
          <w:rFonts w:ascii="Times New Roman" w:hAnsi="Times New Roman" w:cs="Times New Roman" w:eastAsia="Times New Roman"/>
          <w:b w:val="0"/>
          <w:i w:val="0"/>
          <w:sz w:val="26"/>
        </w:rPr>
        <w:t>Bao gồm ứng dụng di động khách hàng phát triển trên nền tảng Flutter, cổng web, ứng dụng nhỏ trên Zalo cho trải nghiệm một chạm, và giao diện phần mềm VComm iPOS chuyên dụng cho màn hình cảm ứng tại quầy. Tất cả các giao diện dùng chung một lớp xác thực và một định danh người dùng.</w:t>
      </w:r>
    </w:p>
    <w:p>
      <w:pPr>
        <w:spacing w:before="120" w:after="80" w:line="312" w:lineRule="auto"/>
        <w:jc w:val="left"/>
      </w:pPr>
      <w:r>
        <w:rPr>
          <w:rFonts w:ascii="Times New Roman" w:hAnsi="Times New Roman" w:cs="Times New Roman" w:eastAsia="Times New Roman"/>
          <w:b/>
          <w:i w:val="0"/>
          <w:sz w:val="26"/>
        </w:rPr>
        <w:t>2. Tầng cổng kết nối và bảo mật (API Gateway Layer)</w:t>
      </w:r>
    </w:p>
    <w:p>
      <w:pPr>
        <w:spacing w:before="0" w:after="120" w:line="312" w:lineRule="auto"/>
        <w:ind w:firstLine="567"/>
        <w:jc w:val="both"/>
      </w:pPr>
      <w:r>
        <w:rPr>
          <w:rFonts w:ascii="Times New Roman" w:hAnsi="Times New Roman" w:cs="Times New Roman" w:eastAsia="Times New Roman"/>
          <w:b w:val="0"/>
          <w:i w:val="0"/>
          <w:sz w:val="26"/>
        </w:rPr>
        <w:t>Triển khai Kong API Gateway kết hợp máy chủ Nginx quản lý cân bằng tải và định tuyến động; tích hợp tường lửa bảo vệ ứng dụng web, cơ chế giới hạn tần suất gọi giao diện lập trình, phân quyền theo chuẩn JWT và OAuth2, cùng bộ nhận diện thiết bị phục vụ phòng chống gian lận.</w:t>
      </w:r>
    </w:p>
    <w:p>
      <w:pPr>
        <w:spacing w:before="120" w:after="80" w:line="312" w:lineRule="auto"/>
        <w:jc w:val="left"/>
      </w:pPr>
      <w:r>
        <w:rPr>
          <w:rFonts w:ascii="Times New Roman" w:hAnsi="Times New Roman" w:cs="Times New Roman" w:eastAsia="Times New Roman"/>
          <w:b/>
          <w:i w:val="0"/>
          <w:sz w:val="26"/>
        </w:rPr>
        <w:t>3. Tầng dịch vụ lõi (Core Microservices)</w:t>
      </w:r>
    </w:p>
    <w:p>
      <w:pPr>
        <w:spacing w:before="0" w:after="120" w:line="312" w:lineRule="auto"/>
        <w:ind w:firstLine="567"/>
        <w:jc w:val="both"/>
      </w:pPr>
      <w:r>
        <w:rPr>
          <w:rFonts w:ascii="Times New Roman" w:hAnsi="Times New Roman" w:cs="Times New Roman" w:eastAsia="Times New Roman"/>
          <w:b w:val="0"/>
          <w:i w:val="0"/>
          <w:sz w:val="26"/>
        </w:rPr>
        <w:t>Phân rã nghiệp vụ thành các dịch vụ độc lập gồm: quản lý người dùng và đăng nhập một lần; danh mục sản phẩm; quản lý đơn hàng; động cơ mua chung; tồn kho thời gian thực; định vị cửa hàng và vùng địa lý; động cơ tích điểm; và dịch vụ ký quỹ cùng thanh toán.</w:t>
      </w:r>
    </w:p>
    <w:p>
      <w:pPr>
        <w:spacing w:before="120" w:after="80" w:line="312" w:lineRule="auto"/>
        <w:jc w:val="left"/>
      </w:pPr>
      <w:r>
        <w:rPr>
          <w:rFonts w:ascii="Times New Roman" w:hAnsi="Times New Roman" w:cs="Times New Roman" w:eastAsia="Times New Roman"/>
          <w:b/>
          <w:i w:val="0"/>
          <w:sz w:val="26"/>
        </w:rPr>
        <w:t>4. Tầng hàng đợi và sự kiện (Event Streaming Layer)</w:t>
      </w:r>
    </w:p>
    <w:p>
      <w:pPr>
        <w:spacing w:before="0" w:after="120" w:line="312" w:lineRule="auto"/>
        <w:ind w:firstLine="567"/>
        <w:jc w:val="both"/>
      </w:pPr>
      <w:r>
        <w:rPr>
          <w:rFonts w:ascii="Times New Roman" w:hAnsi="Times New Roman" w:cs="Times New Roman" w:eastAsia="Times New Roman"/>
          <w:b w:val="0"/>
          <w:i w:val="0"/>
          <w:sz w:val="26"/>
        </w:rPr>
        <w:t>Sử dụng hạ tầng Apache Kafka và RabbitMQ đảm nhiệm hàng đợi thông điệp phân tán, xử lý hàng chục nghìn sự kiện mỗi giây, bảo đảm đồng bộ dữ liệu giữa quầy bán lẻ và nền tảng trực tuyến theo thời gian thực. Tầng này cũng là nơi tích hợp cổng thanh toán, đối tác vận chuyển và cổng hóa đơn điện tử của cơ quan thuế.</w:t>
      </w:r>
    </w:p>
    <w:p>
      <w:pPr>
        <w:spacing w:before="120" w:after="80" w:line="312" w:lineRule="auto"/>
        <w:jc w:val="left"/>
      </w:pPr>
      <w:r>
        <w:rPr>
          <w:rFonts w:ascii="Times New Roman" w:hAnsi="Times New Roman" w:cs="Times New Roman" w:eastAsia="Times New Roman"/>
          <w:b/>
          <w:i w:val="0"/>
          <w:sz w:val="26"/>
        </w:rPr>
        <w:t>5. Tầng dữ liệu và hạ tầng (Data and Infrastructure Layer)</w:t>
      </w:r>
    </w:p>
    <w:p>
      <w:pPr>
        <w:spacing w:before="0" w:after="120" w:line="312" w:lineRule="auto"/>
        <w:ind w:firstLine="567"/>
        <w:jc w:val="both"/>
      </w:pPr>
      <w:r>
        <w:rPr>
          <w:rFonts w:ascii="Times New Roman" w:hAnsi="Times New Roman" w:cs="Times New Roman" w:eastAsia="Times New Roman"/>
          <w:b w:val="0"/>
          <w:i w:val="0"/>
          <w:sz w:val="26"/>
        </w:rPr>
        <w:t>Cơ sở dữ liệu chính PostgreSQL lưu trữ dữ liệu giao dịch theo chuẩn ACID; phần mở rộng PostGIS xử lý dữ liệu định vị không gian; cụm Redis đảm nhiệm cơ chế khóa phân tán và bộ nhớ đệm hiệu năng cao; hệ thống lưu trữ đối tượng MinIO lưu hình ảnh sản phẩm và chứng từ.</w:t>
      </w:r>
    </w:p>
    <w:p>
      <w:pPr>
        <w:spacing w:before="200" w:after="120" w:line="312" w:lineRule="auto"/>
        <w:jc w:val="left"/>
      </w:pPr>
      <w:r>
        <w:rPr>
          <w:rFonts w:ascii="Times New Roman" w:hAnsi="Times New Roman" w:cs="Times New Roman" w:eastAsia="Times New Roman"/>
          <w:b/>
          <w:i w:val="0"/>
          <w:sz w:val="28"/>
        </w:rPr>
        <w:t>III. LUỒNG DỮ LIỆU TÍCH HỢP VÀ ĐỒNG BỘ TỒN KHO</w:t>
      </w:r>
    </w:p>
    <w:p>
      <w:pPr>
        <w:spacing w:before="120" w:after="80" w:line="312" w:lineRule="auto"/>
        <w:jc w:val="left"/>
      </w:pPr>
      <w:r>
        <w:rPr>
          <w:rFonts w:ascii="Times New Roman" w:hAnsi="Times New Roman" w:cs="Times New Roman" w:eastAsia="Times New Roman"/>
          <w:b/>
          <w:i w:val="0"/>
          <w:sz w:val="26"/>
        </w:rPr>
        <w:t>1. Đồng bộ tồn kho đa điểm thời gian thực</w:t>
      </w:r>
    </w:p>
    <w:p>
      <w:pPr>
        <w:spacing w:before="0" w:after="60" w:line="312" w:lineRule="auto"/>
        <w:jc w:val="both"/>
      </w:pPr>
      <w:r>
        <w:rPr>
          <w:rFonts w:ascii="Times New Roman" w:hAnsi="Times New Roman" w:cs="Times New Roman" w:eastAsia="Times New Roman"/>
          <w:b w:val="0"/>
          <w:i w:val="0"/>
          <w:sz w:val="26"/>
        </w:rPr>
        <w:t>- Cơ chế khóa phân tán: khi khách hàng bấm đặt mua trực tuyến hoặc mở nhóm mua chung, hệ thống dùng thuật toán Redlock trên Redis để khóa tạm thời lượng hàng tồn trong 15 phút, ngăn chặn triệt để tình trạng bán vượt tồn giữa quầy và sàn trực tuyến. Khi hết thời hạn mà đơn chưa hoàn tất, hệ thống tự động giải phóng lượng hàng đã khóa.</w:t>
      </w:r>
    </w:p>
    <w:p>
      <w:pPr>
        <w:spacing w:before="0" w:after="60" w:line="312" w:lineRule="auto"/>
        <w:jc w:val="both"/>
      </w:pPr>
      <w:r>
        <w:rPr>
          <w:rFonts w:ascii="Times New Roman" w:hAnsi="Times New Roman" w:cs="Times New Roman" w:eastAsia="Times New Roman"/>
          <w:b w:val="0"/>
          <w:i w:val="0"/>
          <w:sz w:val="26"/>
        </w:rPr>
        <w:t>- Kiến trúc hướng sự kiện: mọi biến động xuất, nhập, hủy đơn từ máy bán hàng tại cửa hàng đều phát tín hiệu qua Kafka hoặc RabbitMQ để cập nhật ngay lập tức lên ứng dụng khách hàng theo thời gian thực.</w:t>
      </w:r>
    </w:p>
    <w:p>
      <w:pPr>
        <w:spacing w:before="0" w:after="60" w:line="312" w:lineRule="auto"/>
        <w:jc w:val="both"/>
      </w:pPr>
      <w:r>
        <w:rPr>
          <w:rFonts w:ascii="Times New Roman" w:hAnsi="Times New Roman" w:cs="Times New Roman" w:eastAsia="Times New Roman"/>
          <w:b w:val="0"/>
          <w:i w:val="0"/>
          <w:sz w:val="26"/>
        </w:rPr>
        <w:t>- Phân vùng kho thông minh: hệ thống tự động chia tồn kho của mỗi cửa hàng thành hai hạn mức, gồm hạn mức bán trực tiếp tại quầy và hạn mức dành riêng cho đơn trực tuyến hoặc đơn nhận tại trạm, bảo đảm khách ghé quầy không bao giờ bị thiếu hàng.</w:t>
      </w:r>
    </w:p>
    <w:p>
      <w:pPr>
        <w:spacing w:before="120" w:after="80" w:line="312" w:lineRule="auto"/>
        <w:jc w:val="left"/>
      </w:pPr>
      <w:r>
        <w:rPr>
          <w:rFonts w:ascii="Times New Roman" w:hAnsi="Times New Roman" w:cs="Times New Roman" w:eastAsia="Times New Roman"/>
          <w:b/>
          <w:i w:val="0"/>
          <w:sz w:val="26"/>
        </w:rPr>
        <w:t>2. Luồng định danh và thanh toán hợp nhất bằng mã QR động</w:t>
      </w:r>
    </w:p>
    <w:p>
      <w:pPr>
        <w:spacing w:before="0" w:after="60" w:line="312" w:lineRule="auto"/>
        <w:jc w:val="both"/>
      </w:pPr>
      <w:r>
        <w:rPr>
          <w:rFonts w:ascii="Times New Roman" w:hAnsi="Times New Roman" w:cs="Times New Roman" w:eastAsia="Times New Roman"/>
          <w:b w:val="0"/>
          <w:i w:val="0"/>
          <w:sz w:val="26"/>
        </w:rPr>
        <w:t>- Mã QR động TOTP: ứng dụng khách hàng sinh mã mới mỗi 60 giây theo thuật toán mật khẩu dùng một lần dựa trên thời gian, tích hợp đồng thời định danh thành viên và thông tin ví thanh toán.</w:t>
      </w:r>
    </w:p>
    <w:p>
      <w:pPr>
        <w:spacing w:before="0" w:after="60" w:line="312" w:lineRule="auto"/>
        <w:jc w:val="both"/>
      </w:pPr>
      <w:r>
        <w:rPr>
          <w:rFonts w:ascii="Times New Roman" w:hAnsi="Times New Roman" w:cs="Times New Roman" w:eastAsia="Times New Roman"/>
          <w:b w:val="0"/>
          <w:i w:val="0"/>
          <w:sz w:val="26"/>
        </w:rPr>
        <w:t>- Xử lý một chạm tại quầy: nhân viên thu ngân chỉ cần quét mã QR một lần duy nhất qua máy quét tại quầy; hệ thống vừa xác thực thanh toán tiền hàng, vừa tự động trừ ưu đãi và cộng điểm thưởng vào tài khoản khách hàng.</w:t>
      </w:r>
    </w:p>
    <w:p>
      <w:pPr>
        <w:spacing w:before="0" w:after="60" w:line="312" w:lineRule="auto"/>
        <w:jc w:val="both"/>
      </w:pPr>
      <w:r>
        <w:rPr>
          <w:rFonts w:ascii="Times New Roman" w:hAnsi="Times New Roman" w:cs="Times New Roman" w:eastAsia="Times New Roman"/>
          <w:b w:val="0"/>
          <w:i w:val="0"/>
          <w:sz w:val="26"/>
        </w:rPr>
        <w:t>- Cơ chế bảo mật kép: mã QR được mã hóa bằng chữ ký HMAC, ngăn chặn triệt để hành vi chụp ảnh màn hình gửi cho người khác sử dụng trộm ưu đãi hoặc điểm tích lũy.</w:t>
      </w:r>
    </w:p>
    <w:p>
      <w:pPr>
        <w:spacing w:before="120" w:after="80" w:line="312" w:lineRule="auto"/>
        <w:jc w:val="left"/>
      </w:pPr>
      <w:r>
        <w:rPr>
          <w:rFonts w:ascii="Times New Roman" w:hAnsi="Times New Roman" w:cs="Times New Roman" w:eastAsia="Times New Roman"/>
          <w:b/>
          <w:i w:val="0"/>
          <w:sz w:val="26"/>
        </w:rPr>
        <w:t>3. Chế độ ngoại tuyến thực sự cho thiết bị bán hàng</w:t>
      </w:r>
    </w:p>
    <w:p>
      <w:pPr>
        <w:spacing w:before="0" w:after="60" w:line="312" w:lineRule="auto"/>
        <w:jc w:val="both"/>
      </w:pPr>
      <w:r>
        <w:rPr>
          <w:rFonts w:ascii="Times New Roman" w:hAnsi="Times New Roman" w:cs="Times New Roman" w:eastAsia="Times New Roman"/>
          <w:b w:val="0"/>
          <w:i w:val="0"/>
          <w:sz w:val="26"/>
        </w:rPr>
        <w:t>- Lưu trữ cục bộ an toàn: khi đường truyền Internet tại cửa hàng bị gián đoạn, máy bán hàng tự động chuyển sang chế độ ngoại tuyến thực sự, lưu thông tin hóa đơn và biến động kho vào cơ sở dữ liệu cục bộ ngay trên thiết bị.</w:t>
      </w:r>
    </w:p>
    <w:p>
      <w:pPr>
        <w:spacing w:before="0" w:after="60" w:line="312" w:lineRule="auto"/>
        <w:jc w:val="both"/>
      </w:pPr>
      <w:r>
        <w:rPr>
          <w:rFonts w:ascii="Times New Roman" w:hAnsi="Times New Roman" w:cs="Times New Roman" w:eastAsia="Times New Roman"/>
          <w:b w:val="0"/>
          <w:i w:val="0"/>
          <w:sz w:val="26"/>
        </w:rPr>
        <w:t>- Hàng đợi giao dịch mã hóa: các giao dịch ngoại tuyến được đưa vào hàng đợi và ký số để ngăn nhân viên chỉnh sửa số liệu doanh thu.</w:t>
      </w:r>
    </w:p>
    <w:p>
      <w:pPr>
        <w:spacing w:before="0" w:after="60" w:line="312" w:lineRule="auto"/>
        <w:jc w:val="both"/>
      </w:pPr>
      <w:r>
        <w:rPr>
          <w:rFonts w:ascii="Times New Roman" w:hAnsi="Times New Roman" w:cs="Times New Roman" w:eastAsia="Times New Roman"/>
          <w:b w:val="0"/>
          <w:i w:val="0"/>
          <w:sz w:val="26"/>
        </w:rPr>
        <w:t>- Tự động đối soát khi có mạng trở lại: ngay khi đường truyền được khôi phục, thiết bị tự động đẩy toàn bộ giao dịch lên máy chủ để đối chiếu, bù trừ dữ liệu và kích hoạt xuất hóa đơn điện tử khởi tạo từ máy tính tiền theo chuẩn cơ quan thuế.</w:t>
      </w:r>
    </w:p>
    <w:p>
      <w:pPr>
        <w:spacing w:before="120" w:after="80" w:line="312" w:lineRule="auto"/>
        <w:jc w:val="left"/>
      </w:pPr>
      <w:r>
        <w:rPr>
          <w:rFonts w:ascii="Times New Roman" w:hAnsi="Times New Roman" w:cs="Times New Roman" w:eastAsia="Times New Roman"/>
          <w:b/>
          <w:i w:val="0"/>
          <w:sz w:val="26"/>
        </w:rPr>
        <w:t>4. Tự động tách dòng tiền và ký quỹ giao dịch</w:t>
      </w:r>
    </w:p>
    <w:p>
      <w:pPr>
        <w:spacing w:before="0" w:after="60" w:line="312" w:lineRule="auto"/>
        <w:jc w:val="both"/>
      </w:pPr>
      <w:r>
        <w:rPr>
          <w:rFonts w:ascii="Times New Roman" w:hAnsi="Times New Roman" w:cs="Times New Roman" w:eastAsia="Times New Roman"/>
          <w:b w:val="0"/>
          <w:i w:val="0"/>
          <w:sz w:val="26"/>
        </w:rPr>
        <w:t>- Cơ chế ký quỹ bảo vệ: tiền thanh toán của khách mua trực tuyến hoặc mua chung được giữ an toàn tại tài khoản ký quỹ cho đến khi đơn hàng chuyển sang trạng thái "đã nhận hàng thành công" tại Trạm Hub.</w:t>
      </w:r>
    </w:p>
    <w:p>
      <w:pPr>
        <w:spacing w:before="0" w:after="60" w:line="312" w:lineRule="auto"/>
        <w:jc w:val="both"/>
      </w:pPr>
      <w:r>
        <w:rPr>
          <w:rFonts w:ascii="Times New Roman" w:hAnsi="Times New Roman" w:cs="Times New Roman" w:eastAsia="Times New Roman"/>
          <w:b w:val="0"/>
          <w:i w:val="0"/>
          <w:sz w:val="26"/>
        </w:rPr>
        <w:t>- Hợp nhất đối soát chu kỳ ngắn: hệ thống tự động chạy tác vụ đối soát mỗi ngày, tự động trích hoa hồng sàn, tách tiền gốc chuyển cho nhà sản xuất và ghi nhận chiết khấu cho chủ điểm bán.</w:t>
      </w:r>
    </w:p>
    <w:p>
      <w:pPr>
        <w:spacing w:before="200" w:after="120" w:line="312" w:lineRule="auto"/>
        <w:jc w:val="left"/>
      </w:pPr>
      <w:r>
        <w:rPr>
          <w:rFonts w:ascii="Times New Roman" w:hAnsi="Times New Roman" w:cs="Times New Roman" w:eastAsia="Times New Roman"/>
          <w:b/>
          <w:i w:val="0"/>
          <w:sz w:val="28"/>
        </w:rPr>
        <w:t>IV. KIẾN TRÚC THANH TOÁN HỢP NHẤT</w:t>
      </w:r>
    </w:p>
    <w:p>
      <w:pPr>
        <w:spacing w:before="0" w:after="120" w:line="312" w:lineRule="auto"/>
        <w:ind w:firstLine="567"/>
        <w:jc w:val="both"/>
      </w:pPr>
      <w:r>
        <w:rPr>
          <w:rFonts w:ascii="Times New Roman" w:hAnsi="Times New Roman" w:cs="Times New Roman" w:eastAsia="Times New Roman"/>
          <w:b w:val="0"/>
          <w:i w:val="0"/>
          <w:sz w:val="26"/>
        </w:rPr>
        <w:t>Trong mô hình Bán lẻ Hợp kênh, thanh toán và tích điểm không thể tách rời thành hai ứng dụng độc lập mà phải được hợp nhất thành một thể thống nhất. Thanh toán luân chuyển dòng tiền. Tích điểm giữ chân khách hàng quay lại chi tiêu.</w:t>
      </w:r>
    </w:p>
    <w:p>
      <w:pPr>
        <w:spacing w:before="120" w:after="80" w:line="312" w:lineRule="auto"/>
        <w:jc w:val="left"/>
      </w:pPr>
      <w:r>
        <w:rPr>
          <w:rFonts w:ascii="Times New Roman" w:hAnsi="Times New Roman" w:cs="Times New Roman" w:eastAsia="Times New Roman"/>
          <w:b/>
          <w:i w:val="0"/>
          <w:sz w:val="26"/>
        </w:rPr>
        <w:t>1. Mã QR động TOTP hai trong một</w:t>
      </w:r>
    </w:p>
    <w:p>
      <w:pPr>
        <w:spacing w:before="0" w:after="60" w:line="312" w:lineRule="auto"/>
        <w:jc w:val="both"/>
      </w:pPr>
      <w:r>
        <w:rPr>
          <w:rFonts w:ascii="Times New Roman" w:hAnsi="Times New Roman" w:cs="Times New Roman" w:eastAsia="Times New Roman"/>
          <w:b w:val="0"/>
          <w:i w:val="0"/>
          <w:sz w:val="26"/>
        </w:rPr>
        <w:t>- Ứng dụng tạo mã QR động làm mới mỗi 60 giây theo chuẩn TOTP, bỏ thao tác khách tự nhập số tiền.</w:t>
      </w:r>
    </w:p>
    <w:p>
      <w:pPr>
        <w:spacing w:before="0" w:after="60" w:line="312" w:lineRule="auto"/>
        <w:jc w:val="both"/>
      </w:pPr>
      <w:r>
        <w:rPr>
          <w:rFonts w:ascii="Times New Roman" w:hAnsi="Times New Roman" w:cs="Times New Roman" w:eastAsia="Times New Roman"/>
          <w:b w:val="0"/>
          <w:i w:val="0"/>
          <w:sz w:val="26"/>
        </w:rPr>
        <w:t>- Mã tích hợp đồng thời hai thông tin: định danh tài khoản khách hàng để nhận diện thành viên, và lệnh thanh toán có gắn mã bảo mật HMAC.</w:t>
      </w:r>
    </w:p>
    <w:p>
      <w:pPr>
        <w:spacing w:before="0" w:after="60" w:line="312" w:lineRule="auto"/>
        <w:jc w:val="both"/>
      </w:pPr>
      <w:r>
        <w:rPr>
          <w:rFonts w:ascii="Times New Roman" w:hAnsi="Times New Roman" w:cs="Times New Roman" w:eastAsia="Times New Roman"/>
          <w:b w:val="0"/>
          <w:i w:val="0"/>
          <w:sz w:val="26"/>
        </w:rPr>
        <w:t>- Khách đưa màn hình cho thu ngân quét một lần duy nhất; hệ thống tự động nhận diện cấp độ thẻ, áp ưu đãi, trừ tiền và cộng điểm mới mà không lo bị chụp màn hình chia sẻ cho người khác sử dụng trộm.</w:t>
      </w:r>
    </w:p>
    <w:p>
      <w:pPr>
        <w:spacing w:before="120" w:after="80" w:line="312" w:lineRule="auto"/>
        <w:jc w:val="left"/>
      </w:pPr>
      <w:r>
        <w:rPr>
          <w:rFonts w:ascii="Times New Roman" w:hAnsi="Times New Roman" w:cs="Times New Roman" w:eastAsia="Times New Roman"/>
          <w:b/>
          <w:i w:val="0"/>
          <w:sz w:val="26"/>
        </w:rPr>
        <w:t>2. Tách dòng tiền tự động (Split Payment)</w:t>
      </w:r>
    </w:p>
    <w:p>
      <w:pPr>
        <w:spacing w:before="0" w:after="60" w:line="312" w:lineRule="auto"/>
        <w:jc w:val="both"/>
      </w:pPr>
      <w:r>
        <w:rPr>
          <w:rFonts w:ascii="Times New Roman" w:hAnsi="Times New Roman" w:cs="Times New Roman" w:eastAsia="Times New Roman"/>
          <w:b w:val="0"/>
          <w:i w:val="0"/>
          <w:sz w:val="26"/>
        </w:rPr>
        <w:t>- Ngay khi giao dịch thành công, hệ thống tự động tách tiền theo tỷ lệ cấu hình sẵn: trích hoa hồng sàn, chuyển tiền gốc cho nhà sản xuất hoặc nhà cung cấp, và ghi nhận phí dịch vụ hoặc lưu kho cho chủ Trạm Hub.</w:t>
      </w:r>
    </w:p>
    <w:p>
      <w:pPr>
        <w:spacing w:before="0" w:after="60" w:line="312" w:lineRule="auto"/>
        <w:jc w:val="both"/>
      </w:pPr>
      <w:r>
        <w:rPr>
          <w:rFonts w:ascii="Times New Roman" w:hAnsi="Times New Roman" w:cs="Times New Roman" w:eastAsia="Times New Roman"/>
          <w:b w:val="0"/>
          <w:i w:val="0"/>
          <w:sz w:val="26"/>
        </w:rPr>
        <w:t>- Dòng tiền không bị dồn cục về một tài khoản rồi chia tay, giúp giảm tải đối soát thủ công và hạn chế rủi ro tranh chấp tài chính.</w:t>
      </w:r>
    </w:p>
    <w:p>
      <w:pPr>
        <w:spacing w:before="120" w:after="80" w:line="312" w:lineRule="auto"/>
        <w:jc w:val="left"/>
      </w:pPr>
      <w:r>
        <w:rPr>
          <w:rFonts w:ascii="Times New Roman" w:hAnsi="Times New Roman" w:cs="Times New Roman" w:eastAsia="Times New Roman"/>
          <w:b/>
          <w:i w:val="0"/>
          <w:sz w:val="26"/>
        </w:rPr>
        <w:t>3. Ký quỹ bảo vệ người mua (Escrow)</w:t>
      </w:r>
    </w:p>
    <w:p>
      <w:pPr>
        <w:spacing w:before="0" w:after="60" w:line="312" w:lineRule="auto"/>
        <w:jc w:val="both"/>
      </w:pPr>
      <w:r>
        <w:rPr>
          <w:rFonts w:ascii="Times New Roman" w:hAnsi="Times New Roman" w:cs="Times New Roman" w:eastAsia="Times New Roman"/>
          <w:b w:val="0"/>
          <w:i w:val="0"/>
          <w:sz w:val="26"/>
        </w:rPr>
        <w:t>- Đối với các đơn hàng mua chung hoặc giao hàng về Trạm Hub, tiền thanh toán được giữ an toàn tại tài khoản tạm giữ.</w:t>
      </w:r>
    </w:p>
    <w:p>
      <w:pPr>
        <w:spacing w:before="0" w:after="60" w:line="312" w:lineRule="auto"/>
        <w:jc w:val="both"/>
      </w:pPr>
      <w:r>
        <w:rPr>
          <w:rFonts w:ascii="Times New Roman" w:hAnsi="Times New Roman" w:cs="Times New Roman" w:eastAsia="Times New Roman"/>
          <w:b w:val="0"/>
          <w:i w:val="0"/>
          <w:sz w:val="26"/>
        </w:rPr>
        <w:t>- Dòng tiền chỉ thực sự được giải ngân cho nhà cung cấp khi khách hàng quét mã nhận hàng tại Trạm Hub, hoặc sau thời hạn bảo đảm từ 3 đến 7 ngày mà không có khiếu nại phát sinh.</w:t>
      </w:r>
    </w:p>
    <w:p>
      <w:pPr>
        <w:spacing w:before="120" w:after="80" w:line="312" w:lineRule="auto"/>
        <w:jc w:val="left"/>
      </w:pPr>
      <w:r>
        <w:rPr>
          <w:rFonts w:ascii="Times New Roman" w:hAnsi="Times New Roman" w:cs="Times New Roman" w:eastAsia="Times New Roman"/>
          <w:b/>
          <w:i w:val="0"/>
          <w:sz w:val="26"/>
        </w:rPr>
        <w:t>4. Hỗ trợ thanh toán ngoại tuyến</w:t>
      </w:r>
    </w:p>
    <w:p>
      <w:pPr>
        <w:spacing w:before="0" w:after="60" w:line="312" w:lineRule="auto"/>
        <w:jc w:val="both"/>
      </w:pPr>
      <w:r>
        <w:rPr>
          <w:rFonts w:ascii="Times New Roman" w:hAnsi="Times New Roman" w:cs="Times New Roman" w:eastAsia="Times New Roman"/>
          <w:b w:val="0"/>
          <w:i w:val="0"/>
          <w:sz w:val="26"/>
        </w:rPr>
        <w:t>- Khi mất kết nối mạng, máy bán hàng chuyển sang chế độ ngoại tuyến, ghi nhận giao dịch vào cơ sở dữ liệu cục bộ và ký số bảo mật.</w:t>
      </w:r>
    </w:p>
    <w:p>
      <w:pPr>
        <w:spacing w:before="0" w:after="60" w:line="312" w:lineRule="auto"/>
        <w:jc w:val="both"/>
      </w:pPr>
      <w:r>
        <w:rPr>
          <w:rFonts w:ascii="Times New Roman" w:hAnsi="Times New Roman" w:cs="Times New Roman" w:eastAsia="Times New Roman"/>
          <w:b w:val="0"/>
          <w:i w:val="0"/>
          <w:sz w:val="26"/>
        </w:rPr>
        <w:t>- Ngay khi có mạng trở lại, thiết bị tự động đẩy giao dịch lên cổng thanh toán để đối chiếu, bù trừ và kích hoạt xuất hóa đơn điện tử hợp chuẩn.</w:t>
      </w:r>
    </w:p>
    <w:p>
      <w:pPr>
        <w:spacing w:before="200" w:after="120" w:line="312" w:lineRule="auto"/>
        <w:jc w:val="left"/>
      </w:pPr>
      <w:r>
        <w:rPr>
          <w:rFonts w:ascii="Times New Roman" w:hAnsi="Times New Roman" w:cs="Times New Roman" w:eastAsia="Times New Roman"/>
          <w:b/>
          <w:i w:val="0"/>
          <w:sz w:val="28"/>
        </w:rPr>
        <w:t>V. HỆ THỐNG TÍCH ĐIỂM LIÊN MINH ĐA KÊNH</w:t>
      </w:r>
    </w:p>
    <w:p>
      <w:pPr>
        <w:spacing w:before="120" w:after="80" w:line="312" w:lineRule="auto"/>
        <w:jc w:val="left"/>
      </w:pPr>
      <w:r>
        <w:rPr>
          <w:rFonts w:ascii="Times New Roman" w:hAnsi="Times New Roman" w:cs="Times New Roman" w:eastAsia="Times New Roman"/>
          <w:b/>
          <w:i w:val="0"/>
          <w:sz w:val="26"/>
        </w:rPr>
        <w:t>1. Hồ sơ định danh duy nhất (Single Customer View)</w:t>
      </w:r>
    </w:p>
    <w:p>
      <w:pPr>
        <w:spacing w:before="0" w:after="60" w:line="312" w:lineRule="auto"/>
        <w:jc w:val="both"/>
      </w:pPr>
      <w:r>
        <w:rPr>
          <w:rFonts w:ascii="Times New Roman" w:hAnsi="Times New Roman" w:cs="Times New Roman" w:eastAsia="Times New Roman"/>
          <w:b w:val="0"/>
          <w:i w:val="0"/>
          <w:sz w:val="26"/>
        </w:rPr>
        <w:t>- Toàn bộ hành vi mua sắm trực tuyến và tại quầy được quy về một mã định danh duy nhất gắn với số điện thoại khách hàng.</w:t>
      </w:r>
    </w:p>
    <w:p>
      <w:pPr>
        <w:spacing w:before="0" w:after="60" w:line="312" w:lineRule="auto"/>
        <w:jc w:val="both"/>
      </w:pPr>
      <w:r>
        <w:rPr>
          <w:rFonts w:ascii="Times New Roman" w:hAnsi="Times New Roman" w:cs="Times New Roman" w:eastAsia="Times New Roman"/>
          <w:b w:val="0"/>
          <w:i w:val="0"/>
          <w:sz w:val="26"/>
        </w:rPr>
        <w:t>- Khách hàng không cần mang thẻ nhựa hay tải nhiều ứng dụng; chỉ cần đọc số điện thoại hoặc quét mã QR là nhân viên thu ngân thấy toàn bộ lịch sử mua sắm và hạng thẻ.</w:t>
      </w:r>
    </w:p>
    <w:p>
      <w:pPr>
        <w:spacing w:before="120" w:after="80" w:line="312" w:lineRule="auto"/>
        <w:jc w:val="left"/>
      </w:pPr>
      <w:r>
        <w:rPr>
          <w:rFonts w:ascii="Times New Roman" w:hAnsi="Times New Roman" w:cs="Times New Roman" w:eastAsia="Times New Roman"/>
          <w:b/>
          <w:i w:val="0"/>
          <w:sz w:val="26"/>
        </w:rPr>
        <w:t>2. Cơ chế tích và tiêu điểm linh hoạt</w:t>
      </w:r>
    </w:p>
    <w:p>
      <w:pPr>
        <w:spacing w:before="0" w:after="60" w:line="312" w:lineRule="auto"/>
        <w:jc w:val="both"/>
      </w:pPr>
      <w:r>
        <w:rPr>
          <w:rFonts w:ascii="Times New Roman" w:hAnsi="Times New Roman" w:cs="Times New Roman" w:eastAsia="Times New Roman"/>
          <w:b w:val="0"/>
          <w:i w:val="0"/>
          <w:sz w:val="26"/>
        </w:rPr>
        <w:t>- Tích lũy chéo kênh: mua đơn trực tuyến hoặc gom nhóm mua chung được tích điểm; điểm này có thể mang ra tiệm tạp hóa hoặc quán đối tác để trừ trực tiếp vào hóa đơn.</w:t>
      </w:r>
    </w:p>
    <w:p>
      <w:pPr>
        <w:spacing w:before="0" w:after="60" w:line="312" w:lineRule="auto"/>
        <w:jc w:val="both"/>
      </w:pPr>
      <w:r>
        <w:rPr>
          <w:rFonts w:ascii="Times New Roman" w:hAnsi="Times New Roman" w:cs="Times New Roman" w:eastAsia="Times New Roman"/>
          <w:b w:val="0"/>
          <w:i w:val="0"/>
          <w:sz w:val="26"/>
        </w:rPr>
        <w:t>- Tỷ lệ quy đổi minh bạch và cố định để khách hàng dễ dàng tính toán giá trị tiết kiệm.</w:t>
      </w:r>
    </w:p>
    <w:p>
      <w:pPr>
        <w:spacing w:before="0" w:after="60" w:line="312" w:lineRule="auto"/>
        <w:jc w:val="both"/>
      </w:pPr>
      <w:r>
        <w:rPr>
          <w:rFonts w:ascii="Times New Roman" w:hAnsi="Times New Roman" w:cs="Times New Roman" w:eastAsia="Times New Roman"/>
          <w:b w:val="0"/>
          <w:i w:val="0"/>
          <w:sz w:val="26"/>
        </w:rPr>
        <w:t>- Cơ chế tiêu điểm thông minh: cho phép khách hàng kết hợp thanh toán tiền mặt hoặc chuyển khoản cùng với trừ điểm tích lũy trong cùng một hóa đơn.</w:t>
      </w:r>
    </w:p>
    <w:p>
      <w:pPr>
        <w:spacing w:before="120" w:after="80" w:line="312" w:lineRule="auto"/>
        <w:jc w:val="left"/>
      </w:pPr>
      <w:r>
        <w:rPr>
          <w:rFonts w:ascii="Times New Roman" w:hAnsi="Times New Roman" w:cs="Times New Roman" w:eastAsia="Times New Roman"/>
          <w:b/>
          <w:i w:val="0"/>
          <w:sz w:val="26"/>
        </w:rPr>
        <w:t>3. Phân hạng hội viên và trò chơi hóa</w:t>
      </w:r>
    </w:p>
    <w:p>
      <w:pPr>
        <w:spacing w:before="0" w:after="60" w:line="312" w:lineRule="auto"/>
        <w:jc w:val="both"/>
      </w:pPr>
      <w:r>
        <w:rPr>
          <w:rFonts w:ascii="Times New Roman" w:hAnsi="Times New Roman" w:cs="Times New Roman" w:eastAsia="Times New Roman"/>
          <w:b w:val="0"/>
          <w:i w:val="0"/>
          <w:sz w:val="26"/>
        </w:rPr>
        <w:t>- Phân tầng giá trị: chia bậc thành viên dựa trên thuật toán đánh giá tần suất mua, giá trị đơn và độ mới của giao dịch; hạng càng cao thì tỷ lệ tích điểm càng lớn và được miễn phí nhận hàng tại Trạm Hub.</w:t>
      </w:r>
    </w:p>
    <w:p>
      <w:pPr>
        <w:spacing w:before="0" w:after="60" w:line="312" w:lineRule="auto"/>
        <w:jc w:val="both"/>
      </w:pPr>
      <w:r>
        <w:rPr>
          <w:rFonts w:ascii="Times New Roman" w:hAnsi="Times New Roman" w:cs="Times New Roman" w:eastAsia="Times New Roman"/>
          <w:b w:val="0"/>
          <w:i w:val="0"/>
          <w:sz w:val="26"/>
        </w:rPr>
        <w:t>- Nhiệm vụ tăng tương tác: tặng điểm thưởng khi khách thực hiện các hành động hỗ trợ hệ sinh thái như ghé Trạm Hub nhận hàng đúng giờ, rủ bạn bè ghép nhóm mua chung thành công hoặc đánh giá chất lượng sản phẩm sau khi mua.</w:t>
      </w:r>
    </w:p>
    <w:p>
      <w:pPr>
        <w:spacing w:before="120" w:after="80" w:line="312" w:lineRule="auto"/>
        <w:jc w:val="left"/>
      </w:pPr>
      <w:r>
        <w:rPr>
          <w:rFonts w:ascii="Times New Roman" w:hAnsi="Times New Roman" w:cs="Times New Roman" w:eastAsia="Times New Roman"/>
          <w:b/>
          <w:i w:val="0"/>
          <w:sz w:val="26"/>
        </w:rPr>
        <w:t>4. Ưu đãi thông minh và chống gian lận</w:t>
      </w:r>
    </w:p>
    <w:p>
      <w:pPr>
        <w:spacing w:before="0" w:after="60" w:line="312" w:lineRule="auto"/>
        <w:jc w:val="both"/>
      </w:pPr>
      <w:r>
        <w:rPr>
          <w:rFonts w:ascii="Times New Roman" w:hAnsi="Times New Roman" w:cs="Times New Roman" w:eastAsia="Times New Roman"/>
          <w:b w:val="0"/>
          <w:i w:val="0"/>
          <w:sz w:val="26"/>
        </w:rPr>
        <w:t>- Tiếp thị theo bán kính: khi khách di chuyển gần một Trạm Hub trong bán kính từ 1 đến 2 km, hệ thống tự động gửi ưu đãi sử dụng ngay tại trạm đó để kích thích khách ghé quầy.</w:t>
      </w:r>
    </w:p>
    <w:p>
      <w:pPr>
        <w:spacing w:before="0" w:after="60" w:line="312" w:lineRule="auto"/>
        <w:jc w:val="both"/>
      </w:pPr>
      <w:r>
        <w:rPr>
          <w:rFonts w:ascii="Times New Roman" w:hAnsi="Times New Roman" w:cs="Times New Roman" w:eastAsia="Times New Roman"/>
          <w:b w:val="0"/>
          <w:i w:val="0"/>
          <w:sz w:val="26"/>
        </w:rPr>
        <w:t>- Chống gian lận ưu đãi: kết hợp cơ chế nhận diện thiết bị để phát hiện và vô hiệu hóa các trường hợp cố tình tạo nhiều tài khoản trên cùng một điện thoại nhằm săn ưu đãi hoặc trục lợi điểm tích lũy.</w:t>
      </w:r>
    </w:p>
    <w:p>
      <w:pPr>
        <w:spacing w:before="200" w:after="120" w:line="312" w:lineRule="auto"/>
        <w:jc w:val="left"/>
      </w:pPr>
      <w:r>
        <w:rPr>
          <w:rFonts w:ascii="Times New Roman" w:hAnsi="Times New Roman" w:cs="Times New Roman" w:eastAsia="Times New Roman"/>
          <w:b/>
          <w:i w:val="0"/>
          <w:sz w:val="28"/>
        </w:rPr>
        <w:t>VI. TRẢI NGHIỆM MỘT CHẠM TẠI ĐIỂM GIAO THOA</w:t>
      </w:r>
    </w:p>
    <w:p>
      <w:pPr>
        <w:spacing w:before="0" w:after="120" w:line="312" w:lineRule="auto"/>
        <w:ind w:firstLine="567"/>
        <w:jc w:val="both"/>
      </w:pPr>
      <w:r>
        <w:rPr>
          <w:rFonts w:ascii="Times New Roman" w:hAnsi="Times New Roman" w:cs="Times New Roman" w:eastAsia="Times New Roman"/>
          <w:b w:val="0"/>
          <w:i w:val="0"/>
          <w:sz w:val="26"/>
        </w:rPr>
        <w:t>Quy trình thanh toán và chăm sóc khách hàng tại quầy diễn ra gói gọn trong vài giây, gồm các bước liên hoàn sau:</w:t>
      </w:r>
    </w:p>
    <w:p>
      <w:pPr>
        <w:spacing w:before="0" w:after="60" w:line="312" w:lineRule="auto"/>
        <w:jc w:val="both"/>
      </w:pPr>
      <w:r>
        <w:rPr>
          <w:rFonts w:ascii="Times New Roman" w:hAnsi="Times New Roman" w:cs="Times New Roman" w:eastAsia="Times New Roman"/>
          <w:b w:val="0"/>
          <w:i w:val="0"/>
          <w:sz w:val="26"/>
        </w:rPr>
        <w:t>- Thu ngân quét mã vạch sản phẩm trên máy bán hàng.</w:t>
      </w:r>
    </w:p>
    <w:p>
      <w:pPr>
        <w:spacing w:before="0" w:after="60" w:line="312" w:lineRule="auto"/>
        <w:jc w:val="both"/>
      </w:pPr>
      <w:r>
        <w:rPr>
          <w:rFonts w:ascii="Times New Roman" w:hAnsi="Times New Roman" w:cs="Times New Roman" w:eastAsia="Times New Roman"/>
          <w:b w:val="0"/>
          <w:i w:val="0"/>
          <w:sz w:val="26"/>
        </w:rPr>
        <w:t>- Khách hàng mở mã QR động trên điện thoại và đưa trước máy quét.</w:t>
      </w:r>
    </w:p>
    <w:p>
      <w:pPr>
        <w:spacing w:before="0" w:after="60" w:line="312" w:lineRule="auto"/>
        <w:jc w:val="both"/>
      </w:pPr>
      <w:r>
        <w:rPr>
          <w:rFonts w:ascii="Times New Roman" w:hAnsi="Times New Roman" w:cs="Times New Roman" w:eastAsia="Times New Roman"/>
          <w:b w:val="0"/>
          <w:i w:val="0"/>
          <w:sz w:val="26"/>
        </w:rPr>
        <w:t>- Hệ thống tự động kích hoạt chuỗi xử lý nền, bao gồm: nhận diện khách hàng thân thiết và áp dụng bảng giá ưu đãi theo hạng thẻ; tự động gợi ý và trừ ưu đãi tốt nhất có sẵn trong ví khách; khấu trừ số điểm thưởng khách muốn tiêu; trừ tiền phần còn lại qua ví điện tử hoặc tài khoản ngân hàng liên kết; tích lũy điểm thưởng mới cho giá trị thực trả và gửi tin nhắn hóa đơn điện tử về ứng dụng của khách ngay lập tức.</w:t>
      </w:r>
    </w:p>
    <w:p>
      <w:pPr>
        <w:spacing w:before="0" w:after="120" w:line="312" w:lineRule="auto"/>
        <w:ind w:firstLine="567"/>
        <w:jc w:val="both"/>
      </w:pPr>
      <w:r>
        <w:rPr>
          <w:rFonts w:ascii="Times New Roman" w:hAnsi="Times New Roman" w:cs="Times New Roman" w:eastAsia="Times New Roman"/>
          <w:b w:val="0"/>
          <w:i w:val="0"/>
          <w:sz w:val="26"/>
        </w:rPr>
        <w:t>Mô hình này triệt tiêu hoàn toàn câu hỏi phiền toái thường gặp tại quầy thu ngân truyền thống, đồng thời biến mỗi giao dịch thanh toán thành một cơ hội thu thập dữ liệu khách hàng có giá trị cho doanh nghiệp.</w:t>
      </w:r>
    </w:p>
    <w:p>
      <w:pPr>
        <w:spacing w:before="200" w:after="120" w:line="312" w:lineRule="auto"/>
        <w:jc w:val="left"/>
      </w:pPr>
      <w:r>
        <w:rPr>
          <w:rFonts w:ascii="Times New Roman" w:hAnsi="Times New Roman" w:cs="Times New Roman" w:eastAsia="Times New Roman"/>
          <w:b/>
          <w:i w:val="0"/>
          <w:sz w:val="28"/>
        </w:rPr>
        <w:t>VII. ỨNG DỤNG TRÍ TUỆ NHÂN TẠO TRONG VẬN HÀNH</w:t>
      </w:r>
    </w:p>
    <w:p>
      <w:pPr>
        <w:spacing w:before="0" w:after="60" w:line="312" w:lineRule="auto"/>
        <w:jc w:val="both"/>
      </w:pPr>
      <w:r>
        <w:rPr>
          <w:rFonts w:ascii="Times New Roman" w:hAnsi="Times New Roman" w:cs="Times New Roman" w:eastAsia="Times New Roman"/>
          <w:b w:val="0"/>
          <w:i w:val="0"/>
          <w:sz w:val="26"/>
        </w:rPr>
        <w:t>- Trợ lý cho chủ điểm bán: hỗ trợ tự động gợi ý đặt hàng sỉ, dự báo nhu cầu tiêu dùng cục bộ và cảnh báo hàng sắp hết hạn.</w:t>
      </w:r>
    </w:p>
    <w:p>
      <w:pPr>
        <w:spacing w:before="0" w:after="60" w:line="312" w:lineRule="auto"/>
        <w:jc w:val="both"/>
      </w:pPr>
      <w:r>
        <w:rPr>
          <w:rFonts w:ascii="Times New Roman" w:hAnsi="Times New Roman" w:cs="Times New Roman" w:eastAsia="Times New Roman"/>
          <w:b w:val="0"/>
          <w:i w:val="0"/>
          <w:sz w:val="26"/>
        </w:rPr>
        <w:t>- Thuật toán điều phối logistics: tự động gom chuyến và rút ngắn tuyến đường giao nhận hàng từ xưởng về các Trạm Hub chặng cuối.</w:t>
      </w:r>
    </w:p>
    <w:p>
      <w:pPr>
        <w:spacing w:before="0" w:after="60" w:line="312" w:lineRule="auto"/>
        <w:jc w:val="both"/>
      </w:pPr>
      <w:r>
        <w:rPr>
          <w:rFonts w:ascii="Times New Roman" w:hAnsi="Times New Roman" w:cs="Times New Roman" w:eastAsia="Times New Roman"/>
          <w:b w:val="0"/>
          <w:i w:val="0"/>
          <w:sz w:val="26"/>
        </w:rPr>
        <w:t>- Động cơ gợi ý sản phẩm cá nhân hóa: tăng tỷ lệ chuyển đổi đơn hàng dựa trên hành vi mua chung và lịch sử tiêu dùng của từng khách hàng.</w:t>
      </w:r>
    </w:p>
    <w:p>
      <w:pPr>
        <w:spacing w:before="200" w:after="120" w:line="312" w:lineRule="auto"/>
        <w:jc w:val="left"/>
      </w:pPr>
      <w:r>
        <w:rPr>
          <w:rFonts w:ascii="Times New Roman" w:hAnsi="Times New Roman" w:cs="Times New Roman" w:eastAsia="Times New Roman"/>
          <w:b/>
          <w:i w:val="0"/>
          <w:sz w:val="28"/>
        </w:rPr>
        <w:t>VIII. AN TOÀN THÔNG TIN, BẢO MẬT VÀ PHÒNG CHỐNG GIAN LẬN</w:t>
      </w:r>
    </w:p>
    <w:p>
      <w:pPr>
        <w:spacing w:before="0" w:after="60" w:line="312" w:lineRule="auto"/>
        <w:jc w:val="both"/>
      </w:pPr>
      <w:r>
        <w:rPr>
          <w:rFonts w:ascii="Times New Roman" w:hAnsi="Times New Roman" w:cs="Times New Roman" w:eastAsia="Times New Roman"/>
          <w:b w:val="0"/>
          <w:i w:val="0"/>
          <w:sz w:val="26"/>
        </w:rPr>
        <w:t>- Động cơ chống gian lận: theo dõi địa chỉ vật lý của thiết bị, số nhận diện thiết bị, hành vi nhấp chuột và định vị để ngăn chặn việc tạo tài khoản ảo trục lợi khuyến mại hoặc tạo nhóm "mua chung ảo".</w:t>
      </w:r>
    </w:p>
    <w:p>
      <w:pPr>
        <w:spacing w:before="0" w:after="60" w:line="312" w:lineRule="auto"/>
        <w:jc w:val="both"/>
      </w:pPr>
      <w:r>
        <w:rPr>
          <w:rFonts w:ascii="Times New Roman" w:hAnsi="Times New Roman" w:cs="Times New Roman" w:eastAsia="Times New Roman"/>
          <w:b w:val="0"/>
          <w:i w:val="0"/>
          <w:sz w:val="26"/>
        </w:rPr>
        <w:t>- Tuân thủ bảo vệ dữ liệu cá nhân: áp dụng nghiêm ngặt các quy định của Nghị định số 13/2023/NĐ-CP; mã hóa dữ liệu người dùng từ đầu đến cuối.</w:t>
      </w:r>
    </w:p>
    <w:p>
      <w:pPr>
        <w:spacing w:before="0" w:after="60" w:line="312" w:lineRule="auto"/>
        <w:jc w:val="both"/>
      </w:pPr>
      <w:r>
        <w:rPr>
          <w:rFonts w:ascii="Times New Roman" w:hAnsi="Times New Roman" w:cs="Times New Roman" w:eastAsia="Times New Roman"/>
          <w:b w:val="0"/>
          <w:i w:val="0"/>
          <w:sz w:val="26"/>
        </w:rPr>
        <w:t>- Kế hoạch sao lưu và ứng cứu sự cố: thiết lập cơ chế sao lưu tự động hàng giờ và hệ thống dự phòng thảm họa đa vùng, bảo đảm khả năng phục hồi nhanh khi xảy ra sự cố.</w:t>
      </w:r>
    </w:p>
    <w:p>
      <w:pPr>
        <w:spacing w:before="200" w:after="120" w:line="312" w:lineRule="auto"/>
        <w:jc w:val="left"/>
      </w:pPr>
      <w:r>
        <w:rPr>
          <w:rFonts w:ascii="Times New Roman" w:hAnsi="Times New Roman" w:cs="Times New Roman" w:eastAsia="Times New Roman"/>
          <w:b/>
          <w:i w:val="0"/>
          <w:sz w:val="28"/>
        </w:rPr>
        <w:t>IX. LỘ TRÌNH PHÁT TRIỂN CÔNG NGHỆ VÀ PHÂN BỔ NGUỒN LỰC</w:t>
      </w:r>
    </w:p>
    <w:p>
      <w:pPr>
        <w:spacing w:before="0" w:after="120" w:line="312" w:lineRule="auto"/>
        <w:ind w:firstLine="567"/>
        <w:jc w:val="both"/>
      </w:pPr>
      <w:r>
        <w:rPr>
          <w:rFonts w:ascii="Times New Roman" w:hAnsi="Times New Roman" w:cs="Times New Roman" w:eastAsia="Times New Roman"/>
          <w:b w:val="0"/>
          <w:i w:val="0"/>
          <w:sz w:val="26"/>
        </w:rPr>
        <w:t>Năm 2026 tập trung hoàn thiện lõi vi dịch vụ và phần mềm bán hàng ngoại tuyến; năm 2027 nâng cấp hạ tầng chịu tải lớn và động cơ gợi ý; giai đoạn từ năm 2028 đến năm 2030 nâng cấp nền tảng dữ liệu lớn và mở rộng giao diện lập trình kết nối các dịch vụ tài chính nhúng. Khối Công nghệ thông tin duy trì đội ngũ kỹ sư chất lượng cao, phân chia theo các nhóm sản phẩm chuyên biệt.</w:t>
      </w:r>
    </w:p>
    <w:p>
      <w:pPr>
        <w:spacing w:before="200" w:after="120" w:line="312" w:lineRule="auto"/>
        <w:jc w:val="left"/>
      </w:pPr>
      <w:r>
        <w:rPr>
          <w:rFonts w:ascii="Times New Roman" w:hAnsi="Times New Roman" w:cs="Times New Roman" w:eastAsia="Times New Roman"/>
          <w:b/>
          <w:i w:val="0"/>
          <w:sz w:val="28"/>
        </w:rPr>
        <w:t>X. TỔ CHỨC THỰC HIỆN</w:t>
      </w:r>
    </w:p>
    <w:p>
      <w:pPr>
        <w:spacing w:before="0" w:after="120" w:line="312" w:lineRule="auto"/>
        <w:ind w:firstLine="567"/>
        <w:jc w:val="both"/>
      </w:pPr>
      <w:r>
        <w:rPr>
          <w:rFonts w:ascii="Times New Roman" w:hAnsi="Times New Roman" w:cs="Times New Roman" w:eastAsia="Times New Roman"/>
          <w:b w:val="0"/>
          <w:i w:val="0"/>
          <w:sz w:val="26"/>
        </w:rPr>
        <w:t>Khối Công nghệ thông tin chủ trì, phối hợp với các đơn vị liên quan tổ chức triển khai thực hiện Đề án này; định kỳ báo cáo Ban Tổng Giám đốc về tiến độ và hiệu năng vận hành hệ thống.</w:t>
      </w:r>
    </w:p>
    <w:p>
      <w:pPr>
        <w:spacing w:before="120" w:after="120" w:line="312" w:lineRule="auto"/>
        <w:ind w:firstLine="567"/>
        <w:jc w:val="both"/>
      </w:pPr>
      <w:r>
        <w:rPr>
          <w:rFonts w:ascii="Times New Roman" w:hAnsi="Times New Roman" w:cs="Times New Roman" w:eastAsia="Times New Roman"/>
          <w:b w:val="0"/>
          <w:i w:val="0"/>
          <w:sz w:val="26"/>
        </w:rPr>
        <w:t>Khối Công nghệ thông tin và các đơn vị trực thuộc Công ty Cổ phần VComm Việt Nam có trách nhiệm triển khai thực hiện nghiêm túc Đề án này./.</w:t>
      </w:r>
    </w:p>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5216"/>
        <w:gridCol w:w="3855"/>
      </w:tblGrid>
      <w:tr>
        <w:tc>
          <w:tcPr>
            <w:tcW w:type="dxa" w:w="5216"/>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4"/>
              </w:rPr>
              <w:t xml:space="preserve">- Hội đồng Quản trị (để báo cáo);</w:t>
            </w:r>
          </w:p>
          <w:p>
            <w:pPr>
              <w:spacing w:after="0"/>
            </w:pPr>
            <w:r>
              <w:rPr>
                <w:rFonts w:ascii="Times New Roman" w:cs="Times New Roman" w:eastAsia="Times New Roman" w:hAnsi="Times New Roman"/>
                <w:sz w:val="22"/>
                <w:szCs w:val="24"/>
              </w:rPr>
              <w:t xml:space="preserve">- Ban Tổng Giám đốc (để chỉ đạo);</w:t>
            </w:r>
          </w:p>
          <w:p>
            <w:pPr>
              <w:spacing w:after="0"/>
            </w:pPr>
            <w:r>
              <w:rPr>
                <w:rFonts w:ascii="Times New Roman" w:cs="Times New Roman" w:eastAsia="Times New Roman" w:hAnsi="Times New Roman"/>
                <w:sz w:val="22"/>
                <w:szCs w:val="24"/>
              </w:rPr>
              <w:t xml:space="preserve">- Các Khối, Phòng, Ban thuộc Công ty;</w:t>
            </w:r>
          </w:p>
          <w:p>
            <w:pPr>
              <w:spacing w:after="0"/>
            </w:pPr>
            <w:r>
              <w:rPr>
                <w:rFonts w:ascii="Times New Roman" w:cs="Times New Roman" w:eastAsia="Times New Roman" w:hAnsi="Times New Roman"/>
                <w:sz w:val="22"/>
                <w:szCs w:val="24"/>
              </w:rPr>
              <w:t xml:space="preserve">- Lưu: VT, DA.</w:t>
            </w:r>
          </w:p>
        </w:tc>
        <w:tc>
          <w:tcPr>
            <w:tcW w:type="dxa" w:w="3855"/>
          </w:tcPr>
          <w:p>
            <w:pPr>
              <w:spacing w:after="0"/>
              <w:jc w:val="center"/>
            </w:pPr>
            <w:r>
              <w:rPr>
                <w:rFonts w:ascii="Times New Roman" w:cs="Times New Roman" w:eastAsia="Times New Roman" w:hAnsi="Times New Roman"/>
                <w:b/>
                <w:bCs/>
                <w:sz w:val="26"/>
                <w:szCs w:val="26"/>
              </w:rPr>
              <w:t xml:space="preserve">TỔNG GIÁM ĐỐC</w:t>
            </w:r>
          </w:p>
          <w:p>
            <w:pPr>
              <w:spacing w:after="0"/>
              <w:jc w:val="center"/>
            </w:pPr>
            <w:r>
              <w:rPr>
                <w:rFonts w:ascii="Times New Roman" w:cs="Times New Roman" w:eastAsia="Times New Roman" w:hAnsi="Times New Roman"/>
                <w:i/>
                <w:iCs/>
                <w:sz w:val="26"/>
                <w:szCs w:val="26"/>
              </w:rPr>
              <w:t xml:space="preserve">(Ký, ghi rõ họ tên và đóng dấu)</w:t>
            </w:r>
          </w:p>
          <w:p>
            <w:pPr>
              <w:spacing w:after="0"/>
            </w:pPr>
          </w:p>
          <w:p>
            <w:pPr>
              <w:spacing w:after="0"/>
            </w:pPr>
          </w:p>
          <w:p>
            <w:pPr>
              <w:spacing w:after="0"/>
            </w:pPr>
          </w:p>
        </w:tc>
      </w:tr>
    </w:tbl>
    <w:sectPr>
      <w:footerReference w:type="default" r:id="rId7"/>
      <w:footerReference w:type="first" r:id="rId8"/>
      <w:pgSz w:w="11906" w:h="16838" w:orient="portrait"/>
      <w:pgMar w:top="1134" w:right="1134"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2026-10-05T05:12:11.859Z</dcterms:created>
  <dcterms:modified xsi:type="dcterms:W3CDTF">2026-10-05T05:12:11.859Z</dcterms:modified>
</cp:coreProperties>
</file>

<file path=docProps/custom.xml><?xml version="1.0" encoding="utf-8"?>
<Properties xmlns="http://schemas.openxmlformats.org/officeDocument/2006/custom-properties" xmlns:vt="http://schemas.openxmlformats.org/officeDocument/2006/docPropsVTypes"/>
</file>