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01/KH-VCOMM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Xây dựng và phát triển mô hình kinh doanh Sàn thương mại điện tử Bán lẻ Hợp kênh VComm tại Việt Nam giai đoạn 2026 - 2030</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BAN CHIẾN LƯỢC &amp; PHÁT TRIỂN DỰ ÁN</w:t>
      </w:r>
    </w:p>
    <w:p>
      <w:pPr>
        <w:spacing w:before="0" w:after="200" w:line="312" w:lineRule="auto"/>
        <w:jc w:val="center"/>
      </w:pPr>
      <w:r>
        <w:rPr>
          <w:rFonts w:ascii="Times New Roman" w:hAnsi="Times New Roman" w:cs="Times New Roman" w:eastAsia="Times New Roman"/>
          <w:b w:val="0"/>
          <w:i/>
          <w:sz w:val="24"/>
        </w:rPr>
        <w:t>Tài liệu tham chiếu: Tổng kết nghiên cứu mô hình Mua chung Pintuan (拼团) và Bán lẻ Hợp kênh (O2O); Kế hoạch tài chính 5 năm giai đoạn 2026 - 2030.</w:t>
      </w:r>
    </w:p>
    <w:p>
      <w:pPr>
        <w:spacing w:before="200" w:after="120" w:line="312" w:lineRule="auto"/>
        <w:jc w:val="left"/>
      </w:pPr>
      <w:r>
        <w:rPr>
          <w:rFonts w:ascii="Times New Roman" w:hAnsi="Times New Roman" w:cs="Times New Roman" w:eastAsia="Times New Roman"/>
          <w:b/>
          <w:i w:val="0"/>
          <w:sz w:val="28"/>
        </w:rPr>
        <w:t>I. CĂN CỨ PHÁP LÝ VÀ SỰ CẦN THIẾT XÂY DỰNG ĐỀ ÁN</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Giao dịch điện tử số 20/2023/QH15 ngày 22 tháng 6 năm 2023 của Quốc hội;</w:t>
      </w:r>
    </w:p>
    <w:p>
      <w:pPr>
        <w:spacing w:before="0" w:after="60" w:line="312" w:lineRule="auto"/>
        <w:jc w:val="both"/>
      </w:pPr>
      <w:r>
        <w:rPr>
          <w:rFonts w:ascii="Times New Roman" w:hAnsi="Times New Roman" w:cs="Times New Roman" w:eastAsia="Times New Roman"/>
          <w:b w:val="0"/>
          <w:i w:val="0"/>
          <w:sz w:val="26"/>
        </w:rPr>
        <w:t>- Nghị định số 52/2013/NĐ-CP ngày 16 tháng 5 năm 2013 của Chính phủ về thương mại điện tử;</w:t>
      </w:r>
    </w:p>
    <w:p>
      <w:pPr>
        <w:spacing w:before="0" w:after="60" w:line="312" w:lineRule="auto"/>
        <w:jc w:val="both"/>
      </w:pPr>
      <w:r>
        <w:rPr>
          <w:rFonts w:ascii="Times New Roman" w:hAnsi="Times New Roman" w:cs="Times New Roman" w:eastAsia="Times New Roman"/>
          <w:b w:val="0"/>
          <w:i w:val="0"/>
          <w:sz w:val="26"/>
        </w:rPr>
        <w:t>- Nghị định số 85/2021/NĐ-CP ngày 25 tháng 9 năm 2021 của Chính phủ sửa đổi, bổ sung một số điều của Nghị định số 52/2013/NĐ-CP;</w:t>
      </w:r>
    </w:p>
    <w:p>
      <w:pPr>
        <w:spacing w:before="0" w:after="60" w:line="312" w:lineRule="auto"/>
        <w:jc w:val="both"/>
      </w:pPr>
      <w:r>
        <w:rPr>
          <w:rFonts w:ascii="Times New Roman" w:hAnsi="Times New Roman" w:cs="Times New Roman" w:eastAsia="Times New Roman"/>
          <w:b w:val="0"/>
          <w:i w:val="0"/>
          <w:sz w:val="26"/>
        </w:rPr>
        <w:t>- Nghị định số 13/2023/NĐ-CP ngày 17 tháng 4 năm 2023 của Chính phủ về bảo vệ dữ liệu cá nhân;</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2026 - 2030.</w:t>
      </w:r>
    </w:p>
    <w:p>
      <w:pPr>
        <w:spacing w:before="120" w:after="80" w:line="312" w:lineRule="auto"/>
        <w:jc w:val="left"/>
      </w:pPr>
      <w:r>
        <w:rPr>
          <w:rFonts w:ascii="Times New Roman" w:hAnsi="Times New Roman" w:cs="Times New Roman" w:eastAsia="Times New Roman"/>
          <w:b/>
          <w:i w:val="0"/>
          <w:sz w:val="26"/>
        </w:rPr>
        <w:t>2. Sự cần thiết xây dựng đề án</w:t>
      </w:r>
    </w:p>
    <w:p>
      <w:pPr>
        <w:spacing w:before="0" w:after="120" w:line="312" w:lineRule="auto"/>
        <w:ind w:firstLine="567"/>
        <w:jc w:val="both"/>
      </w:pPr>
      <w:r>
        <w:rPr>
          <w:rFonts w:ascii="Times New Roman" w:hAnsi="Times New Roman" w:cs="Times New Roman" w:eastAsia="Times New Roman"/>
          <w:b w:val="0"/>
          <w:i w:val="0"/>
          <w:sz w:val="26"/>
        </w:rPr>
        <w:t>Thị trường thương mại điện tử Việt Nam duy trì tốc độ tăng trưởng trên 20% mỗi năm nhưng đang bộc lộ ba điểm nghẽn mang tính cấu trúc. Thứ nhất, chi phí giao hàng chặng cuối (last-mile delivery) chiếm từ 15% đến 25% giá trị đơn hàng, đẩy biên lợi nhuận của nhà bán hàng xuống mức rất mỏng. Thứ hai, chi phí thu hút khách hàng (CAC) và chi phí quảng cáo trực tuyến trên các sàn lớn tăng từ 25% đến 40% trong giai đoạn 2024 - 2026, khiến mô hình bán hàng thuần túy trên sàn trở nên ngày càng đắt đỏ. Thứ ba, tỷ lệ hủy đơn và hoàn hàng còn cao, đặc biệt với hình thức thanh toán khi nhận hàng, gây lãng phí nguồn lực xã hội.</w:t>
      </w:r>
    </w:p>
    <w:p>
      <w:pPr>
        <w:spacing w:before="0" w:after="120" w:line="312" w:lineRule="auto"/>
        <w:ind w:firstLine="567"/>
        <w:jc w:val="both"/>
      </w:pPr>
      <w:r>
        <w:rPr>
          <w:rFonts w:ascii="Times New Roman" w:hAnsi="Times New Roman" w:cs="Times New Roman" w:eastAsia="Times New Roman"/>
          <w:b w:val="0"/>
          <w:i w:val="0"/>
          <w:sz w:val="26"/>
        </w:rPr>
        <w:t>Ở phía đối diện, cả nước hiện có hơn 1,4 triệu tiệm tạp hóa và cửa hàng bán lẻ truyền thống có lợi thế phủ sâu tận ngõ xóm, quan hệ thân thiết với cư dân và nắm giữ vị trí đắc địa về mặt địa lý, nhưng phần lớn vẫn chưa được số hóa, chưa có hạ tầng thanh toán không dùng tiền mặt và chưa có công cụ giữ chân khách hàng. Việc kết nối sức mạnh của công nghệ số với mạng lưới bán lẻ vật lý sẵn có là cơ hội để giải quyết đồng thời cả ba điểm nghẽn nêu trên.</w:t>
      </w:r>
    </w:p>
    <w:p>
      <w:pPr>
        <w:spacing w:before="0" w:after="120" w:line="312" w:lineRule="auto"/>
        <w:ind w:firstLine="567"/>
        <w:jc w:val="both"/>
      </w:pPr>
      <w:r>
        <w:rPr>
          <w:rFonts w:ascii="Times New Roman" w:hAnsi="Times New Roman" w:cs="Times New Roman" w:eastAsia="Times New Roman"/>
          <w:b w:val="0"/>
          <w:i w:val="0"/>
          <w:sz w:val="26"/>
        </w:rPr>
        <w:t>Đề án này xây dựng mô hình kinh doanh nền tảng cho Sàn thương mại điện tử Bán lẻ Hợp kênh VComm, trong đó lấy mạng lưới tiệm tạp hóa làm hạ tầng giao nhận chặng cuối, lấy mô hình mua chung làm động lực tăng trưởng tự nhiên, và lấy dữ liệu làm tài sản chiến lược dài hạn.</w:t>
      </w:r>
    </w:p>
    <w:p>
      <w:pPr>
        <w:spacing w:before="200" w:after="120" w:line="312" w:lineRule="auto"/>
        <w:jc w:val="left"/>
      </w:pPr>
      <w:r>
        <w:rPr>
          <w:rFonts w:ascii="Times New Roman" w:hAnsi="Times New Roman" w:cs="Times New Roman" w:eastAsia="Times New Roman"/>
          <w:b/>
          <w:i w:val="0"/>
          <w:sz w:val="28"/>
        </w:rPr>
        <w:t>II. TỔNG QUAN MÔ HÌNH KINH DOANH BÁN LẺ HỢP KÊNH (O2O)</w:t>
      </w:r>
    </w:p>
    <w:p>
      <w:pPr>
        <w:spacing w:before="120" w:after="80" w:line="312" w:lineRule="auto"/>
        <w:jc w:val="left"/>
      </w:pPr>
      <w:r>
        <w:rPr>
          <w:rFonts w:ascii="Times New Roman" w:hAnsi="Times New Roman" w:cs="Times New Roman" w:eastAsia="Times New Roman"/>
          <w:b/>
          <w:i w:val="0"/>
          <w:sz w:val="26"/>
        </w:rPr>
        <w:t>1. Khái niệm và nguyên tắc cốt lõi</w:t>
      </w:r>
    </w:p>
    <w:p>
      <w:pPr>
        <w:spacing w:before="0" w:after="120" w:line="312" w:lineRule="auto"/>
        <w:ind w:firstLine="567"/>
        <w:jc w:val="both"/>
      </w:pPr>
      <w:r>
        <w:rPr>
          <w:rFonts w:ascii="Times New Roman" w:hAnsi="Times New Roman" w:cs="Times New Roman" w:eastAsia="Times New Roman"/>
          <w:b w:val="0"/>
          <w:i w:val="0"/>
          <w:sz w:val="26"/>
        </w:rPr>
        <w:t>Bán lẻ Hợp kênh (O2O - Online-to-Offline và Offline-to-Online) là mô hình kinh doanh kết hợp sức mạnh của công nghệ số với mạng lưới cửa hàng vật lý nhằm tạo ra một vòng lặp trải nghiệm liền mạch, chuyển đổi khách hàng qua lại giữa hai môi trường. Điểm phân biệt cốt lõi giữa O2O và bán hàng đa kênh truyền thống (Multi-channel) nằm ở mức độ đồng bộ: nếu hai kênh vận hành tách rời, chỉ dùng chung thương hiệu thì đó vẫn là đa kênh; chỉ khi dữ liệu, dòng tiền, hàng tồn kho và hồ sơ khách hàng được đồng bộ hoàn toàn để hỗ trợ lẫn nhau thì mới thực sự là O2O.</w:t>
      </w:r>
    </w:p>
    <w:p>
      <w:pPr>
        <w:spacing w:before="120" w:after="80" w:line="312" w:lineRule="auto"/>
        <w:jc w:val="left"/>
      </w:pPr>
      <w:r>
        <w:rPr>
          <w:rFonts w:ascii="Times New Roman" w:hAnsi="Times New Roman" w:cs="Times New Roman" w:eastAsia="Times New Roman"/>
          <w:b/>
          <w:i w:val="0"/>
          <w:sz w:val="26"/>
        </w:rPr>
        <w:t>2. Vòng lặp hai chiều của mô hình O2O</w:t>
      </w:r>
    </w:p>
    <w:p>
      <w:pPr>
        <w:spacing w:before="0" w:after="60" w:line="312" w:lineRule="auto"/>
        <w:jc w:val="both"/>
      </w:pPr>
      <w:r>
        <w:rPr>
          <w:rFonts w:ascii="Times New Roman" w:hAnsi="Times New Roman" w:cs="Times New Roman" w:eastAsia="Times New Roman"/>
          <w:b w:val="0"/>
          <w:i w:val="0"/>
          <w:sz w:val="26"/>
        </w:rPr>
        <w:t>- Chiều Online-to-Offline (kéo khách từ mạng về điểm bán): Khách hàng tìm kiếm sản phẩm, săn ưu đãi, chốt đơn mua chung hoặc đặt lịch trên ứng dụng và cổng web; sau đó đến trực tiếp cửa hàng gần nhất để nhận hàng, thử sản phẩm hoặc trải nghiệm dịch vụ.</w:t>
      </w:r>
    </w:p>
    <w:p>
      <w:pPr>
        <w:spacing w:before="0" w:after="60" w:line="312" w:lineRule="auto"/>
        <w:jc w:val="both"/>
      </w:pPr>
      <w:r>
        <w:rPr>
          <w:rFonts w:ascii="Times New Roman" w:hAnsi="Times New Roman" w:cs="Times New Roman" w:eastAsia="Times New Roman"/>
          <w:b w:val="0"/>
          <w:i w:val="0"/>
          <w:sz w:val="26"/>
        </w:rPr>
        <w:t>- Chiều Offline-to-Online (số hóa khách hàng tại điểm bán): Khi khách ghé cửa hàng vật lý, nhân viên hướng dẫn quét mã QR để thanh toán hoặc tích điểm thành viên; khách được ghi nhận vào hệ thống dữ liệu khách hàng tập trung và tiếp tục phát sinh đơn hàng trực tuyến khi trở về nhà.</w:t>
      </w:r>
    </w:p>
    <w:p>
      <w:pPr>
        <w:spacing w:before="120" w:after="80" w:line="312" w:lineRule="auto"/>
        <w:jc w:val="left"/>
      </w:pPr>
      <w:r>
        <w:rPr>
          <w:rFonts w:ascii="Times New Roman" w:hAnsi="Times New Roman" w:cs="Times New Roman" w:eastAsia="Times New Roman"/>
          <w:b/>
          <w:i w:val="0"/>
          <w:sz w:val="26"/>
        </w:rPr>
        <w:t>3. Bốn trụ cột vận hành quyết định thành bại của O2O</w:t>
      </w:r>
    </w:p>
    <w:p>
      <w:pPr>
        <w:spacing w:before="0" w:after="60" w:line="312" w:lineRule="auto"/>
        <w:jc w:val="both"/>
      </w:pPr>
      <w:r>
        <w:rPr>
          <w:rFonts w:ascii="Times New Roman" w:hAnsi="Times New Roman" w:cs="Times New Roman" w:eastAsia="Times New Roman"/>
          <w:b w:val="0"/>
          <w:i w:val="0"/>
          <w:sz w:val="26"/>
        </w:rPr>
        <w:t>- Đồng bộ tồn kho thời gian thực (Omnichannel Inventory): Dữ liệu kho giữa quầy bán lẻ và gian hàng trực tuyến phải đồng nhất theo thời gian thực, loại bỏ hoàn toàn tình trạng khách đặt đơn trực tuyến nhưng khi ra cửa hàng nhận thì hết hàng.</w:t>
      </w:r>
    </w:p>
    <w:p>
      <w:pPr>
        <w:spacing w:before="0" w:after="60" w:line="312" w:lineRule="auto"/>
        <w:jc w:val="both"/>
      </w:pPr>
      <w:r>
        <w:rPr>
          <w:rFonts w:ascii="Times New Roman" w:hAnsi="Times New Roman" w:cs="Times New Roman" w:eastAsia="Times New Roman"/>
          <w:b w:val="0"/>
          <w:i w:val="0"/>
          <w:sz w:val="26"/>
        </w:rPr>
        <w:t>- Định vị mạng lưới (Store Locator và Geofencing): Ứng dụng tự động nhận diện vị trí khách hàng để gợi ý điểm bán hoặc trạm lấy hàng gần nhất, đồng thời gửi thông báo ưu đãi khi khách di chuyển vào bán kính từ 1 đến 2 km quanh cửa hàng.</w:t>
      </w:r>
    </w:p>
    <w:p>
      <w:pPr>
        <w:spacing w:before="0" w:after="60" w:line="312" w:lineRule="auto"/>
        <w:jc w:val="both"/>
      </w:pPr>
      <w:r>
        <w:rPr>
          <w:rFonts w:ascii="Times New Roman" w:hAnsi="Times New Roman" w:cs="Times New Roman" w:eastAsia="Times New Roman"/>
          <w:b w:val="0"/>
          <w:i w:val="0"/>
          <w:sz w:val="26"/>
        </w:rPr>
        <w:t>- Hợp nhất thanh toán và tích điểm (Dynamic QR và Unified ID): Khách hàng chỉ dùng một định danh duy nhất là số điện thoại hoặc mã QR động trên ứng dụng để tích điểm, tiêu điểm và áp dụng ưu đãi, bất kể thanh toán trực tuyến hay tại quầy.</w:t>
      </w:r>
    </w:p>
    <w:p>
      <w:pPr>
        <w:spacing w:before="0" w:after="60" w:line="312" w:lineRule="auto"/>
        <w:jc w:val="both"/>
      </w:pPr>
      <w:r>
        <w:rPr>
          <w:rFonts w:ascii="Times New Roman" w:hAnsi="Times New Roman" w:cs="Times New Roman" w:eastAsia="Times New Roman"/>
          <w:b w:val="0"/>
          <w:i w:val="0"/>
          <w:sz w:val="26"/>
        </w:rPr>
        <w:t>- Trạm trung chuyển chặng cuối (Fulfillment Hub): Dùng chính các cửa hàng vật lý làm "kho vệ tinh" quy mô nhỏ; đơn hàng nội thành có thể được giao trong vòng 1 đến 2 giờ ngay từ cửa hàng gần nhất, rút ngắn thời gian so với tuyến chuyển từ kho tổng ngoại thành.</w:t>
      </w:r>
    </w:p>
    <w:p>
      <w:pPr>
        <w:spacing w:before="120" w:after="80" w:line="312" w:lineRule="auto"/>
        <w:jc w:val="left"/>
      </w:pPr>
      <w:r>
        <w:rPr>
          <w:rFonts w:ascii="Times New Roman" w:hAnsi="Times New Roman" w:cs="Times New Roman" w:eastAsia="Times New Roman"/>
          <w:b/>
          <w:i w:val="0"/>
          <w:sz w:val="26"/>
        </w:rPr>
        <w:t>4. Lợi thế kinh tế so với thương mại điện tử thuần túy</w:t>
      </w:r>
    </w:p>
    <w:p>
      <w:pPr>
        <w:spacing w:before="0" w:after="60" w:line="312" w:lineRule="auto"/>
        <w:jc w:val="both"/>
      </w:pPr>
      <w:r>
        <w:rPr>
          <w:rFonts w:ascii="Times New Roman" w:hAnsi="Times New Roman" w:cs="Times New Roman" w:eastAsia="Times New Roman"/>
          <w:b w:val="0"/>
          <w:i w:val="0"/>
          <w:sz w:val="26"/>
        </w:rPr>
        <w:t>- Cắt giảm từ 40% đến 50% chi phí vận chuyển nhờ chính sách gom đơn giao tập trung về trạm hoặc để khách tự ghé lấy hàng.</w:t>
      </w:r>
    </w:p>
    <w:p>
      <w:pPr>
        <w:spacing w:before="0" w:after="60" w:line="312" w:lineRule="auto"/>
        <w:jc w:val="both"/>
      </w:pPr>
      <w:r>
        <w:rPr>
          <w:rFonts w:ascii="Times New Roman" w:hAnsi="Times New Roman" w:cs="Times New Roman" w:eastAsia="Times New Roman"/>
          <w:b w:val="0"/>
          <w:i w:val="0"/>
          <w:sz w:val="26"/>
        </w:rPr>
        <w:t>- Khai thác cơ hội bán thêm tại quầy: khi khách bước vào cửa hàng để nhận món hàng đã mua trực tuyến, hơn 30% sẽ phát sinh nhu cầu mua thêm hàng tiêu dùng thiết yếu tại chỗ.</w:t>
      </w:r>
    </w:p>
    <w:p>
      <w:pPr>
        <w:spacing w:before="0" w:after="60" w:line="312" w:lineRule="auto"/>
        <w:jc w:val="both"/>
      </w:pPr>
      <w:r>
        <w:rPr>
          <w:rFonts w:ascii="Times New Roman" w:hAnsi="Times New Roman" w:cs="Times New Roman" w:eastAsia="Times New Roman"/>
          <w:b w:val="0"/>
          <w:i w:val="0"/>
          <w:sz w:val="26"/>
        </w:rPr>
        <w:t>- Xóa bỏ rào cản niềm tin: khách hàng an tâm hơn khi biết rõ địa chỉ cửa hàng thật để đổi trả hoặc bảo hành khi cần thiết.</w:t>
      </w:r>
    </w:p>
    <w:p>
      <w:pPr>
        <w:spacing w:before="0" w:after="60" w:line="312" w:lineRule="auto"/>
        <w:jc w:val="both"/>
      </w:pPr>
      <w:r>
        <w:rPr>
          <w:rFonts w:ascii="Times New Roman" w:hAnsi="Times New Roman" w:cs="Times New Roman" w:eastAsia="Times New Roman"/>
          <w:b w:val="0"/>
          <w:i w:val="0"/>
          <w:sz w:val="26"/>
        </w:rPr>
        <w:t>- Cắt chi phí thu hút khách hàng: doanh nghiệp chuyển hóa trực tiếp lượng khách vãng lai tại cửa hàng thành tài khoản thành viên số với chi phí gần như bằng không.</w:t>
      </w:r>
    </w:p>
    <w:p>
      <w:pPr>
        <w:spacing w:before="200" w:after="120" w:line="312" w:lineRule="auto"/>
        <w:jc w:val="left"/>
      </w:pPr>
      <w:r>
        <w:rPr>
          <w:rFonts w:ascii="Times New Roman" w:hAnsi="Times New Roman" w:cs="Times New Roman" w:eastAsia="Times New Roman"/>
          <w:b/>
          <w:i w:val="0"/>
          <w:sz w:val="28"/>
        </w:rPr>
        <w:t>III. NGHIÊN CỨU CHUYÊN SÂU MÔ HÌNH MUA CHUNG PINTUAN (拼团)</w:t>
      </w:r>
    </w:p>
    <w:p>
      <w:pPr>
        <w:spacing w:before="120" w:after="80" w:line="312" w:lineRule="auto"/>
        <w:jc w:val="left"/>
      </w:pPr>
      <w:r>
        <w:rPr>
          <w:rFonts w:ascii="Times New Roman" w:hAnsi="Times New Roman" w:cs="Times New Roman" w:eastAsia="Times New Roman"/>
          <w:b/>
          <w:i w:val="0"/>
          <w:sz w:val="26"/>
        </w:rPr>
        <w:t>1. Nguồn gốc và triết lý cốt lõi</w:t>
      </w:r>
    </w:p>
    <w:p>
      <w:pPr>
        <w:spacing w:before="0" w:after="120" w:line="312" w:lineRule="auto"/>
        <w:ind w:firstLine="567"/>
        <w:jc w:val="both"/>
      </w:pPr>
      <w:r>
        <w:rPr>
          <w:rFonts w:ascii="Times New Roman" w:hAnsi="Times New Roman" w:cs="Times New Roman" w:eastAsia="Times New Roman"/>
          <w:b w:val="0"/>
          <w:i w:val="0"/>
          <w:sz w:val="26"/>
        </w:rPr>
        <w:t>Pintuan (拼团, nghĩa là ghép nhóm mua chung) là mô hình thương mại điện tử dựa trên mạng xã hội, trong đó người tiêu dùng chủ động tập hợp nhau thành từng nhóm để mua hàng với mức chiết khấu sâu trực tiếp từ nhà sản xuất. Mô hình này trở thành hiện tượng toàn cầu nhờ Pinduoduo tại Trung Quốc từ năm 2015, phá vỡ thế độc quyền của các nền tảng thương mại điện tử truyền thống.</w:t>
      </w:r>
    </w:p>
    <w:p>
      <w:pPr>
        <w:spacing w:before="0" w:after="120" w:line="312" w:lineRule="auto"/>
        <w:ind w:firstLine="567"/>
        <w:jc w:val="both"/>
      </w:pPr>
      <w:r>
        <w:rPr>
          <w:rFonts w:ascii="Times New Roman" w:hAnsi="Times New Roman" w:cs="Times New Roman" w:eastAsia="Times New Roman"/>
          <w:b w:val="0"/>
          <w:i w:val="0"/>
          <w:sz w:val="26"/>
        </w:rPr>
        <w:t>Khác với thương mại điện tử truyền thống vận hành theo cơ chế "Người tìm hàng", Pintuan vận hành theo triết lý "Hàng tìm người" thông qua tương tác xã hội. Ba trụ đỡ của triết lý này gồm: đổi tương tác lấy chiết khấu, khi khách hàng đánh đổi mối quan hệ xã hội và thời gian chia sẻ để nhận mức giá rẻ hơn từ 20% đến 70% so với giá bán lẻ thông thường; mô hình C2M (Consumer-to-Manufacturer), khi nền tảng gom hàng nghìn đơn hàng nhỏ lẻ thành một cụm cầu lớn trong thời gian ngắn rồi đặt trực tiếp từ nhà máy, cắt đứt ba đến bốn tầng trung gian phân phối; và tiết giảm chi phí tiếp thị, khi nền tảng biến chính người mua thành kênh tiếp thị tự nhiên.</w:t>
      </w:r>
    </w:p>
    <w:p>
      <w:pPr>
        <w:spacing w:before="120" w:after="80" w:line="312" w:lineRule="auto"/>
        <w:jc w:val="left"/>
      </w:pPr>
      <w:r>
        <w:rPr>
          <w:rFonts w:ascii="Times New Roman" w:hAnsi="Times New Roman" w:cs="Times New Roman" w:eastAsia="Times New Roman"/>
          <w:b/>
          <w:i w:val="0"/>
          <w:sz w:val="26"/>
        </w:rPr>
        <w:t>2. Cơ chế vận hành và vòng lặp tăng trưởng</w:t>
      </w:r>
    </w:p>
    <w:p>
      <w:pPr>
        <w:spacing w:before="0" w:after="120" w:line="312" w:lineRule="auto"/>
        <w:ind w:firstLine="567"/>
        <w:jc w:val="both"/>
      </w:pPr>
      <w:r>
        <w:rPr>
          <w:rFonts w:ascii="Times New Roman" w:hAnsi="Times New Roman" w:cs="Times New Roman" w:eastAsia="Times New Roman"/>
          <w:b w:val="0"/>
          <w:i w:val="0"/>
          <w:sz w:val="26"/>
        </w:rPr>
        <w:t>Quy trình mua sắm theo mô hình Pintuan cơ bản diễn ra qua bốn mắt xích liên hoàn:</w:t>
      </w:r>
    </w:p>
    <w:p>
      <w:pPr>
        <w:spacing w:before="0" w:after="60" w:line="312" w:lineRule="auto"/>
        <w:jc w:val="both"/>
      </w:pPr>
      <w:r>
        <w:rPr>
          <w:rFonts w:ascii="Times New Roman" w:hAnsi="Times New Roman" w:cs="Times New Roman" w:eastAsia="Times New Roman"/>
          <w:b w:val="0"/>
          <w:i w:val="0"/>
          <w:sz w:val="26"/>
        </w:rPr>
        <w:t>- Lựa chọn sản phẩm và mở nhóm (Trưởng nhóm): người mua đầu tiên thấy sản phẩm có hai mức giá là mua một mình theo giá gốc và mua chung theo giá ưu đãi; người này thanh toán mức giá mua chung để khởi tạo một nhóm mới.</w:t>
      </w:r>
    </w:p>
    <w:p>
      <w:pPr>
        <w:spacing w:before="0" w:after="60" w:line="312" w:lineRule="auto"/>
        <w:jc w:val="both"/>
      </w:pPr>
      <w:r>
        <w:rPr>
          <w:rFonts w:ascii="Times New Roman" w:hAnsi="Times New Roman" w:cs="Times New Roman" w:eastAsia="Times New Roman"/>
          <w:b w:val="0"/>
          <w:i w:val="0"/>
          <w:sz w:val="26"/>
        </w:rPr>
        <w:t>- Lan truyền qua mạng xã hội: trưởng nhóm gửi đường dẫn gom đơn qua Zalo, Messenger hoặc các nhóm cộng đồng để mời bạn bè, người thân cùng mua trong thời hạn quy định, thường từ 12 đến 24 giờ.</w:t>
      </w:r>
    </w:p>
    <w:p>
      <w:pPr>
        <w:spacing w:before="0" w:after="60" w:line="312" w:lineRule="auto"/>
        <w:jc w:val="both"/>
      </w:pPr>
      <w:r>
        <w:rPr>
          <w:rFonts w:ascii="Times New Roman" w:hAnsi="Times New Roman" w:cs="Times New Roman" w:eastAsia="Times New Roman"/>
          <w:b w:val="0"/>
          <w:i w:val="0"/>
          <w:sz w:val="26"/>
        </w:rPr>
        <w:t>- Ghép nhóm thành công: khi đủ số lượng thành viên tối thiểu, thường từ 2 đến 10 người tùy cấu hình mặt hàng, đơn hàng tự động kích hoạt trạng thái thành công, xưởng bắt đầu đóng gói và xuất kho giao đến từng địa chỉ.</w:t>
      </w:r>
    </w:p>
    <w:p>
      <w:pPr>
        <w:spacing w:before="0" w:after="60" w:line="312" w:lineRule="auto"/>
        <w:jc w:val="both"/>
      </w:pPr>
      <w:r>
        <w:rPr>
          <w:rFonts w:ascii="Times New Roman" w:hAnsi="Times New Roman" w:cs="Times New Roman" w:eastAsia="Times New Roman"/>
          <w:b w:val="0"/>
          <w:i w:val="0"/>
          <w:sz w:val="26"/>
        </w:rPr>
        <w:t>- Hủy nhóm và hoàn tiền: nếu hết thời gian quy định mà không gom đủ người, hệ thống tự động hoàn trả 100% tiền cho các thành viên qua cổng thanh toán.</w:t>
      </w:r>
    </w:p>
    <w:p>
      <w:pPr>
        <w:spacing w:before="120" w:after="80" w:line="312" w:lineRule="auto"/>
        <w:jc w:val="left"/>
      </w:pPr>
      <w:r>
        <w:rPr>
          <w:rFonts w:ascii="Times New Roman" w:hAnsi="Times New Roman" w:cs="Times New Roman" w:eastAsia="Times New Roman"/>
          <w:b/>
          <w:i w:val="0"/>
          <w:sz w:val="26"/>
        </w:rPr>
        <w:t>3. Các biến thể phổ biến của mô hình Pintuan</w:t>
      </w:r>
    </w:p>
    <w:p>
      <w:pPr>
        <w:spacing w:before="0" w:after="60" w:line="312" w:lineRule="auto"/>
        <w:jc w:val="both"/>
      </w:pPr>
      <w:r>
        <w:rPr>
          <w:rFonts w:ascii="Times New Roman" w:hAnsi="Times New Roman" w:cs="Times New Roman" w:eastAsia="Times New Roman"/>
          <w:b w:val="0"/>
          <w:i w:val="0"/>
          <w:sz w:val="26"/>
        </w:rPr>
        <w:t>- Pintuan truyền thống (Classic Group Buying): quy mô nhóm nhỏ từ 2 đến 5 người, tập trung vào sản phẩm tiêu dùng nhanh và đồ gia dụng nhỏ, chuyển phát tận nhà.</w:t>
      </w:r>
    </w:p>
    <w:p>
      <w:pPr>
        <w:spacing w:before="0" w:after="60" w:line="312" w:lineRule="auto"/>
        <w:jc w:val="both"/>
      </w:pPr>
      <w:r>
        <w:rPr>
          <w:rFonts w:ascii="Times New Roman" w:hAnsi="Times New Roman" w:cs="Times New Roman" w:eastAsia="Times New Roman"/>
          <w:b w:val="0"/>
          <w:i w:val="0"/>
          <w:sz w:val="26"/>
        </w:rPr>
        <w:t>- Đoàn mua cộng đồng (Community Group Buying): mô hình O2O kết hợp nền tảng trực tuyến với điểm nhận hàng vật lý tại khu dân cư; một trưởng đoàn gom đơn của cả khu phố, nền tảng chuyển một chuyến xe lớn về điểm tập kết để người dân tự ghé lấy, giải quyết triệt để bài toán chi phí giao hàng chặng cuối cho hàng tươi sống và nông sản.</w:t>
      </w:r>
    </w:p>
    <w:p>
      <w:pPr>
        <w:spacing w:before="0" w:after="60" w:line="312" w:lineRule="auto"/>
        <w:jc w:val="both"/>
      </w:pPr>
      <w:r>
        <w:rPr>
          <w:rFonts w:ascii="Times New Roman" w:hAnsi="Times New Roman" w:cs="Times New Roman" w:eastAsia="Times New Roman"/>
          <w:b w:val="0"/>
          <w:i w:val="0"/>
          <w:sz w:val="26"/>
        </w:rPr>
        <w:t>- Pintuan bậc thang (Tiered Group Buying): càng đông người tham gia thì giá càng giảm sâu, thường dùng cho các đợt mở bán bộ sưu tập mới, thiết bị điện tử hoặc gom sỉ cho các tiểu thương.</w:t>
      </w:r>
    </w:p>
    <w:p>
      <w:pPr>
        <w:spacing w:before="0" w:after="60" w:line="312" w:lineRule="auto"/>
        <w:jc w:val="both"/>
      </w:pPr>
      <w:r>
        <w:rPr>
          <w:rFonts w:ascii="Times New Roman" w:hAnsi="Times New Roman" w:cs="Times New Roman" w:eastAsia="Times New Roman"/>
          <w:b w:val="0"/>
          <w:i w:val="0"/>
          <w:sz w:val="26"/>
        </w:rPr>
        <w:t>- Pintuan may mắn (Lucky Draw Pintuan): nhóm từ 10 đến 100 người cùng ghép mua một sản phẩm giá trị cao với giá tượng trưng; khi đủ người, hệ thống quay số chọn một người nhận sản phẩm, những người còn lại được hoàn 100% tiền gốc kèm ưu đãi hoặc điểm thưởng an ủi.</w:t>
      </w:r>
    </w:p>
    <w:p>
      <w:pPr>
        <w:spacing w:before="120" w:after="80" w:line="312" w:lineRule="auto"/>
        <w:jc w:val="left"/>
      </w:pPr>
      <w:r>
        <w:rPr>
          <w:rFonts w:ascii="Times New Roman" w:hAnsi="Times New Roman" w:cs="Times New Roman" w:eastAsia="Times New Roman"/>
          <w:b/>
          <w:i w:val="0"/>
          <w:sz w:val="26"/>
        </w:rPr>
        <w:t>4. Lợi thế kinh doanh và thách thức thực thi</w:t>
      </w:r>
    </w:p>
    <w:p>
      <w:pPr>
        <w:spacing w:before="0" w:after="60" w:line="312" w:lineRule="auto"/>
        <w:jc w:val="both"/>
      </w:pPr>
      <w:r>
        <w:rPr>
          <w:rFonts w:ascii="Times New Roman" w:hAnsi="Times New Roman" w:cs="Times New Roman" w:eastAsia="Times New Roman"/>
          <w:b w:val="0"/>
          <w:i w:val="0"/>
          <w:sz w:val="26"/>
        </w:rPr>
        <w:t>- Lợi thế thanh lý tồn kho tốc độ cao: nhà sản xuất xả nhanh hàng tồn theo lô mà không làm vỡ cấu trúc giá bán lẻ niêm yết trên thị trường.</w:t>
      </w:r>
    </w:p>
    <w:p>
      <w:pPr>
        <w:spacing w:before="0" w:after="60" w:line="312" w:lineRule="auto"/>
        <w:jc w:val="both"/>
      </w:pPr>
      <w:r>
        <w:rPr>
          <w:rFonts w:ascii="Times New Roman" w:hAnsi="Times New Roman" w:cs="Times New Roman" w:eastAsia="Times New Roman"/>
          <w:b w:val="0"/>
          <w:i w:val="0"/>
          <w:sz w:val="26"/>
        </w:rPr>
        <w:t>- Lợi thế tỷ lệ chuyển đổi đơn cao nhờ hiệu ứng tâm lý đám đông và sự bảo chứng niềm tin từ chính người quen chia sẻ đường dẫn.</w:t>
      </w:r>
    </w:p>
    <w:p>
      <w:pPr>
        <w:spacing w:before="0" w:after="60" w:line="312" w:lineRule="auto"/>
        <w:jc w:val="both"/>
      </w:pPr>
      <w:r>
        <w:rPr>
          <w:rFonts w:ascii="Times New Roman" w:hAnsi="Times New Roman" w:cs="Times New Roman" w:eastAsia="Times New Roman"/>
          <w:b w:val="0"/>
          <w:i w:val="0"/>
          <w:sz w:val="26"/>
        </w:rPr>
        <w:t>- Lợi thế thu thập dữ liệu nhu cầu chính xác: doanh nghiệp sản xuất đúng số lượng đơn gom được, hạn chế rủi ro tồn đọng vốn nguyên vật liệu.</w:t>
      </w:r>
    </w:p>
    <w:p>
      <w:pPr>
        <w:spacing w:before="0" w:after="60" w:line="312" w:lineRule="auto"/>
        <w:jc w:val="both"/>
      </w:pPr>
      <w:r>
        <w:rPr>
          <w:rFonts w:ascii="Times New Roman" w:hAnsi="Times New Roman" w:cs="Times New Roman" w:eastAsia="Times New Roman"/>
          <w:b w:val="0"/>
          <w:i w:val="0"/>
          <w:sz w:val="26"/>
        </w:rPr>
        <w:t>- Thách thức biên lợi nhuận mỏng: cạnh tranh khốc liệt về giá đòi hỏi năng lực kiểm soát chi phí vận hành và logistics cực kỳ tinh gọn.</w:t>
      </w:r>
    </w:p>
    <w:p>
      <w:pPr>
        <w:spacing w:before="0" w:after="60" w:line="312" w:lineRule="auto"/>
        <w:jc w:val="both"/>
      </w:pPr>
      <w:r>
        <w:rPr>
          <w:rFonts w:ascii="Times New Roman" w:hAnsi="Times New Roman" w:cs="Times New Roman" w:eastAsia="Times New Roman"/>
          <w:b w:val="0"/>
          <w:i w:val="0"/>
          <w:sz w:val="26"/>
        </w:rPr>
        <w:t>- Thách thức rủi ro chất lượng: xu hướng ép giá xuống đáy rất dễ dẫn đến hàng hóa kém chất lượng, gây xói mòn uy tín nền tảng nếu không kiểm định nguồn cung chặt chẽ.</w:t>
      </w:r>
    </w:p>
    <w:p>
      <w:pPr>
        <w:spacing w:before="0" w:after="60" w:line="312" w:lineRule="auto"/>
        <w:jc w:val="both"/>
      </w:pPr>
      <w:r>
        <w:rPr>
          <w:rFonts w:ascii="Times New Roman" w:hAnsi="Times New Roman" w:cs="Times New Roman" w:eastAsia="Times New Roman"/>
          <w:b w:val="0"/>
          <w:i w:val="0"/>
          <w:sz w:val="26"/>
        </w:rPr>
        <w:t>- Thách thức tâm lý phiền hà: nếu sản phẩm không thực sự hấp dẫn, việc liên tục gửi đường dẫn nhờ bạn bè ghép đơn dễ gây cảm giác làm phiền trên mạng xã hội cá nhân.</w:t>
      </w:r>
    </w:p>
    <w:p>
      <w:pPr>
        <w:spacing w:before="120" w:after="80" w:line="312" w:lineRule="auto"/>
        <w:jc w:val="left"/>
      </w:pPr>
      <w:r>
        <w:rPr>
          <w:rFonts w:ascii="Times New Roman" w:hAnsi="Times New Roman" w:cs="Times New Roman" w:eastAsia="Times New Roman"/>
          <w:b/>
          <w:i w:val="0"/>
          <w:sz w:val="26"/>
        </w:rPr>
        <w:t>5. Năm nguồn thu của mô hình Pintuan</w:t>
      </w:r>
    </w:p>
    <w:p>
      <w:pPr>
        <w:spacing w:before="0" w:after="120" w:line="312" w:lineRule="auto"/>
        <w:ind w:firstLine="567"/>
        <w:jc w:val="both"/>
      </w:pPr>
      <w:r>
        <w:rPr>
          <w:rFonts w:ascii="Times New Roman" w:hAnsi="Times New Roman" w:cs="Times New Roman" w:eastAsia="Times New Roman"/>
          <w:b w:val="0"/>
          <w:i w:val="0"/>
          <w:sz w:val="26"/>
        </w:rPr>
        <w:t>Nền tảng Pintuan không kiếm tiền bằng cách bán đắt cho người tiêu dùng mà thương mại hóa lưu lượng truy cập và dịch vụ dành cho người bán thông qua năm nguồn thu cốt lõi:</w:t>
      </w:r>
    </w:p>
    <w:p>
      <w:pPr>
        <w:spacing w:before="0" w:after="60" w:line="312" w:lineRule="auto"/>
        <w:jc w:val="both"/>
      </w:pPr>
      <w:r>
        <w:rPr>
          <w:rFonts w:ascii="Times New Roman" w:hAnsi="Times New Roman" w:cs="Times New Roman" w:eastAsia="Times New Roman"/>
          <w:b w:val="0"/>
          <w:i w:val="0"/>
          <w:sz w:val="26"/>
        </w:rPr>
        <w:t>- Dịch vụ tiếp thị trực tuyến và quảng cáo (chiếm 70% đến 80% doanh thu): khi hàng triệu người dùng liên tục chia sẻ đường dẫn gom nhóm, nền tảng có lưu lượng truy cập khổng lồ; nhà sản xuất và người bán phải chi tiền đấu thầu quảng cáo từ khóa, mua vị trí hiển thị ưu tiên hoặc suất xuất hiện đầu trong các mục ghép nhóm.</w:t>
      </w:r>
    </w:p>
    <w:p>
      <w:pPr>
        <w:spacing w:before="0" w:after="60" w:line="312" w:lineRule="auto"/>
        <w:jc w:val="both"/>
      </w:pPr>
      <w:r>
        <w:rPr>
          <w:rFonts w:ascii="Times New Roman" w:hAnsi="Times New Roman" w:cs="Times New Roman" w:eastAsia="Times New Roman"/>
          <w:b w:val="0"/>
          <w:i w:val="0"/>
          <w:sz w:val="26"/>
        </w:rPr>
        <w:t>- Phí hoa hồng giao dịch và thanh toán: mỗi nhóm gom đơn thành công, nền tảng trích một tỷ lệ phần trăm từ người bán, thường dao động từ 0,6% đến 5% tùy ngành hàng.</w:t>
      </w:r>
    </w:p>
    <w:p>
      <w:pPr>
        <w:spacing w:before="0" w:after="60" w:line="312" w:lineRule="auto"/>
        <w:jc w:val="both"/>
      </w:pPr>
      <w:r>
        <w:rPr>
          <w:rFonts w:ascii="Times New Roman" w:hAnsi="Times New Roman" w:cs="Times New Roman" w:eastAsia="Times New Roman"/>
          <w:b w:val="0"/>
          <w:i w:val="0"/>
          <w:sz w:val="26"/>
        </w:rPr>
        <w:t>- Chênh lệch giá và phí logistics chuỗi cung ứng: ở các mô hình mua chung cộng đồng hoặc đơn hàng C2M tự vận hành, nền tảng gom cầu số lượng lớn rồi đàm phán mua đứt tận xưởng với giá gốc rất thấp, sau đó phân phối lại theo giá bán lẻ ưu đãi để hưởng biên lợi nhuận chênh lệch.</w:t>
      </w:r>
    </w:p>
    <w:p>
      <w:pPr>
        <w:spacing w:before="0" w:after="60" w:line="312" w:lineRule="auto"/>
        <w:jc w:val="both"/>
      </w:pPr>
      <w:r>
        <w:rPr>
          <w:rFonts w:ascii="Times New Roman" w:hAnsi="Times New Roman" w:cs="Times New Roman" w:eastAsia="Times New Roman"/>
          <w:b w:val="0"/>
          <w:i w:val="0"/>
          <w:sz w:val="26"/>
        </w:rPr>
        <w:t>- Lợi nhuận tài chính từ dòng tiền nhàn rỗi (Float và Escrow): khách hàng thanh toán ngay khi mở nhóm; trong suốt chu kỳ gom nhóm, đóng gói, vận chuyển đến khi khách xác nhận nhận hàng, nền tảng nắm giữ một khối lượng tiền mặt lớn và hưởng lãi tiền gửi, đồng thời mở đường cung cấp dịch vụ tài chính phái sinh cho nhà xưởng.</w:t>
      </w:r>
    </w:p>
    <w:p>
      <w:pPr>
        <w:spacing w:before="0" w:after="60" w:line="312" w:lineRule="auto"/>
        <w:jc w:val="both"/>
      </w:pPr>
      <w:r>
        <w:rPr>
          <w:rFonts w:ascii="Times New Roman" w:hAnsi="Times New Roman" w:cs="Times New Roman" w:eastAsia="Times New Roman"/>
          <w:b w:val="0"/>
          <w:i w:val="0"/>
          <w:sz w:val="26"/>
        </w:rPr>
        <w:t>- Tiền ký quỹ và dịch vụ dữ liệu C2M: người bán muốn mở gian hàng phải nộp một khoản ký quỹ bảo đảm chất lượng; nền tảng cũng cung cấp các gói phân tích dữ liệu xu hướng tiêu dùng và dự báo thị hiếu cho nhà sản xuất.</w:t>
      </w:r>
    </w:p>
    <w:p>
      <w:pPr>
        <w:spacing w:before="120" w:after="80" w:line="312" w:lineRule="auto"/>
        <w:jc w:val="left"/>
      </w:pPr>
      <w:r>
        <w:rPr>
          <w:rFonts w:ascii="Times New Roman" w:hAnsi="Times New Roman" w:cs="Times New Roman" w:eastAsia="Times New Roman"/>
          <w:b/>
          <w:i w:val="0"/>
          <w:sz w:val="26"/>
        </w:rPr>
        <w:t>6. Lằn ranh giữa Pintuan chân chính và biến tướng tài chính</w:t>
      </w:r>
    </w:p>
    <w:p>
      <w:pPr>
        <w:spacing w:before="0" w:after="120" w:line="312" w:lineRule="auto"/>
        <w:ind w:firstLine="567"/>
        <w:jc w:val="both"/>
      </w:pPr>
      <w:r>
        <w:rPr>
          <w:rFonts w:ascii="Times New Roman" w:hAnsi="Times New Roman" w:cs="Times New Roman" w:eastAsia="Times New Roman"/>
          <w:b w:val="0"/>
          <w:i w:val="0"/>
          <w:sz w:val="26"/>
        </w:rPr>
        <w:t>Tại thị trường Đông Nam Á và Việt Nam, mô hình này từng bị biến tướng thành các chiêu trò huy động vốn trái phép, gây thiệt hại lớn cho người tham gia và làm xói mòn niềm tin của công chúng đối với mô hình mua chung. Việc phân định rõ ranh giới giữa mô hình chân chính và biến tướng là điều kiện tiên quyết để VComm xây dựng nền tảng một cách hợp pháp và bền vững.</w:t>
      </w:r>
    </w:p>
    <w:p>
      <w:pPr>
        <w:spacing w:before="0" w:after="60" w:line="312" w:lineRule="auto"/>
        <w:jc w:val="both"/>
      </w:pPr>
      <w:r>
        <w:rPr>
          <w:rFonts w:ascii="Times New Roman" w:hAnsi="Times New Roman" w:cs="Times New Roman" w:eastAsia="Times New Roman"/>
          <w:b w:val="0"/>
          <w:i w:val="0"/>
          <w:sz w:val="26"/>
        </w:rPr>
        <w:t>- Pintuan thương mại điện tử chân chính: mục tiêu duy nhất là bán và luân chuyển hàng hóa vật lý thật; người dùng thanh toán để nhận sản phẩm thật về nhà sử dụng; lợi nhuận đến từ chi phí chuỗi cung ứng được cắt giảm.</w:t>
      </w:r>
    </w:p>
    <w:p>
      <w:pPr>
        <w:spacing w:before="0" w:after="60" w:line="312" w:lineRule="auto"/>
        <w:jc w:val="both"/>
      </w:pPr>
      <w:r>
        <w:rPr>
          <w:rFonts w:ascii="Times New Roman" w:hAnsi="Times New Roman" w:cs="Times New Roman" w:eastAsia="Times New Roman"/>
          <w:b w:val="0"/>
          <w:i w:val="0"/>
          <w:sz w:val="26"/>
        </w:rPr>
        <w:t>- Pintuan biến tướng ("giật đơn" hoặc giả mua chung): người tham gia không có nhu cầu lấy hàng mà chỉ nạp tiền để "ghép đơn ảo", sau đó nhận lại tiền gốc cộng lãi suất từ 1% đến 3% mỗi ngày; bản chất là dùng tiền của người vào sau trả lãi cho người vào trước, tức mô hình Ponzi, ẩn dưới lớp vỏ sàn thương mại điện tử.</w:t>
      </w:r>
    </w:p>
    <w:p>
      <w:pPr>
        <w:spacing w:before="120" w:after="80" w:line="312" w:lineRule="auto"/>
        <w:jc w:val="left"/>
      </w:pPr>
      <w:r>
        <w:rPr>
          <w:rFonts w:ascii="Times New Roman" w:hAnsi="Times New Roman" w:cs="Times New Roman" w:eastAsia="Times New Roman"/>
          <w:b/>
          <w:i w:val="0"/>
          <w:sz w:val="26"/>
        </w:rPr>
        <w:t>7. Ứng dụng mô hình Pintuan vào hệ sinh thái O2O của VComm</w:t>
      </w:r>
    </w:p>
    <w:p>
      <w:pPr>
        <w:spacing w:before="0" w:after="120" w:line="312" w:lineRule="auto"/>
        <w:ind w:firstLine="567"/>
        <w:jc w:val="both"/>
      </w:pPr>
      <w:r>
        <w:rPr>
          <w:rFonts w:ascii="Times New Roman" w:hAnsi="Times New Roman" w:cs="Times New Roman" w:eastAsia="Times New Roman"/>
          <w:b w:val="0"/>
          <w:i w:val="0"/>
          <w:sz w:val="26"/>
        </w:rPr>
        <w:t>Đối với dự án xây dựng hệ sinh thái bán lẻ đa kênh có mạng lưới điểm bán vật lý, Pintuan phát huy hiệu quả khi được triển khai theo mô hình đoàn mua cộng đồng. VComm lựa chọn mô hình này làm trụ cột tăng trưởng thứ tư trong bảy trụ cột hệ sinh thái, với ba cơ chế cộng hưởng cụ thể:</w:t>
      </w:r>
    </w:p>
    <w:p>
      <w:pPr>
        <w:spacing w:before="0" w:after="60" w:line="312" w:lineRule="auto"/>
        <w:jc w:val="both"/>
      </w:pPr>
      <w:r>
        <w:rPr>
          <w:rFonts w:ascii="Times New Roman" w:hAnsi="Times New Roman" w:cs="Times New Roman" w:eastAsia="Times New Roman"/>
          <w:b w:val="0"/>
          <w:i w:val="0"/>
          <w:sz w:val="26"/>
        </w:rPr>
        <w:t>- Dùng Trạm Hub O2O làm điểm nhận hàng: các đơn mua chung được gom giao tập trung về một Trạm Hub địa phương và người mua ghé lấy, cắt giảm từ 40% đến 50% chi phí logistics so với giao từng đơn lẻ với chi phí 20.000 đến 30.000 đồng mỗi đơn.</w:t>
      </w:r>
    </w:p>
    <w:p>
      <w:pPr>
        <w:spacing w:before="0" w:after="60" w:line="312" w:lineRule="auto"/>
        <w:jc w:val="both"/>
      </w:pPr>
      <w:r>
        <w:rPr>
          <w:rFonts w:ascii="Times New Roman" w:hAnsi="Times New Roman" w:cs="Times New Roman" w:eastAsia="Times New Roman"/>
          <w:b w:val="0"/>
          <w:i w:val="0"/>
          <w:sz w:val="26"/>
        </w:rPr>
        <w:t>- Tạo dòng khách ghé cửa hàng: khách đến Trạm Hub nhận hàng mua chung sẽ phát sinh thêm nhu cầu mua sắm tại chỗ các mặt hàng tiêu dùng thường nhật khác.</w:t>
      </w:r>
    </w:p>
    <w:p>
      <w:pPr>
        <w:spacing w:before="0" w:after="60" w:line="312" w:lineRule="auto"/>
        <w:jc w:val="both"/>
      </w:pPr>
      <w:r>
        <w:rPr>
          <w:rFonts w:ascii="Times New Roman" w:hAnsi="Times New Roman" w:cs="Times New Roman" w:eastAsia="Times New Roman"/>
          <w:b w:val="0"/>
          <w:i w:val="0"/>
          <w:sz w:val="26"/>
        </w:rPr>
        <w:t>- Tích hợp thanh toán số và tích điểm: sử dụng ví điện tử hoặc điểm tích lũy nội bộ để hoàn tiền tự động khi nhóm ghép đơn thành công, giữ chân khách hàng tiếp tục quay vòng mua sắm trong hệ sinh thái.</w:t>
      </w:r>
    </w:p>
    <w:p>
      <w:pPr>
        <w:spacing w:before="200" w:after="120" w:line="312" w:lineRule="auto"/>
        <w:jc w:val="left"/>
      </w:pPr>
      <w:r>
        <w:rPr>
          <w:rFonts w:ascii="Times New Roman" w:hAnsi="Times New Roman" w:cs="Times New Roman" w:eastAsia="Times New Roman"/>
          <w:b/>
          <w:i w:val="0"/>
          <w:sz w:val="28"/>
        </w:rPr>
        <w:t>IV. TUYÊN NGÔN GIÁ TRỊ CỐT LÕI CHO BỐN CHỦ THỂ</w:t>
      </w:r>
    </w:p>
    <w:p>
      <w:pPr>
        <w:spacing w:before="0" w:after="60" w:line="312" w:lineRule="auto"/>
        <w:jc w:val="both"/>
      </w:pPr>
      <w:r>
        <w:rPr>
          <w:rFonts w:ascii="Times New Roman" w:hAnsi="Times New Roman" w:cs="Times New Roman" w:eastAsia="Times New Roman"/>
          <w:b w:val="0"/>
          <w:i w:val="0"/>
          <w:sz w:val="26"/>
        </w:rPr>
        <w:t>- Đối với người tiêu dùng: tiếp cận hàng hóa chất lượng cao từ tận xưởng sản xuất với giá rẻ hơn từ 20% đến 40% thông qua mua chung; trải nghiệm nhận hàng linh hoạt không tốn phí vận chuyển; hệ thống tích điểm liên minh dùng chung trên toàn bộ điểm bán.</w:t>
      </w:r>
    </w:p>
    <w:p>
      <w:pPr>
        <w:spacing w:before="0" w:after="60" w:line="312" w:lineRule="auto"/>
        <w:jc w:val="both"/>
      </w:pPr>
      <w:r>
        <w:rPr>
          <w:rFonts w:ascii="Times New Roman" w:hAnsi="Times New Roman" w:cs="Times New Roman" w:eastAsia="Times New Roman"/>
          <w:b w:val="0"/>
          <w:i w:val="0"/>
          <w:sz w:val="26"/>
        </w:rPr>
        <w:t>- Đối với chủ điểm bán vật lý (Trạm Hub O2O): nhận hoa hồng giao nhận kiện hàng từ 3% đến 5%; hưởng trọn lưu lượng khách ghé thăm để bán thêm hàng hóa tại quầy, giúp tăng doanh thu tại chỗ từ 25% đến 35%; được trang bị miễn phí phần mềm quản lý bán hàng chuẩn hóa và công cụ xuất hóa đơn điện tử.</w:t>
      </w:r>
    </w:p>
    <w:p>
      <w:pPr>
        <w:spacing w:before="0" w:after="60" w:line="312" w:lineRule="auto"/>
        <w:jc w:val="both"/>
      </w:pPr>
      <w:r>
        <w:rPr>
          <w:rFonts w:ascii="Times New Roman" w:hAnsi="Times New Roman" w:cs="Times New Roman" w:eastAsia="Times New Roman"/>
          <w:b w:val="0"/>
          <w:i w:val="0"/>
          <w:sz w:val="26"/>
        </w:rPr>
        <w:t>- Đối với nhà sản xuất và xưởng cung ứng: dự báo chính xác sản lượng sản xuất nhờ dữ liệu gom đơn mua chung; giải phóng hàng tồn kho quy mô lớn; tiếp cận trực tiếp mạng lưới hàng chục nghìn điểm bán mà không cần xây dựng đội ngũ tiếp thị cồng kềnh.</w:t>
      </w:r>
    </w:p>
    <w:p>
      <w:pPr>
        <w:spacing w:before="0" w:after="60" w:line="312" w:lineRule="auto"/>
        <w:jc w:val="both"/>
      </w:pPr>
      <w:r>
        <w:rPr>
          <w:rFonts w:ascii="Times New Roman" w:hAnsi="Times New Roman" w:cs="Times New Roman" w:eastAsia="Times New Roman"/>
          <w:b w:val="0"/>
          <w:i w:val="0"/>
          <w:sz w:val="26"/>
        </w:rPr>
        <w:t>- Đối với Sàn VComm: xây dựng hệ sinh thái khép kín từ thương mại, dịch vụ logistics chặng cuối đến dịch vụ tài chính nhúng, biến lưu lượng truy cập và dữ liệu người dùng thành các dòng doanh thu bền vững.</w:t>
      </w:r>
    </w:p>
    <w:p>
      <w:pPr>
        <w:spacing w:before="200" w:after="120" w:line="312" w:lineRule="auto"/>
        <w:jc w:val="left"/>
      </w:pPr>
      <w:r>
        <w:rPr>
          <w:rFonts w:ascii="Times New Roman" w:hAnsi="Times New Roman" w:cs="Times New Roman" w:eastAsia="Times New Roman"/>
          <w:b/>
          <w:i w:val="0"/>
          <w:sz w:val="28"/>
        </w:rPr>
        <w:t>V. BẢY TRỤ CỘT CẤU THÀNH HỆ SINH THÁI VCOMM</w:t>
      </w:r>
    </w:p>
    <w:p>
      <w:pPr>
        <w:spacing w:before="0" w:after="60" w:line="312" w:lineRule="auto"/>
        <w:jc w:val="both"/>
      </w:pPr>
      <w:r>
        <w:rPr>
          <w:rFonts w:ascii="Times New Roman" w:hAnsi="Times New Roman" w:cs="Times New Roman" w:eastAsia="Times New Roman"/>
          <w:b w:val="0"/>
          <w:i w:val="0"/>
          <w:sz w:val="26"/>
        </w:rPr>
        <w:t>- Trụ cột 1 - VComm iPOS: giải pháp quản lý bán hàng đa năng tại quầy, xuất hóa đơn điện tử khởi tạo từ máy tính tiền kết nối trực tiếp cơ quan thuế, hỗ trợ thanh toán mã QR động và chế độ ngoại tuyến thực sự.</w:t>
      </w:r>
    </w:p>
    <w:p>
      <w:pPr>
        <w:spacing w:before="0" w:after="60" w:line="312" w:lineRule="auto"/>
        <w:jc w:val="both"/>
      </w:pPr>
      <w:r>
        <w:rPr>
          <w:rFonts w:ascii="Times New Roman" w:hAnsi="Times New Roman" w:cs="Times New Roman" w:eastAsia="Times New Roman"/>
          <w:b w:val="0"/>
          <w:i w:val="0"/>
          <w:sz w:val="26"/>
        </w:rPr>
        <w:t>- Trụ cột 2 - Trạm Hub O2O: mạng lưới tiệm tạp hóa và siêu thị mini làm "kho vệ tinh" chặng cuối, nhận hàng gom lô lớn từ trung tâm phân loại và bàn giao cho người mua trong khu dân cư.</w:t>
      </w:r>
    </w:p>
    <w:p>
      <w:pPr>
        <w:spacing w:before="0" w:after="60" w:line="312" w:lineRule="auto"/>
        <w:jc w:val="both"/>
      </w:pPr>
      <w:r>
        <w:rPr>
          <w:rFonts w:ascii="Times New Roman" w:hAnsi="Times New Roman" w:cs="Times New Roman" w:eastAsia="Times New Roman"/>
          <w:b w:val="0"/>
          <w:i w:val="0"/>
          <w:sz w:val="26"/>
        </w:rPr>
        <w:t>- Trụ cột 3 - Chuỗi cung ứng F2B2B Cross-docking: cổng nhập sỉ trực tiếp từ nhà máy dành riêng cho các chủ tiệm Hub, luân chuyển hàng hóa nhanh và không lưu kho trung gian quá 24 giờ.</w:t>
      </w:r>
    </w:p>
    <w:p>
      <w:pPr>
        <w:spacing w:before="0" w:after="60" w:line="312" w:lineRule="auto"/>
        <w:jc w:val="both"/>
      </w:pPr>
      <w:r>
        <w:rPr>
          <w:rFonts w:ascii="Times New Roman" w:hAnsi="Times New Roman" w:cs="Times New Roman" w:eastAsia="Times New Roman"/>
          <w:b w:val="0"/>
          <w:i w:val="0"/>
          <w:sz w:val="26"/>
        </w:rPr>
        <w:t>- Trụ cột 4 - Mua chung V-Pintuan: tính năng mua sắm cộng đồng trên ứng dụng, cho phép nhóm từ 2 đến 10 người cùng ghép đơn để hưởng giá sỉ xuất xưởng và giao tập trung về Trạm Hub.</w:t>
      </w:r>
    </w:p>
    <w:p>
      <w:pPr>
        <w:spacing w:before="0" w:after="60" w:line="312" w:lineRule="auto"/>
        <w:jc w:val="both"/>
      </w:pPr>
      <w:r>
        <w:rPr>
          <w:rFonts w:ascii="Times New Roman" w:hAnsi="Times New Roman" w:cs="Times New Roman" w:eastAsia="Times New Roman"/>
          <w:b w:val="0"/>
          <w:i w:val="0"/>
          <w:sz w:val="26"/>
        </w:rPr>
        <w:t>- Trụ cột 5 - VComm Mall và Omnichannel Inventory: sàn thương mại điện tử đồng bộ tồn kho thời gian thực với các cửa hàng vật lý, hỗ trợ giao hàng hỏa tốc từ 1 đến 2 giờ từ Trạm Hub gần nhất hoặc đổi trả chéo kênh.</w:t>
      </w:r>
    </w:p>
    <w:p>
      <w:pPr>
        <w:spacing w:before="0" w:after="60" w:line="312" w:lineRule="auto"/>
        <w:jc w:val="both"/>
      </w:pPr>
      <w:r>
        <w:rPr>
          <w:rFonts w:ascii="Times New Roman" w:hAnsi="Times New Roman" w:cs="Times New Roman" w:eastAsia="Times New Roman"/>
          <w:b w:val="0"/>
          <w:i w:val="0"/>
          <w:sz w:val="26"/>
        </w:rPr>
        <w:t>- Trụ cột 6 - Mạng lưới tiếp thị liên kết và KOC (V-Affiliate): biến người mua hàng và chủ trạm Hub thành các đại sứ bán hàng cộng đồng, chia sẻ liên kết sản phẩm và nhận hoa hồng tự động.</w:t>
      </w:r>
    </w:p>
    <w:p>
      <w:pPr>
        <w:spacing w:before="0" w:after="60" w:line="312" w:lineRule="auto"/>
        <w:jc w:val="both"/>
      </w:pPr>
      <w:r>
        <w:rPr>
          <w:rFonts w:ascii="Times New Roman" w:hAnsi="Times New Roman" w:cs="Times New Roman" w:eastAsia="Times New Roman"/>
          <w:b w:val="0"/>
          <w:i w:val="0"/>
          <w:sz w:val="26"/>
        </w:rPr>
        <w:t>- Trụ cột 7 - VComm Finance: tích hợp hạ tầng cổng thanh toán, ví điểm thưởng V-Xu, quy trình ký quỹ bảo vệ dòng tiền và dịch vụ cấp vốn ứng trước cho tiểu thương dựa trên dữ liệu doanh thu tại quầy.</w:t>
      </w:r>
    </w:p>
    <w:p>
      <w:pPr>
        <w:spacing w:before="200" w:after="120" w:line="312" w:lineRule="auto"/>
        <w:jc w:val="left"/>
      </w:pPr>
      <w:r>
        <w:rPr>
          <w:rFonts w:ascii="Times New Roman" w:hAnsi="Times New Roman" w:cs="Times New Roman" w:eastAsia="Times New Roman"/>
          <w:b/>
          <w:i w:val="0"/>
          <w:sz w:val="28"/>
        </w:rPr>
        <w:t>VI. CƠ CẤU NĂM DÒNG DOANH THU CỐT LÕI</w:t>
      </w:r>
    </w:p>
    <w:p>
      <w:pPr>
        <w:spacing w:before="0" w:after="120" w:line="312" w:lineRule="auto"/>
        <w:ind w:firstLine="567"/>
        <w:jc w:val="both"/>
      </w:pPr>
      <w:r>
        <w:rPr>
          <w:rFonts w:ascii="Times New Roman" w:hAnsi="Times New Roman" w:cs="Times New Roman" w:eastAsia="Times New Roman"/>
          <w:b w:val="0"/>
          <w:i w:val="0"/>
          <w:sz w:val="26"/>
        </w:rPr>
        <w:t>Doanh thu của Sàn VComm được thiết kế dựa trên năm dòng thu bền vững, trong đó dịch vụ tiếp thị và quảng cáo chiếm tỷ trọng lớn nhất, đúng với bản chất thương mại hóa lưu lượng truy cập của mô hình mua chung. Cơ cấu doanh thu mục tiêu đến năm 2030 được xác định như sau:</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Hạng mục doanh thu</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Nguồn tạo doanh thu</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Tỷ trọng mục tiêu (Năm 5 - 2030)</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Doanh thu năm 2030 (Tỷ VNĐ)</w:t>
            </w:r>
          </w:p>
        </w:tc>
        <w:tc>
          <w:tcPr>
            <w:tcW w:type="dxa" w:w="181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Mô tả cơ chế thu phí</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 Phí hoa hồng giao dịch (Take Rate)</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Đơn hàng thương mại điện tử và mua chung</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1.008,0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Thu từ 1,5% đến 3,5% trên giá trị đơn hàng thành công từ nhà bán và xưởng.</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 Dịch vụ tiếp thị và quảng cáo</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Nhà sản xuất, thương hiệu</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35%</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1.176,0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Đấu thầu từ khóa, vị trí banner trang chủ, suất xuất hiện trong mục ưu đãi mua chung.</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 Chênh lệch phân phối sỉ F2B2B</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Chuỗi cung ứng Cross-docking</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15%</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504,0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Biên lợi nhuận từ 4% đến 8% khi bao tiêu số lượng lớn từ nhà máy phân phối cho các Trạm Hub.</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 Phí dịch vụ Trạm Hub logistics</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Điều phối vận tải gom lô</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Thu phí quản lý hạ tầng giao nhận chặng cuối và điều phối đơn nhận tại trạm.</w:t>
            </w:r>
          </w:p>
        </w:tc>
      </w:tr>
      <w:tr>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5. Dịch vụ tài chính và thu nhập từ dòng tiền</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Dòng tiền ký quỹ và dịch vụ tài chính nhúng</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336,0</w:t>
            </w:r>
          </w:p>
        </w:tc>
        <w:tc>
          <w:tcPr>
            <w:tcW w:type="dxa" w:w="181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Lãi tiền gửi từ dòng tiền ký quỹ trong chu kỳ thanh toán T+3 đến T+7 và phí kết nối cấp vốn tiểu thương.</w:t>
            </w:r>
          </w:p>
        </w:tc>
      </w:tr>
    </w:tbl>
    <w:p>
      <w:pPr>
        <w:spacing w:after="0"/>
      </w:pPr>
    </w:p>
    <w:p>
      <w:pPr>
        <w:spacing w:before="200" w:after="120" w:line="312" w:lineRule="auto"/>
        <w:jc w:val="left"/>
      </w:pPr>
      <w:r>
        <w:rPr>
          <w:rFonts w:ascii="Times New Roman" w:hAnsi="Times New Roman" w:cs="Times New Roman" w:eastAsia="Times New Roman"/>
          <w:b/>
          <w:i w:val="0"/>
          <w:sz w:val="28"/>
        </w:rPr>
        <w:t>VII. QUẢN TRỊ RỦI RO VÀ LÀN RANH PHÁP LÝ ĐỎ</w:t>
      </w:r>
    </w:p>
    <w:p>
      <w:pPr>
        <w:spacing w:before="0" w:after="120" w:line="312" w:lineRule="auto"/>
        <w:ind w:firstLine="567"/>
        <w:jc w:val="both"/>
      </w:pPr>
      <w:r>
        <w:rPr>
          <w:rFonts w:ascii="Times New Roman" w:hAnsi="Times New Roman" w:cs="Times New Roman" w:eastAsia="Times New Roman"/>
          <w:b w:val="0"/>
          <w:i w:val="0"/>
          <w:sz w:val="26"/>
        </w:rPr>
        <w:t>Ban Tổng Giám đốc xác định việc tuân thủ pháp luật và bảo vệ uy tín thương hiệu là điều kiện sống còn của toàn bộ mô hình kinh doanh. Trên cơ sở đó, Đề án đặt ra các nguyên tắc quản trị rủi ro bắt buộc sau đây:</w:t>
      </w:r>
    </w:p>
    <w:p>
      <w:pPr>
        <w:spacing w:before="0" w:after="60" w:line="312" w:lineRule="auto"/>
        <w:jc w:val="both"/>
      </w:pPr>
      <w:r>
        <w:rPr>
          <w:rFonts w:ascii="Times New Roman" w:hAnsi="Times New Roman" w:cs="Times New Roman" w:eastAsia="Times New Roman"/>
          <w:b w:val="0"/>
          <w:i w:val="0"/>
          <w:sz w:val="26"/>
        </w:rPr>
        <w:t>- Tuân thủ nghiêm ngặt Nghị định số 52/2013/NĐ-CP và Nghị định số 85/2021/NĐ-CP về thương mại điện tử; hoàn tất thủ tục đăng ký hoạt động sàn với cơ quan quản lý nhà nước trước khi vận hành chính thức.</w:t>
      </w:r>
    </w:p>
    <w:p>
      <w:pPr>
        <w:spacing w:before="0" w:after="60" w:line="312" w:lineRule="auto"/>
        <w:jc w:val="both"/>
      </w:pPr>
      <w:r>
        <w:rPr>
          <w:rFonts w:ascii="Times New Roman" w:hAnsi="Times New Roman" w:cs="Times New Roman" w:eastAsia="Times New Roman"/>
          <w:b w:val="0"/>
          <w:i w:val="0"/>
          <w:sz w:val="26"/>
        </w:rPr>
        <w:t>- Triệt tiêu hoàn toàn các biến tướng tài chính: nói không với mô hình nạp tiền nhận lãi và mô hình "ghép đơn ảo"; 100% giao dịch đều kèm luân chuyển hàng hóa thật và hóa đơn chứng từ hợp pháp.</w:t>
      </w:r>
    </w:p>
    <w:p>
      <w:pPr>
        <w:spacing w:before="0" w:after="60" w:line="312" w:lineRule="auto"/>
        <w:jc w:val="both"/>
      </w:pPr>
      <w:r>
        <w:rPr>
          <w:rFonts w:ascii="Times New Roman" w:hAnsi="Times New Roman" w:cs="Times New Roman" w:eastAsia="Times New Roman"/>
          <w:b w:val="0"/>
          <w:i w:val="0"/>
          <w:sz w:val="26"/>
        </w:rPr>
        <w:t>- Tuyệt đối không sử dụng tiền ký quỹ của người mua cho mục đích đầu tư rủi ro; dòng tiền ký quỹ được tách biệt hoàn toàn khỏi dòng tiền hoạt động của doanh nghiệp.</w:t>
      </w:r>
    </w:p>
    <w:p>
      <w:pPr>
        <w:spacing w:before="0" w:after="60" w:line="312" w:lineRule="auto"/>
        <w:jc w:val="both"/>
      </w:pPr>
      <w:r>
        <w:rPr>
          <w:rFonts w:ascii="Times New Roman" w:hAnsi="Times New Roman" w:cs="Times New Roman" w:eastAsia="Times New Roman"/>
          <w:b w:val="0"/>
          <w:i w:val="0"/>
          <w:sz w:val="26"/>
        </w:rPr>
        <w:t>- Kiểm định chặt chẽ nguồn cung và bắt buộc ký quỹ chất lượng đối với nhà bán để bảo vệ quyền lợi người tiêu dùng và uy tín nền tảng.</w:t>
      </w:r>
    </w:p>
    <w:p>
      <w:pPr>
        <w:spacing w:before="0" w:after="60" w:line="312" w:lineRule="auto"/>
        <w:jc w:val="both"/>
      </w:pPr>
      <w:r>
        <w:rPr>
          <w:rFonts w:ascii="Times New Roman" w:hAnsi="Times New Roman" w:cs="Times New Roman" w:eastAsia="Times New Roman"/>
          <w:b w:val="0"/>
          <w:i w:val="0"/>
          <w:sz w:val="26"/>
        </w:rPr>
        <w:t>- Áp dụng nghiêm ngặt các quy định về bảo vệ dữ liệu cá nhân; mã hóa dữ liệu người dùng và công khai minh bạch chính sách xử lý dữ liệu.</w:t>
      </w:r>
    </w:p>
    <w:p>
      <w:pPr>
        <w:spacing w:before="200" w:after="120" w:line="312" w:lineRule="auto"/>
        <w:jc w:val="left"/>
      </w:pPr>
      <w:r>
        <w:rPr>
          <w:rFonts w:ascii="Times New Roman" w:hAnsi="Times New Roman" w:cs="Times New Roman" w:eastAsia="Times New Roman"/>
          <w:b/>
          <w:i w:val="0"/>
          <w:sz w:val="28"/>
        </w:rPr>
        <w:t>VIII.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Phát triển Kinh doanh chủ trì mở rộng mạng lưới điểm bán và phát triển nhà cung cấp; Khối Vận hành Logistics điều phối chuỗi cung ứng Cross-docking và mạng lưới Trạm Hub; Khối Tài chính - Kế toán chịu trách nhiệm kiểm soát dòng tiền ký quỹ và đối soát thuế; Khối Pháp chế hoàn thiện thủ tục cấp phép hoạt động sàn với cơ quan quản lý nhà nước.</w:t>
      </w:r>
    </w:p>
    <w:p>
      <w:pPr>
        <w:spacing w:before="0" w:after="120" w:line="312" w:lineRule="auto"/>
        <w:ind w:firstLine="567"/>
        <w:jc w:val="both"/>
      </w:pPr>
      <w:r>
        <w:rPr>
          <w:rFonts w:ascii="Times New Roman" w:hAnsi="Times New Roman" w:cs="Times New Roman" w:eastAsia="Times New Roman"/>
          <w:b w:val="0"/>
          <w:i w:val="0"/>
          <w:sz w:val="26"/>
        </w:rPr>
        <w:t>Trong quá trình triển khai, các đơn vị định kỳ báo cáo tiến độ và kết quả thực hiện về Ban Tổng Giám đốc; trường hợp phát sinh khó khăn, vướng mắc vượt thẩm quyền, kịp thời báo cáo để xem xét, chỉ đạo.</w:t>
      </w:r>
    </w:p>
    <w:p>
      <w:pPr>
        <w:spacing w:before="120" w:after="120" w:line="312" w:lineRule="auto"/>
        <w:ind w:firstLine="567"/>
        <w:jc w:val="both"/>
      </w:pPr>
      <w:r>
        <w:rPr>
          <w:rFonts w:ascii="Times New Roman" w:hAnsi="Times New Roman" w:cs="Times New Roman" w:eastAsia="Times New Roman"/>
          <w:b w:val="0"/>
          <w:i w:val="0"/>
          <w:sz w:val="26"/>
        </w:rPr>
        <w:t>Các Khối, Phòng, Ban và đơn vị trực thuộc Công ty Cổ phần VComm Việt Nam căn cứ Đề án này để xây dựng kế hoạch triển khai chi tiết và tổ chức thực hiện nghiêm túc./.</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