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3742"/>
        <w:gridCol w:w="5329"/>
      </w:tblGrid>
      <w:tr>
        <w:tc>
          <w:tcPr>
            <w:tcW w:type="dxa" w:w="3742"/>
          </w:tcPr>
          <w:p>
            <w:pPr>
              <w:spacing w:after="0"/>
              <w:jc w:val="center"/>
            </w:pPr>
            <w:r>
              <w:rPr>
                <w:rFonts w:ascii="Times New Roman" w:cs="Times New Roman" w:eastAsia="Times New Roman" w:hAnsi="Times New Roman"/>
                <w:b/>
                <w:bCs/>
                <w:sz w:val="26"/>
                <w:szCs w:val="26"/>
              </w:rPr>
              <w:t xml:space="preserve">CÔNG TY CỔ PHẦN VCOMM VIỆT NAM</w:t>
            </w:r>
          </w:p>
          <w:p>
            <w:pPr>
              <w:pBdr>
                <w:bottom w:val="single" w:color="000000" w:sz="6" w:space="1"/>
              </w:pBdr>
              <w:spacing w:after="0"/>
              <w:ind w:left="1020" w:right="1020"/>
              <w:jc w:val="center"/>
            </w:pPr>
          </w:p>
          <w:p>
            <w:pPr>
              <w:spacing w:after="0" w:before="40"/>
              <w:jc w:val="center"/>
            </w:pPr>
            <w:r>
              <w:rPr>
                <w:rFonts w:ascii="Times New Roman" w:cs="Times New Roman" w:eastAsia="Times New Roman" w:hAnsi="Times New Roman"/>
                <w:sz w:val="26"/>
                <w:szCs w:val="26"/>
              </w:rPr>
              <w:t>Số: 05/KH-VCOMM</w:t>
            </w:r>
          </w:p>
        </w:tc>
        <w:tc>
          <w:tcPr>
            <w:tcW w:type="dxa" w:w="5329"/>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0"/>
              <w:ind w:left="964" w:right="964"/>
              <w:jc w:val="center"/>
            </w:pPr>
          </w:p>
          <w:p>
            <w:pPr>
              <w:spacing w:after="0" w:before="40"/>
              <w:jc w:val="center"/>
            </w:pPr>
            <w:r>
              <w:rPr>
                <w:rFonts w:ascii="Times New Roman" w:cs="Times New Roman" w:eastAsia="Times New Roman" w:hAnsi="Times New Roman"/>
                <w:i/>
                <w:iCs/>
                <w:sz w:val="26"/>
                <w:szCs w:val="26"/>
              </w:rPr>
              <w:t>TP. Hồ Chí Minh, ngày 5 tháng 10 năm 2026</w:t>
            </w:r>
          </w:p>
        </w:tc>
      </w:tr>
    </w:tbl>
    <w:p>
      <w:pPr>
        <w:spacing w:before="120" w:after="120" w:line="312" w:lineRule="auto"/>
        <w:jc w:val="center"/>
      </w:pPr>
      <w:r>
        <w:rPr>
          <w:rFonts w:ascii="Times New Roman" w:hAnsi="Times New Roman" w:cs="Times New Roman" w:eastAsia="Times New Roman"/>
          <w:b/>
          <w:i w:val="0"/>
          <w:sz w:val="28"/>
        </w:rPr>
        <w:t>ĐỀ ÁN</w:t>
      </w:r>
    </w:p>
    <w:p>
      <w:pPr>
        <w:spacing w:before="0" w:after="120" w:line="312" w:lineRule="auto"/>
        <w:jc w:val="center"/>
      </w:pPr>
      <w:r>
        <w:rPr>
          <w:rFonts w:ascii="Times New Roman" w:hAnsi="Times New Roman" w:cs="Times New Roman" w:eastAsia="Times New Roman"/>
          <w:b/>
          <w:i w:val="0"/>
          <w:sz w:val="26"/>
        </w:rPr>
        <w:t>Kế hoạch tài chính và chiến lược huy động nguồn vốn phát triển Sàn thương mại điện tử Bán lẻ Hợp kênh VComm giai đoạn 2026 - 2030</w:t>
      </w:r>
    </w:p>
    <w:p>
      <w:pPr>
        <w:spacing w:before="0" w:after="80" w:line="312" w:lineRule="auto"/>
        <w:jc w:val="center"/>
      </w:pPr>
      <w:r>
        <w:rPr>
          <w:rFonts w:ascii="Times New Roman" w:hAnsi="Times New Roman" w:cs="Times New Roman" w:eastAsia="Times New Roman"/>
          <w:b/>
          <w:i w:val="0"/>
          <w:sz w:val="26"/>
        </w:rPr>
        <w:t>CÔNG TY CỔ PHẦN VCOMM VIỆT NAM</w:t>
      </w:r>
    </w:p>
    <w:p>
      <w:pPr>
        <w:spacing w:before="0" w:after="80" w:line="312" w:lineRule="auto"/>
        <w:jc w:val="center"/>
      </w:pPr>
      <w:r>
        <w:rPr>
          <w:rFonts w:ascii="Times New Roman" w:hAnsi="Times New Roman" w:cs="Times New Roman" w:eastAsia="Times New Roman"/>
          <w:b/>
          <w:i w:val="0"/>
          <w:sz w:val="26"/>
        </w:rPr>
        <w:t>BAN CHIẾN LƯỢC &amp; PHÁT TRIỂN DỰ ÁN</w:t>
      </w:r>
    </w:p>
    <w:p>
      <w:pPr>
        <w:spacing w:before="0" w:after="200" w:line="312" w:lineRule="auto"/>
        <w:jc w:val="center"/>
      </w:pPr>
      <w:r>
        <w:rPr>
          <w:rFonts w:ascii="Times New Roman" w:hAnsi="Times New Roman" w:cs="Times New Roman" w:eastAsia="Times New Roman"/>
          <w:b w:val="0"/>
          <w:i/>
          <w:sz w:val="24"/>
        </w:rPr>
        <w:t>Tài liệu tham chiếu: Bảng mô hình tài chính 5 năm và kế hoạch nguồn vốn VComm (phụ lục bảng tính kèm theo).</w:t>
      </w:r>
    </w:p>
    <w:p>
      <w:pPr>
        <w:spacing w:before="200" w:after="120" w:line="312" w:lineRule="auto"/>
        <w:jc w:val="left"/>
      </w:pPr>
      <w:r>
        <w:rPr>
          <w:rFonts w:ascii="Times New Roman" w:hAnsi="Times New Roman" w:cs="Times New Roman" w:eastAsia="Times New Roman"/>
          <w:b/>
          <w:i w:val="0"/>
          <w:sz w:val="28"/>
        </w:rPr>
        <w:t>I. CĂN CỨ PHÁP LÝ VÀ MỤC TIÊU TÀI CHÍNH</w:t>
      </w:r>
    </w:p>
    <w:p>
      <w:pPr>
        <w:spacing w:before="120" w:after="80" w:line="312" w:lineRule="auto"/>
        <w:jc w:val="left"/>
      </w:pPr>
      <w:r>
        <w:rPr>
          <w:rFonts w:ascii="Times New Roman" w:hAnsi="Times New Roman" w:cs="Times New Roman" w:eastAsia="Times New Roman"/>
          <w:b/>
          <w:i w:val="0"/>
          <w:sz w:val="26"/>
        </w:rPr>
        <w:t>1. Căn cứ pháp lý</w:t>
      </w:r>
    </w:p>
    <w:p>
      <w:pPr>
        <w:spacing w:before="0" w:after="60" w:line="312" w:lineRule="auto"/>
        <w:jc w:val="both"/>
      </w:pPr>
      <w:r>
        <w:rPr>
          <w:rFonts w:ascii="Times New Roman" w:hAnsi="Times New Roman" w:cs="Times New Roman" w:eastAsia="Times New Roman"/>
          <w:b w:val="0"/>
          <w:i w:val="0"/>
          <w:sz w:val="26"/>
        </w:rPr>
        <w:t>- Luật Doanh nghiệp số 59/2020/QH14 ngày 17 tháng 6 năm 2020 của Quốc hội;</w:t>
      </w:r>
    </w:p>
    <w:p>
      <w:pPr>
        <w:spacing w:before="0" w:after="60" w:line="312" w:lineRule="auto"/>
        <w:jc w:val="both"/>
      </w:pPr>
      <w:r>
        <w:rPr>
          <w:rFonts w:ascii="Times New Roman" w:hAnsi="Times New Roman" w:cs="Times New Roman" w:eastAsia="Times New Roman"/>
          <w:b w:val="0"/>
          <w:i w:val="0"/>
          <w:sz w:val="26"/>
        </w:rPr>
        <w:t>- Luật Chứng khoán số 54/2019/QH14 ngày 26 tháng 11 năm 2019 của Quốc hội;</w:t>
      </w:r>
    </w:p>
    <w:p>
      <w:pPr>
        <w:spacing w:before="0" w:after="60" w:line="312" w:lineRule="auto"/>
        <w:jc w:val="both"/>
      </w:pPr>
      <w:r>
        <w:rPr>
          <w:rFonts w:ascii="Times New Roman" w:hAnsi="Times New Roman" w:cs="Times New Roman" w:eastAsia="Times New Roman"/>
          <w:b w:val="0"/>
          <w:i w:val="0"/>
          <w:sz w:val="26"/>
        </w:rPr>
        <w:t>- Luật Kế toán và các chuẩn mực kế toán Việt Nam hiện hành;</w:t>
      </w:r>
    </w:p>
    <w:p>
      <w:pPr>
        <w:spacing w:before="0" w:after="60" w:line="312" w:lineRule="auto"/>
        <w:jc w:val="both"/>
      </w:pPr>
      <w:r>
        <w:rPr>
          <w:rFonts w:ascii="Times New Roman" w:hAnsi="Times New Roman" w:cs="Times New Roman" w:eastAsia="Times New Roman"/>
          <w:b w:val="0"/>
          <w:i w:val="0"/>
          <w:sz w:val="26"/>
        </w:rPr>
        <w:t>- Điều lệ tổ chức và hoạt động của Công ty Cổ phần VComm Việt Nam;</w:t>
      </w:r>
    </w:p>
    <w:p>
      <w:pPr>
        <w:spacing w:before="0" w:after="60" w:line="312" w:lineRule="auto"/>
        <w:jc w:val="both"/>
      </w:pPr>
      <w:r>
        <w:rPr>
          <w:rFonts w:ascii="Times New Roman" w:hAnsi="Times New Roman" w:cs="Times New Roman" w:eastAsia="Times New Roman"/>
          <w:b w:val="0"/>
          <w:i w:val="0"/>
          <w:sz w:val="26"/>
        </w:rPr>
        <w:t>- Nghị quyết Đại hội đồng cổ đông về Kế hoạch tài chính 5 năm giai đoạn 2026 - 2030.</w:t>
      </w:r>
    </w:p>
    <w:p>
      <w:pPr>
        <w:spacing w:before="120" w:after="80" w:line="312" w:lineRule="auto"/>
        <w:jc w:val="left"/>
      </w:pPr>
      <w:r>
        <w:rPr>
          <w:rFonts w:ascii="Times New Roman" w:hAnsi="Times New Roman" w:cs="Times New Roman" w:eastAsia="Times New Roman"/>
          <w:b/>
          <w:i w:val="0"/>
          <w:sz w:val="26"/>
        </w:rPr>
        <w:t>2. Mục tiêu tài chính tổng quát</w:t>
      </w:r>
    </w:p>
    <w:p>
      <w:pPr>
        <w:spacing w:before="0" w:after="120" w:line="312" w:lineRule="auto"/>
        <w:ind w:firstLine="567"/>
        <w:jc w:val="both"/>
      </w:pPr>
      <w:r>
        <w:rPr>
          <w:rFonts w:ascii="Times New Roman" w:hAnsi="Times New Roman" w:cs="Times New Roman" w:eastAsia="Times New Roman"/>
          <w:b w:val="0"/>
          <w:i w:val="0"/>
          <w:sz w:val="26"/>
        </w:rPr>
        <w:t>Thiết lập cấu trúc tài chính lành mạnh, quản trị dòng tiền hoạt động thuần, kiểm soát chặt chẽ chi phí thu hút khách hàng và chi phí vận hành để đưa doanh nghiệp đạt điểm hòa vốn vào tháng thứ 16, hướng tới mục tiêu niêm yết đại chúng vào năm 2030. Đến năm thứ năm, doanh nghiệp đạt doanh thu thuần 3.360 tỷ đồng và lợi nhuận sau thuế 1.217,9 tỷ đồng.</w:t>
      </w:r>
    </w:p>
    <w:p>
      <w:pPr>
        <w:spacing w:before="120" w:after="80" w:line="312" w:lineRule="auto"/>
        <w:jc w:val="left"/>
      </w:pPr>
      <w:r>
        <w:rPr>
          <w:rFonts w:ascii="Times New Roman" w:hAnsi="Times New Roman" w:cs="Times New Roman" w:eastAsia="Times New Roman"/>
          <w:b/>
          <w:i w:val="0"/>
          <w:sz w:val="26"/>
        </w:rPr>
        <w:t>3. Nguyên tắc quản trị vốn</w:t>
      </w:r>
    </w:p>
    <w:p>
      <w:pPr>
        <w:spacing w:before="0" w:after="60" w:line="312" w:lineRule="auto"/>
        <w:jc w:val="both"/>
      </w:pPr>
      <w:r>
        <w:rPr>
          <w:rFonts w:ascii="Times New Roman" w:hAnsi="Times New Roman" w:cs="Times New Roman" w:eastAsia="Times New Roman"/>
          <w:b w:val="0"/>
          <w:i w:val="0"/>
          <w:sz w:val="26"/>
        </w:rPr>
        <w:t>- Tách biệt hoàn toàn dòng tiền ký quỹ của người mua với dòng tiền hoạt động của doanh nghiệp; tuyệt đối không sử dụng tiền ký quỹ cho mục đích đầu tư rủi ro.</w:t>
      </w:r>
    </w:p>
    <w:p>
      <w:pPr>
        <w:spacing w:before="0" w:after="60" w:line="312" w:lineRule="auto"/>
        <w:jc w:val="both"/>
      </w:pPr>
      <w:r>
        <w:rPr>
          <w:rFonts w:ascii="Times New Roman" w:hAnsi="Times New Roman" w:cs="Times New Roman" w:eastAsia="Times New Roman"/>
          <w:b w:val="0"/>
          <w:i w:val="0"/>
          <w:sz w:val="26"/>
        </w:rPr>
        <w:t>- Ưu tiên tái đầu tư lợi nhuận để củng cố thị phần trong giai đoạn tăng trưởng.</w:t>
      </w:r>
    </w:p>
    <w:p>
      <w:pPr>
        <w:spacing w:before="0" w:after="60" w:line="312" w:lineRule="auto"/>
        <w:jc w:val="both"/>
      </w:pPr>
      <w:r>
        <w:rPr>
          <w:rFonts w:ascii="Times New Roman" w:hAnsi="Times New Roman" w:cs="Times New Roman" w:eastAsia="Times New Roman"/>
          <w:b w:val="0"/>
          <w:i w:val="0"/>
          <w:sz w:val="26"/>
        </w:rPr>
        <w:t>- Duy trì an toàn thanh khoản hệ thống và kiểm soát chặt chẽ các chỉ số an toàn tài chính.</w:t>
      </w:r>
    </w:p>
    <w:p>
      <w:pPr>
        <w:spacing w:before="200" w:after="120" w:line="312" w:lineRule="auto"/>
        <w:jc w:val="left"/>
      </w:pPr>
      <w:r>
        <w:rPr>
          <w:rFonts w:ascii="Times New Roman" w:hAnsi="Times New Roman" w:cs="Times New Roman" w:eastAsia="Times New Roman"/>
          <w:b/>
          <w:i w:val="0"/>
          <w:sz w:val="28"/>
        </w:rPr>
        <w:t>II. DỰ PHÓNG KẾT QUẢ KINH DOANH HỢP NHẤT NĂM NĂM</w:t>
      </w:r>
    </w:p>
    <w:p>
      <w:pPr>
        <w:spacing w:before="0" w:after="120" w:line="312" w:lineRule="auto"/>
        <w:ind w:firstLine="567"/>
        <w:jc w:val="both"/>
      </w:pPr>
      <w:r>
        <w:rPr>
          <w:rFonts w:ascii="Times New Roman" w:hAnsi="Times New Roman" w:cs="Times New Roman" w:eastAsia="Times New Roman"/>
          <w:b w:val="0"/>
          <w:i w:val="0"/>
          <w:sz w:val="26"/>
        </w:rPr>
        <w:t>Kết quả kinh doanh hợp nhất giai đoạn 2026 - 2030 được dự phóng theo lộ trình mở rộng mạng lưới và kiểm soát chi phí, tổng hợp trong bảng sau:</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Chỉ tiêu</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2026</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2027</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2028</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2029</w:t>
            </w:r>
          </w:p>
        </w:tc>
        <w:tc>
          <w:tcPr>
            <w:tcW w:type="dxa" w:w="1512"/>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Năm 2030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Tổng giá trị giao dịch (GMV - tỷ đồng)</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350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4.800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28.000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Doanh thu thuần sàn (tỷ đồng)</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28,0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135,0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480,0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1.375,0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3.360,0</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Lợi nhuận trước lãi vay, thuế và khấu hao (EBITDA - tỷ đồng)</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+18,0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+140,0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+550,0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+1.582,4</w:t>
            </w:r>
          </w:p>
        </w:tc>
      </w:tr>
      <w:tr>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Lợi nhuận sau thuế (LNST - tỷ đồng)</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100,6</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412,0</w:t>
            </w:r>
          </w:p>
        </w:tc>
        <w:tc>
          <w:tcPr>
            <w:tcW w:type="dxa" w:w="1512"/>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1.217,9</w:t>
            </w:r>
          </w:p>
        </w:tc>
      </w:tr>
    </w:tbl>
    <w:p>
      <w:pPr>
        <w:spacing w:after="0"/>
      </w:pPr>
    </w:p>
    <w:p>
      <w:pPr>
        <w:spacing w:before="120" w:after="80" w:line="312" w:lineRule="auto"/>
        <w:jc w:val="left"/>
      </w:pPr>
      <w:r>
        <w:rPr>
          <w:rFonts w:ascii="Times New Roman" w:hAnsi="Times New Roman" w:cs="Times New Roman" w:eastAsia="Times New Roman"/>
          <w:b/>
          <w:i w:val="0"/>
          <w:sz w:val="26"/>
        </w:rPr>
        <w:t>1. Diễn giải theo từng năm</w:t>
      </w:r>
    </w:p>
    <w:p>
      <w:pPr>
        <w:spacing w:before="0" w:after="60" w:line="312" w:lineRule="auto"/>
        <w:jc w:val="both"/>
      </w:pPr>
      <w:r>
        <w:rPr>
          <w:rFonts w:ascii="Times New Roman" w:hAnsi="Times New Roman" w:cs="Times New Roman" w:eastAsia="Times New Roman"/>
          <w:b w:val="0"/>
          <w:i w:val="0"/>
          <w:sz w:val="26"/>
        </w:rPr>
        <w:t>- Năm 2026 - Thiết lập nền tảng: doanh nghiệp tập trung đầu tư hạ tầng máy bán hàng và chi phí thu hút người dùng ban đầu nên EBITDA âm 12,0 tỷ đồng.</w:t>
      </w:r>
    </w:p>
    <w:p>
      <w:pPr>
        <w:spacing w:before="0" w:after="60" w:line="312" w:lineRule="auto"/>
        <w:jc w:val="both"/>
      </w:pPr>
      <w:r>
        <w:rPr>
          <w:rFonts w:ascii="Times New Roman" w:hAnsi="Times New Roman" w:cs="Times New Roman" w:eastAsia="Times New Roman"/>
          <w:b w:val="0"/>
          <w:i w:val="0"/>
          <w:sz w:val="26"/>
        </w:rPr>
        <w:t>- Năm 2027 - Bứt phá và hòa vốn: doanh nghiệp chính thức đạt điểm hòa vốn tại tháng thứ 16 khi đạt quy mô 2.200 Trạm Hub; EBITDA chuyển dương 18,0 tỷ đồng.</w:t>
      </w:r>
    </w:p>
    <w:p>
      <w:pPr>
        <w:spacing w:before="0" w:after="60" w:line="312" w:lineRule="auto"/>
        <w:jc w:val="both"/>
      </w:pPr>
      <w:r>
        <w:rPr>
          <w:rFonts w:ascii="Times New Roman" w:hAnsi="Times New Roman" w:cs="Times New Roman" w:eastAsia="Times New Roman"/>
          <w:b w:val="0"/>
          <w:i w:val="0"/>
          <w:sz w:val="26"/>
        </w:rPr>
        <w:t>- Năm 2028 - Mở rộng quy mô: hiệu quả kinh tế theo quy mô bắt đầu phát huy, EBITDA đạt 140,0 tỷ đồng và lợi nhuận sau thuế đạt 100,6 tỷ đồng.</w:t>
      </w:r>
    </w:p>
    <w:p>
      <w:pPr>
        <w:spacing w:before="0" w:after="60" w:line="312" w:lineRule="auto"/>
        <w:jc w:val="both"/>
      </w:pPr>
      <w:r>
        <w:rPr>
          <w:rFonts w:ascii="Times New Roman" w:hAnsi="Times New Roman" w:cs="Times New Roman" w:eastAsia="Times New Roman"/>
          <w:b w:val="0"/>
          <w:i w:val="0"/>
          <w:sz w:val="26"/>
        </w:rPr>
        <w:t>- Năm 2029 - Thống lĩnh thị trường: EBITDA đạt 550,0 tỷ đồng và lợi nhuận sau thuế đạt 412,0 tỷ đồng.</w:t>
      </w:r>
    </w:p>
    <w:p>
      <w:pPr>
        <w:spacing w:before="0" w:after="60" w:line="312" w:lineRule="auto"/>
        <w:jc w:val="both"/>
      </w:pPr>
      <w:r>
        <w:rPr>
          <w:rFonts w:ascii="Times New Roman" w:hAnsi="Times New Roman" w:cs="Times New Roman" w:eastAsia="Times New Roman"/>
          <w:b w:val="0"/>
          <w:i w:val="0"/>
          <w:sz w:val="26"/>
        </w:rPr>
        <w:t>- Năm 2030 - Khai thác dòng tiền: EBITDA đạt 1.582,4 tỷ đồng và lợi nhuận sau thuế đạt 1.217,9 tỷ đồng.</w:t>
      </w:r>
    </w:p>
    <w:p>
      <w:pPr>
        <w:spacing w:before="200" w:after="120" w:line="312" w:lineRule="auto"/>
        <w:jc w:val="left"/>
      </w:pPr>
      <w:r>
        <w:rPr>
          <w:rFonts w:ascii="Times New Roman" w:hAnsi="Times New Roman" w:cs="Times New Roman" w:eastAsia="Times New Roman"/>
          <w:b/>
          <w:i w:val="0"/>
          <w:sz w:val="28"/>
        </w:rPr>
        <w:t>III. CHI TIẾT NĂM DÒNG DOANH THU HỢP NHẤT</w:t>
      </w:r>
    </w:p>
    <w:p>
      <w:pPr>
        <w:spacing w:before="0" w:after="120" w:line="312" w:lineRule="auto"/>
        <w:ind w:firstLine="567"/>
        <w:jc w:val="both"/>
      </w:pPr>
      <w:r>
        <w:rPr>
          <w:rFonts w:ascii="Times New Roman" w:hAnsi="Times New Roman" w:cs="Times New Roman" w:eastAsia="Times New Roman"/>
          <w:b w:val="0"/>
          <w:i w:val="0"/>
          <w:sz w:val="26"/>
        </w:rPr>
        <w:t>Cơ cấu doanh thu được thiết kế cân bằng giữa nguồn thu từ lưu lượng truy cập, nguồn thu từ giao dịch và nguồn thu từ chuỗi cung ứng, giảm thiểu rủi ro phụ thuộc vào một nguồn duy nhất:</w:t>
      </w:r>
    </w:p>
    <w:p>
      <w:pPr>
        <w:spacing w:before="0" w:after="60" w:line="312" w:lineRule="auto"/>
        <w:jc w:val="both"/>
      </w:pPr>
      <w:r>
        <w:rPr>
          <w:rFonts w:ascii="Times New Roman" w:hAnsi="Times New Roman" w:cs="Times New Roman" w:eastAsia="Times New Roman"/>
          <w:b w:val="0"/>
          <w:i w:val="0"/>
          <w:sz w:val="26"/>
        </w:rPr>
        <w:t>- Dịch vụ quảng cáo và tiếp thị số (chiếm 35%): thu từ các nhãn hàng tiêu dùng đấu thầu vị trí hiển thị, từ khóa tìm kiếm và banner trang chủ, đạt 1.176 tỷ đồng vào năm thứ năm.</w:t>
      </w:r>
    </w:p>
    <w:p>
      <w:pPr>
        <w:spacing w:before="0" w:after="60" w:line="312" w:lineRule="auto"/>
        <w:jc w:val="both"/>
      </w:pPr>
      <w:r>
        <w:rPr>
          <w:rFonts w:ascii="Times New Roman" w:hAnsi="Times New Roman" w:cs="Times New Roman" w:eastAsia="Times New Roman"/>
          <w:b w:val="0"/>
          <w:i w:val="0"/>
          <w:sz w:val="26"/>
        </w:rPr>
        <w:t>- Phí hoa hồng giao dịch sàn (chiếm 30%): tỷ lệ thu bình quân từ 1,5% đến 3,5% trên giá trị đơn hàng chốt thành công, mang về 1.008 tỷ đồng vào năm thứ năm.</w:t>
      </w:r>
    </w:p>
    <w:p>
      <w:pPr>
        <w:spacing w:before="0" w:after="60" w:line="312" w:lineRule="auto"/>
        <w:jc w:val="both"/>
      </w:pPr>
      <w:r>
        <w:rPr>
          <w:rFonts w:ascii="Times New Roman" w:hAnsi="Times New Roman" w:cs="Times New Roman" w:eastAsia="Times New Roman"/>
          <w:b w:val="0"/>
          <w:i w:val="0"/>
          <w:sz w:val="26"/>
        </w:rPr>
        <w:t>- Chênh lệch phân phối bán buôn (chiếm 15%): thu từ biên lợi nhuận chênh lệch khi nền tảng gom cầu số lượng lớn phân phối thẳng từ nhà xưởng đến các tiệm tạp hóa, đạt 504 tỷ đồng vào năm thứ năm.</w:t>
      </w:r>
    </w:p>
    <w:p>
      <w:pPr>
        <w:spacing w:before="0" w:after="60" w:line="312" w:lineRule="auto"/>
        <w:jc w:val="both"/>
      </w:pPr>
      <w:r>
        <w:rPr>
          <w:rFonts w:ascii="Times New Roman" w:hAnsi="Times New Roman" w:cs="Times New Roman" w:eastAsia="Times New Roman"/>
          <w:b w:val="0"/>
          <w:i w:val="0"/>
          <w:sz w:val="26"/>
        </w:rPr>
        <w:t>- Phí dịch vụ điều phối Trạm Hub (chiếm 10%): thu từ dịch vụ phân luồng hàng hóa và quản lý điểm lấy hàng, đạt 336 tỷ đồng vào năm thứ năm.</w:t>
      </w:r>
    </w:p>
    <w:p>
      <w:pPr>
        <w:spacing w:before="0" w:after="60" w:line="312" w:lineRule="auto"/>
        <w:jc w:val="both"/>
      </w:pPr>
      <w:r>
        <w:rPr>
          <w:rFonts w:ascii="Times New Roman" w:hAnsi="Times New Roman" w:cs="Times New Roman" w:eastAsia="Times New Roman"/>
          <w:b w:val="0"/>
          <w:i w:val="0"/>
          <w:sz w:val="26"/>
        </w:rPr>
        <w:t>- Lợi nhuận tài chính từ dòng tiền ký quỹ (chiếm 10%): khai thác lãi suất từ dòng vốn nhàn rỗi trong chu kỳ tạm giữ tiền hàng, mang về 336 tỷ đồng vào năm thứ năm.</w:t>
      </w:r>
    </w:p>
    <w:p>
      <w:pPr>
        <w:spacing w:before="200" w:after="120" w:line="312" w:lineRule="auto"/>
        <w:jc w:val="left"/>
      </w:pPr>
      <w:r>
        <w:rPr>
          <w:rFonts w:ascii="Times New Roman" w:hAnsi="Times New Roman" w:cs="Times New Roman" w:eastAsia="Times New Roman"/>
          <w:b/>
          <w:i w:val="0"/>
          <w:sz w:val="28"/>
        </w:rPr>
        <w:t>IV. QUẢN TRỊ DÒNG TIỀN KÝ QUỸ</w:t>
      </w:r>
    </w:p>
    <w:p>
      <w:pPr>
        <w:spacing w:before="0" w:after="120" w:line="312" w:lineRule="auto"/>
        <w:ind w:firstLine="567"/>
        <w:jc w:val="both"/>
      </w:pPr>
      <w:r>
        <w:rPr>
          <w:rFonts w:ascii="Times New Roman" w:hAnsi="Times New Roman" w:cs="Times New Roman" w:eastAsia="Times New Roman"/>
          <w:b w:val="0"/>
          <w:i w:val="0"/>
          <w:sz w:val="26"/>
        </w:rPr>
        <w:t>Toàn bộ tiền hàng mua chung và đặt hàng trực tuyến được tạm giữ tại tài khoản ký quỹ trong chu kỳ từ 3 đến 7 ngày, vừa bảo đảm an toàn tuyệt đối cho người mua, vừa tạo nguồn thu tài chính nhàn rỗi hợp pháp. Dòng tiền ký quỹ được hạch toán và quản lý tách biệt, có kiểm soát nội bộ chặt chẽ và không được sử dụng cho hoạt động đầu tư rủi ro.</w:t>
      </w:r>
    </w:p>
    <w:p>
      <w:pPr>
        <w:spacing w:before="200" w:after="120" w:line="312" w:lineRule="auto"/>
        <w:jc w:val="left"/>
      </w:pPr>
      <w:r>
        <w:rPr>
          <w:rFonts w:ascii="Times New Roman" w:hAnsi="Times New Roman" w:cs="Times New Roman" w:eastAsia="Times New Roman"/>
          <w:b/>
          <w:i w:val="0"/>
          <w:sz w:val="28"/>
        </w:rPr>
        <w:t>V. LỘ TRÌNH BỐN VÒNG GỌI VỐN</w:t>
      </w:r>
    </w:p>
    <w:p>
      <w:pPr>
        <w:spacing w:before="0" w:after="120" w:line="312" w:lineRule="auto"/>
        <w:ind w:firstLine="567"/>
        <w:jc w:val="both"/>
      </w:pPr>
      <w:r>
        <w:rPr>
          <w:rFonts w:ascii="Times New Roman" w:hAnsi="Times New Roman" w:cs="Times New Roman" w:eastAsia="Times New Roman"/>
          <w:b w:val="0"/>
          <w:i w:val="0"/>
          <w:sz w:val="26"/>
        </w:rPr>
        <w:t>Nguồn vốn được huy động theo lộ trình bốn vòng, gắn với từng mốc phát triển của doanh nghiệp:</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Vòng gọi vốn</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Thời điểm</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Vốn huy động (tỷ đồng)</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Định giá trước đầu tư (tỷ đồng)</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Tỷ lệ cổ phần phát hành</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Vòng hạt giống (Seed / Angel)</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Tháng 01/2026</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25,0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20,0%</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Vòng Series A (tăng tốc quy mô)</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Tháng 06/2027</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125,0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20,0%</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Vòng Series B (thống lĩnh toàn quốc)</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Tháng 12/2028</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375,0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2.500,0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13,0%</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Vòng Series C / Tiền niêm yết</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Tháng 06/2030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10.000,0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9,1%</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Tổng vốn huy động tích lũy</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2026 - 2030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1.525,0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w:t>
            </w:r>
          </w:p>
        </w:tc>
      </w:tr>
    </w:tbl>
    <w:p>
      <w:pPr>
        <w:spacing w:after="0"/>
      </w:pPr>
    </w:p>
    <w:p>
      <w:pPr>
        <w:spacing w:before="0" w:after="60" w:line="312" w:lineRule="auto"/>
        <w:jc w:val="both"/>
      </w:pPr>
      <w:r>
        <w:rPr>
          <w:rFonts w:ascii="Times New Roman" w:hAnsi="Times New Roman" w:cs="Times New Roman" w:eastAsia="Times New Roman"/>
          <w:b w:val="0"/>
          <w:i w:val="0"/>
          <w:sz w:val="26"/>
        </w:rPr>
        <w:t>- Vòng hạt giống (tháng 01/2026): hoàn thiện lõi công nghệ vi dịch vụ và triển khai 1.200 máy bán hàng thử nghiệm tại Thành phố Hồ Chí Minh.</w:t>
      </w:r>
    </w:p>
    <w:p>
      <w:pPr>
        <w:spacing w:before="0" w:after="60" w:line="312" w:lineRule="auto"/>
        <w:jc w:val="both"/>
      </w:pPr>
      <w:r>
        <w:rPr>
          <w:rFonts w:ascii="Times New Roman" w:hAnsi="Times New Roman" w:cs="Times New Roman" w:eastAsia="Times New Roman"/>
          <w:b w:val="0"/>
          <w:i w:val="0"/>
          <w:sz w:val="26"/>
        </w:rPr>
        <w:t>- Vòng Series A (tháng 06/2027): đưa doanh nghiệp vượt điểm hòa vốn, mở rộng lên 3.500 Trạm Hub phủ kín khu vực miền Nam.</w:t>
      </w:r>
    </w:p>
    <w:p>
      <w:pPr>
        <w:spacing w:before="0" w:after="60" w:line="312" w:lineRule="auto"/>
        <w:jc w:val="both"/>
      </w:pPr>
      <w:r>
        <w:rPr>
          <w:rFonts w:ascii="Times New Roman" w:hAnsi="Times New Roman" w:cs="Times New Roman" w:eastAsia="Times New Roman"/>
          <w:b w:val="0"/>
          <w:i w:val="0"/>
          <w:sz w:val="26"/>
        </w:rPr>
        <w:t>- Vòng Series B (tháng 12/2028): mở rộng mạng lưới toàn quốc, kích hoạt dịch vụ tài chính nhúng.</w:t>
      </w:r>
    </w:p>
    <w:p>
      <w:pPr>
        <w:spacing w:before="0" w:after="60" w:line="312" w:lineRule="auto"/>
        <w:jc w:val="both"/>
      </w:pPr>
      <w:r>
        <w:rPr>
          <w:rFonts w:ascii="Times New Roman" w:hAnsi="Times New Roman" w:cs="Times New Roman" w:eastAsia="Times New Roman"/>
          <w:b w:val="0"/>
          <w:i w:val="0"/>
          <w:sz w:val="26"/>
        </w:rPr>
        <w:t>- Vòng Series C (tháng 06/2030): mở rộng lên 35.000 Trạm Hub và hoàn tất cấu trúc niêm yết.</w:t>
      </w:r>
    </w:p>
    <w:p>
      <w:pPr>
        <w:spacing w:before="200" w:after="120" w:line="312" w:lineRule="auto"/>
        <w:jc w:val="left"/>
      </w:pPr>
      <w:r>
        <w:rPr>
          <w:rFonts w:ascii="Times New Roman" w:hAnsi="Times New Roman" w:cs="Times New Roman" w:eastAsia="Times New Roman"/>
          <w:b/>
          <w:i w:val="0"/>
          <w:sz w:val="28"/>
        </w:rPr>
        <w:t>VI. PHÂN BỔ SỬ DỤNG NGUỒN VỐN</w:t>
      </w:r>
    </w:p>
    <w:p>
      <w:pPr>
        <w:spacing w:before="0" w:after="60" w:line="312" w:lineRule="auto"/>
        <w:jc w:val="both"/>
      </w:pPr>
      <w:r>
        <w:rPr>
          <w:rFonts w:ascii="Times New Roman" w:hAnsi="Times New Roman" w:cs="Times New Roman" w:eastAsia="Times New Roman"/>
          <w:b w:val="0"/>
          <w:i w:val="0"/>
          <w:sz w:val="26"/>
        </w:rPr>
        <w:t>- 40% cho phát triển mạng lưới Trạm Hub và thiết bị bán hàng: tài trợ thiết bị cho chủ tiệm tạp hóa, trang bị hệ thống nhận diện điểm bán và thiết lập trung tâm phân loại.</w:t>
      </w:r>
    </w:p>
    <w:p>
      <w:pPr>
        <w:spacing w:before="0" w:after="60" w:line="312" w:lineRule="auto"/>
        <w:jc w:val="both"/>
      </w:pPr>
      <w:r>
        <w:rPr>
          <w:rFonts w:ascii="Times New Roman" w:hAnsi="Times New Roman" w:cs="Times New Roman" w:eastAsia="Times New Roman"/>
          <w:b w:val="0"/>
          <w:i w:val="0"/>
          <w:sz w:val="26"/>
        </w:rPr>
        <w:t>- 25% cho nghiên cứu công nghệ, trợ lý thông minh và bảo mật hạ tầng: phát triển thuật toán định tuyến vận tải, hệ thống chống gian lận và hạ tầng bảo mật dữ liệu.</w:t>
      </w:r>
    </w:p>
    <w:p>
      <w:pPr>
        <w:spacing w:before="0" w:after="60" w:line="312" w:lineRule="auto"/>
        <w:jc w:val="both"/>
      </w:pPr>
      <w:r>
        <w:rPr>
          <w:rFonts w:ascii="Times New Roman" w:hAnsi="Times New Roman" w:cs="Times New Roman" w:eastAsia="Times New Roman"/>
          <w:b w:val="0"/>
          <w:i w:val="0"/>
          <w:sz w:val="26"/>
        </w:rPr>
        <w:t>- 20% cho tiếp thị và phát triển người dùng: thực hiện chiến dịch "Vết dầu loang", trợ giá các chương trình gom mua chung và truyền thông thương hiệu.</w:t>
      </w:r>
    </w:p>
    <w:p>
      <w:pPr>
        <w:spacing w:before="0" w:after="60" w:line="312" w:lineRule="auto"/>
        <w:jc w:val="both"/>
      </w:pPr>
      <w:r>
        <w:rPr>
          <w:rFonts w:ascii="Times New Roman" w:hAnsi="Times New Roman" w:cs="Times New Roman" w:eastAsia="Times New Roman"/>
          <w:b w:val="0"/>
          <w:i w:val="0"/>
          <w:sz w:val="26"/>
        </w:rPr>
        <w:t>- 15% cho vốn lưu động và quỹ bảo đảm ký quỹ: duy trì thanh khoản hệ thống đối soát thanh toán và bảo chứng dòng tiền hoàn trả cho người mua.</w:t>
      </w:r>
    </w:p>
    <w:p>
      <w:pPr>
        <w:spacing w:before="200" w:after="120" w:line="312" w:lineRule="auto"/>
        <w:jc w:val="left"/>
      </w:pPr>
      <w:r>
        <w:rPr>
          <w:rFonts w:ascii="Times New Roman" w:hAnsi="Times New Roman" w:cs="Times New Roman" w:eastAsia="Times New Roman"/>
          <w:b/>
          <w:i w:val="0"/>
          <w:sz w:val="28"/>
        </w:rPr>
        <w:t>VII. CHIẾN LƯỢC THOÁI VỐN</w:t>
      </w:r>
    </w:p>
    <w:p>
      <w:pPr>
        <w:spacing w:before="0" w:after="60" w:line="312" w:lineRule="auto"/>
        <w:jc w:val="both"/>
      </w:pPr>
      <w:r>
        <w:rPr>
          <w:rFonts w:ascii="Times New Roman" w:hAnsi="Times New Roman" w:cs="Times New Roman" w:eastAsia="Times New Roman"/>
          <w:b w:val="0"/>
          <w:i w:val="0"/>
          <w:sz w:val="26"/>
        </w:rPr>
        <w:t>- Phương án niêm yết đại chúng: mục tiêu niêm yết chính thức trên sàn HOSE vào cuối năm 2030; song song chuẩn bị cấu trúc pháp lý quốc tế để sẵn sàng niêm yết trên sàn NASDAQ thông qua công ty mẹ tại Singapore.</w:t>
      </w:r>
    </w:p>
    <w:p>
      <w:pPr>
        <w:spacing w:before="0" w:after="60" w:line="312" w:lineRule="auto"/>
        <w:jc w:val="both"/>
      </w:pPr>
      <w:r>
        <w:rPr>
          <w:rFonts w:ascii="Times New Roman" w:hAnsi="Times New Roman" w:cs="Times New Roman" w:eastAsia="Times New Roman"/>
          <w:b w:val="0"/>
          <w:i w:val="0"/>
          <w:sz w:val="26"/>
        </w:rPr>
        <w:t>- Phương án sáp nhập và thoái vốn chiến lược: sẵn sàng phương án sáp nhập hoặc thoái vốn cho các tập đoàn bán lẻ đa quốc gia hoặc các nền tảng tài chính khu vực với mức định giá mục tiêu từ 500 triệu đến 1 tỷ đô la Mỹ.</w:t>
      </w:r>
    </w:p>
    <w:p>
      <w:pPr>
        <w:spacing w:before="200" w:after="120" w:line="312" w:lineRule="auto"/>
        <w:jc w:val="left"/>
      </w:pPr>
      <w:r>
        <w:rPr>
          <w:rFonts w:ascii="Times New Roman" w:hAnsi="Times New Roman" w:cs="Times New Roman" w:eastAsia="Times New Roman"/>
          <w:b/>
          <w:i w:val="0"/>
          <w:sz w:val="28"/>
        </w:rPr>
        <w:t>VIII. TỔ CHỨC THỰC HIỆN, KIỂM TOÁN VÀ QUẢN TRỊ RỦI RO TÀI CHÍNH</w:t>
      </w:r>
    </w:p>
    <w:p>
      <w:pPr>
        <w:spacing w:before="0" w:after="120" w:line="312" w:lineRule="auto"/>
        <w:ind w:firstLine="567"/>
        <w:jc w:val="both"/>
      </w:pPr>
      <w:r>
        <w:rPr>
          <w:rFonts w:ascii="Times New Roman" w:hAnsi="Times New Roman" w:cs="Times New Roman" w:eastAsia="Times New Roman"/>
          <w:b w:val="0"/>
          <w:i w:val="0"/>
          <w:sz w:val="26"/>
        </w:rPr>
        <w:t>Khối Tài chính - Kế toán thiết lập hệ thống kiểm soát nội bộ và quản trị dòng tiền tự động; ký hợp đồng với các công ty kiểm toán độc lập được Bộ Tài chính chấp thuận để bảo đảm tính minh bạch của báo cáo tài chính hằng năm, phục vụ công tác gọi vốn và niêm yết.</w:t>
      </w:r>
    </w:p>
    <w:p>
      <w:pPr>
        <w:spacing w:before="120" w:after="120" w:line="312" w:lineRule="auto"/>
        <w:ind w:firstLine="567"/>
        <w:jc w:val="both"/>
      </w:pPr>
      <w:r>
        <w:rPr>
          <w:rFonts w:ascii="Times New Roman" w:hAnsi="Times New Roman" w:cs="Times New Roman" w:eastAsia="Times New Roman"/>
          <w:b w:val="0"/>
          <w:i w:val="0"/>
          <w:sz w:val="26"/>
        </w:rPr>
        <w:t>Khối Tài chính - Kế toán chủ trì điều phối việc thực hiện Đề án này; định kỳ hàng quý báo cáo Hội đồng Quản trị và Ban Tổng Giám đốc về hiệu quả sử dụng vốn và các chỉ số an toàn tài chính./.</w:t>
      </w:r>
    </w:p>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5216"/>
        <w:gridCol w:w="3855"/>
      </w:tblGrid>
      <w:tr>
        <w:tc>
          <w:tcPr>
            <w:tcW w:type="dxa" w:w="5216"/>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4"/>
              </w:rPr>
              <w:t xml:space="preserve">- Hội đồng Quản trị (để báo cáo);</w:t>
            </w:r>
          </w:p>
          <w:p>
            <w:pPr>
              <w:spacing w:after="0"/>
            </w:pPr>
            <w:r>
              <w:rPr>
                <w:rFonts w:ascii="Times New Roman" w:cs="Times New Roman" w:eastAsia="Times New Roman" w:hAnsi="Times New Roman"/>
                <w:sz w:val="22"/>
                <w:szCs w:val="24"/>
              </w:rPr>
              <w:t xml:space="preserve">- Ban Tổng Giám đốc (để chỉ đạo);</w:t>
            </w:r>
          </w:p>
          <w:p>
            <w:pPr>
              <w:spacing w:after="0"/>
            </w:pPr>
            <w:r>
              <w:rPr>
                <w:rFonts w:ascii="Times New Roman" w:cs="Times New Roman" w:eastAsia="Times New Roman" w:hAnsi="Times New Roman"/>
                <w:sz w:val="22"/>
                <w:szCs w:val="24"/>
              </w:rPr>
              <w:t xml:space="preserve">- Các Khối, Phòng, Ban thuộc Công ty;</w:t>
            </w:r>
          </w:p>
          <w:p>
            <w:pPr>
              <w:spacing w:after="0"/>
            </w:pPr>
            <w:r>
              <w:rPr>
                <w:rFonts w:ascii="Times New Roman" w:cs="Times New Roman" w:eastAsia="Times New Roman" w:hAnsi="Times New Roman"/>
                <w:sz w:val="22"/>
                <w:szCs w:val="24"/>
              </w:rPr>
              <w:t xml:space="preserve">- Lưu: VT, DA.</w:t>
            </w:r>
          </w:p>
        </w:tc>
        <w:tc>
          <w:tcPr>
            <w:tcW w:type="dxa" w:w="3855"/>
          </w:tcPr>
          <w:p>
            <w:pPr>
              <w:spacing w:after="0"/>
              <w:jc w:val="center"/>
            </w:pPr>
            <w:r>
              <w:rPr>
                <w:rFonts w:ascii="Times New Roman" w:cs="Times New Roman" w:eastAsia="Times New Roman" w:hAnsi="Times New Roman"/>
                <w:b/>
                <w:bCs/>
                <w:sz w:val="26"/>
                <w:szCs w:val="26"/>
              </w:rPr>
              <w:t xml:space="preserve">TỔNG GIÁM ĐỐC</w:t>
            </w:r>
          </w:p>
          <w:p>
            <w:pPr>
              <w:spacing w:after="0"/>
              <w:jc w:val="center"/>
            </w:pPr>
            <w:r>
              <w:rPr>
                <w:rFonts w:ascii="Times New Roman" w:cs="Times New Roman" w:eastAsia="Times New Roman" w:hAnsi="Times New Roman"/>
                <w:i/>
                <w:iCs/>
                <w:sz w:val="26"/>
                <w:szCs w:val="26"/>
              </w:rPr>
              <w:t xml:space="preserve">(Ký, ghi rõ họ tên và đóng dấu)</w:t>
            </w:r>
          </w:p>
          <w:p>
            <w:pPr>
              <w:spacing w:after="0"/>
            </w:pPr>
          </w:p>
          <w:p>
            <w:pPr>
              <w:spacing w:after="0"/>
            </w:pPr>
          </w:p>
          <w:p>
            <w:pPr>
              <w:spacing w:after="0"/>
            </w:pPr>
          </w:p>
        </w:tc>
      </w:tr>
    </w:tbl>
    <w:sectPr>
      <w:footerReference w:type="default" r:id="rId7"/>
      <w:footerReference w:type="first" r:id="rId8"/>
      <w:pgSz w:w="11906" w:h="16838" w:orient="portrait"/>
      <w:pgMar w:top="1134" w:right="1134"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2026-10-05T05:12:11.859Z</dcterms:created>
  <dcterms:modified xsi:type="dcterms:W3CDTF">2026-10-05T05:12:11.859Z</dcterms:modified>
</cp:coreProperties>
</file>

<file path=docProps/custom.xml><?xml version="1.0" encoding="utf-8"?>
<Properties xmlns="http://schemas.openxmlformats.org/officeDocument/2006/custom-properties" xmlns:vt="http://schemas.openxmlformats.org/officeDocument/2006/docPropsVTypes"/>
</file>