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06/KH-VCOMM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Phát triển tổng thể hệ sinh thái thương mại điện tử bán lẻ hợp kênh VComm giai đoạn 2026 - 2030</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BAN CHIẾN LƯỢC &amp; PHÁT TRIỂN DỰ ÁN</w:t>
      </w:r>
    </w:p>
    <w:p>
      <w:pPr>
        <w:spacing w:before="0" w:after="200" w:line="312" w:lineRule="auto"/>
        <w:jc w:val="center"/>
      </w:pPr>
      <w:r>
        <w:rPr>
          <w:rFonts w:ascii="Times New Roman" w:hAnsi="Times New Roman" w:cs="Times New Roman" w:eastAsia="Times New Roman"/>
          <w:b w:val="0"/>
          <w:i/>
          <w:sz w:val="24"/>
        </w:rPr>
        <w:t>Tài liệu tích hợp: Tổng kết nghiên cứu mô hình Mua chung Pintuan và Bán lẻ Hợp kênh O2O; Đề án Mô hình Kinh doanh; Đề án Kiến trúc Kỹ thuật và Công nghệ; Đề án Chiến lược Marketing và Phát triển Kinh doanh; Đề án Vận hành Chuỗi cung ứng và Mạng lưới Trạm Hub; Đề án Tài chính và Nguồn vốn.</w:t>
      </w:r>
    </w:p>
    <w:p>
      <w:pPr>
        <w:spacing w:before="200" w:after="120" w:line="312" w:lineRule="auto"/>
        <w:jc w:val="left"/>
      </w:pPr>
      <w:r>
        <w:rPr>
          <w:rFonts w:ascii="Times New Roman" w:hAnsi="Times New Roman" w:cs="Times New Roman" w:eastAsia="Times New Roman"/>
          <w:b/>
          <w:i w:val="0"/>
          <w:sz w:val="28"/>
        </w:rPr>
        <w:t>PHẦN I: TỔNG QUAN NGHIÊN CỨU VÀ BỐI CẢNH KHỞI TẠO DỰ ÁN VCOMM</w:t>
      </w:r>
    </w:p>
    <w:p>
      <w:pPr>
        <w:spacing w:before="120" w:after="80" w:line="312" w:lineRule="auto"/>
        <w:jc w:val="left"/>
      </w:pPr>
      <w:r>
        <w:rPr>
          <w:rFonts w:ascii="Times New Roman" w:hAnsi="Times New Roman" w:cs="Times New Roman" w:eastAsia="Times New Roman"/>
          <w:b/>
          <w:i w:val="0"/>
          <w:sz w:val="26"/>
        </w:rPr>
        <w:t>1. Bối cảnh thị trường thương mại điện tử và bán lẻ tại Việt Nam</w:t>
      </w:r>
    </w:p>
    <w:p>
      <w:pPr>
        <w:spacing w:before="0" w:after="60" w:line="312" w:lineRule="auto"/>
        <w:jc w:val="both"/>
      </w:pPr>
      <w:r>
        <w:rPr>
          <w:rFonts w:ascii="Times New Roman" w:hAnsi="Times New Roman" w:cs="Times New Roman" w:eastAsia="Times New Roman"/>
          <w:b w:val="0"/>
          <w:i w:val="0"/>
          <w:sz w:val="26"/>
        </w:rPr>
        <w:t>- Sự bão hòa của thương mại điện tử truyền thống: chi phí thu hút khách hàng và chi phí quảng cáo trực tuyến trên các sàn lớn tăng từ 25% đến 40% trong giai đoạn 2024 - 2026, bào mòn biên lợi nhuận của nhà bán hàng.</w:t>
      </w:r>
    </w:p>
    <w:p>
      <w:pPr>
        <w:spacing w:before="0" w:after="60" w:line="312" w:lineRule="auto"/>
        <w:jc w:val="both"/>
      </w:pPr>
      <w:r>
        <w:rPr>
          <w:rFonts w:ascii="Times New Roman" w:hAnsi="Times New Roman" w:cs="Times New Roman" w:eastAsia="Times New Roman"/>
          <w:b w:val="0"/>
          <w:i w:val="0"/>
          <w:sz w:val="26"/>
        </w:rPr>
        <w:t>- Nút thắt logistics chặng cuối: phí giao vận đơn lẻ chiếm từ 15% đến 25% giá trị đơn hàng; tỷ lệ hủy đơn và hoàn hàng cao, đặc biệt với hình thức thanh toán khi nhận hàng.</w:t>
      </w:r>
    </w:p>
    <w:p>
      <w:pPr>
        <w:spacing w:before="0" w:after="60" w:line="312" w:lineRule="auto"/>
        <w:jc w:val="both"/>
      </w:pPr>
      <w:r>
        <w:rPr>
          <w:rFonts w:ascii="Times New Roman" w:hAnsi="Times New Roman" w:cs="Times New Roman" w:eastAsia="Times New Roman"/>
          <w:b w:val="0"/>
          <w:i w:val="0"/>
          <w:sz w:val="26"/>
        </w:rPr>
        <w:t>- Hạn chế của mô hình bán lẻ đơn kênh: các tiệm tạp hóa và cửa hàng tiện lợi vật lý chịu cạnh tranh khốc liệt nhưng thiếu hạ tầng công nghệ số, thanh toán không dùng tiền mặt và công cụ giữ chân khách hàng.</w:t>
      </w:r>
    </w:p>
    <w:p>
      <w:pPr>
        <w:spacing w:before="0" w:after="60" w:line="312" w:lineRule="auto"/>
        <w:jc w:val="both"/>
      </w:pPr>
      <w:r>
        <w:rPr>
          <w:rFonts w:ascii="Times New Roman" w:hAnsi="Times New Roman" w:cs="Times New Roman" w:eastAsia="Times New Roman"/>
          <w:b w:val="0"/>
          <w:i w:val="0"/>
          <w:sz w:val="26"/>
        </w:rPr>
        <w:t>- Cơ hội từ mô hình Bán lẻ Hợp kênh: kết hợp sức mạnh lưu lượng số với mạng lưới hàng trăm nghìn điểm bán vật lý sẵn có để giải quyết triệt để bài toán chi phí giao nhận và tạo trải nghiệm mua sắm liền mạch.</w:t>
      </w:r>
    </w:p>
    <w:p>
      <w:pPr>
        <w:spacing w:before="120" w:after="80" w:line="312" w:lineRule="auto"/>
        <w:jc w:val="left"/>
      </w:pPr>
      <w:r>
        <w:rPr>
          <w:rFonts w:ascii="Times New Roman" w:hAnsi="Times New Roman" w:cs="Times New Roman" w:eastAsia="Times New Roman"/>
          <w:b/>
          <w:i w:val="0"/>
          <w:sz w:val="26"/>
        </w:rPr>
        <w:t>2. Nghiên cứu mô hình Mua chung Pintuan</w:t>
      </w:r>
    </w:p>
    <w:p>
      <w:pPr>
        <w:spacing w:before="0" w:after="120" w:line="312" w:lineRule="auto"/>
        <w:ind w:firstLine="567"/>
        <w:jc w:val="both"/>
      </w:pPr>
      <w:r>
        <w:rPr>
          <w:rFonts w:ascii="Times New Roman" w:hAnsi="Times New Roman" w:cs="Times New Roman" w:eastAsia="Times New Roman"/>
          <w:b w:val="0"/>
          <w:i w:val="0"/>
          <w:sz w:val="26"/>
        </w:rPr>
        <w:t>Pintuan là mô hình thương mại điện tử dựa trên mạng xã hội, trong đó người tiêu dùng tập hợp thành nhóm để mua hàng với chiết khấu sâu trực tiếp từ nhà sản xuất. Mô hình vận hành theo triết lý "Hàng tìm người", đổi tương tác xã hội lấy chiết khấu và gom cầu theo cơ chế C2M để cắt bỏ ba đến bốn tầng trung gian phân phối. Nguồn thu chính của nền tảng đến từ dịch vụ quảng cáo hiển thị, phí hoa hồng giao dịch, chênh lệch logistics gom lô và thu nhập từ dòng tiền nhàn rỗi.</w:t>
      </w:r>
    </w:p>
    <w:p>
      <w:pPr>
        <w:spacing w:before="0" w:after="120" w:line="312" w:lineRule="auto"/>
        <w:ind w:firstLine="567"/>
        <w:jc w:val="both"/>
      </w:pPr>
      <w:r>
        <w:rPr>
          <w:rFonts w:ascii="Times New Roman" w:hAnsi="Times New Roman" w:cs="Times New Roman" w:eastAsia="Times New Roman"/>
          <w:b w:val="0"/>
          <w:i w:val="0"/>
          <w:sz w:val="26"/>
        </w:rPr>
        <w:t>Quy trình mua chung diễn ra qua bốn mắt xích: người mua đầu tiên mở nhóm và thanh toán giá ưu đãi; nhóm được lan truyền qua mạng xã hội trong thời hạn từ 12 đến 24 giờ; khi đủ số người tối thiểu thì đơn hàng được kích hoạt và xưởng tiến hành giao hàng; nếu không đủ người thì hệ thống tự động hoàn tiền. Bốn biến thể phổ biến gồm mua chung truyền thống, đoàn mua cộng đồng, mua chung bậc thang và mua chung may mắn.</w:t>
      </w:r>
    </w:p>
    <w:p>
      <w:pPr>
        <w:spacing w:before="0" w:after="120" w:line="312" w:lineRule="auto"/>
        <w:ind w:firstLine="567"/>
        <w:jc w:val="both"/>
      </w:pPr>
      <w:r>
        <w:rPr>
          <w:rFonts w:ascii="Times New Roman" w:hAnsi="Times New Roman" w:cs="Times New Roman" w:eastAsia="Times New Roman"/>
          <w:b w:val="0"/>
          <w:i w:val="0"/>
          <w:sz w:val="26"/>
        </w:rPr>
        <w:t>Bài học quan trọng nhất đối với VComm là phân định rõ ranh giới giữa mô hình chân chính và biến tướng tài chính. Mô hình chân chính bán và luân chuyển hàng hóa thật, người mua thanh toán để nhận sản phẩm thật. Mô hình biến tướng cho người tham gia nạp tiền để "ghép đơn ảo" rồi nhận lãi, bản chất là lấy tiền người vào sau trả cho người vào trước. VComm kiên quyết loại trừ hoàn toàn mọi biến tướng.</w:t>
      </w:r>
    </w:p>
    <w:p>
      <w:pPr>
        <w:spacing w:before="120" w:after="80" w:line="312" w:lineRule="auto"/>
        <w:jc w:val="left"/>
      </w:pPr>
      <w:r>
        <w:rPr>
          <w:rFonts w:ascii="Times New Roman" w:hAnsi="Times New Roman" w:cs="Times New Roman" w:eastAsia="Times New Roman"/>
          <w:b/>
          <w:i w:val="0"/>
          <w:sz w:val="26"/>
        </w:rPr>
        <w:t>3. Nghiên cứu mô hình Bán lẻ Hợp kênh</w:t>
      </w:r>
    </w:p>
    <w:p>
      <w:pPr>
        <w:spacing w:before="0" w:after="120" w:line="312" w:lineRule="auto"/>
        <w:ind w:firstLine="567"/>
        <w:jc w:val="both"/>
      </w:pPr>
      <w:r>
        <w:rPr>
          <w:rFonts w:ascii="Times New Roman" w:hAnsi="Times New Roman" w:cs="Times New Roman" w:eastAsia="Times New Roman"/>
          <w:b w:val="0"/>
          <w:i w:val="0"/>
          <w:sz w:val="26"/>
        </w:rPr>
        <w:t>Bán lẻ Hợp kênh là mô hình kết hợp công nghệ số với mạng lưới cửa hàng vật lý, tạo vòng lặp trải nghiệm hai chiều giữa môi trường trực tuyến và trực tiếp. Điểm khác biệt cốt lõi so với bán hàng đa kênh truyền thống nằm ở mức độ đồng bộ dữ liệu, dòng tiền, hàng tồn kho và hồ sơ khách hàng. Bốn trụ cột vận hành gồm đồng bộ tồn kho thời gian thực, định vị mạng lưới điểm bán, hợp nhất thanh toán và tích điểm, và trạm trung chuyển chặng cuối.</w:t>
      </w:r>
    </w:p>
    <w:p>
      <w:pPr>
        <w:spacing w:before="0" w:after="120" w:line="312" w:lineRule="auto"/>
        <w:ind w:firstLine="567"/>
        <w:jc w:val="both"/>
      </w:pPr>
      <w:r>
        <w:rPr>
          <w:rFonts w:ascii="Times New Roman" w:hAnsi="Times New Roman" w:cs="Times New Roman" w:eastAsia="Times New Roman"/>
          <w:b w:val="0"/>
          <w:i w:val="0"/>
          <w:sz w:val="26"/>
        </w:rPr>
        <w:t>Lợi thế kinh tế vượt trội của mô hình gồm cắt giảm từ 40% đến 50% chi phí vận chuyển, dùng cơ hội bán thêm tại quầy, xóa bỏ rào cản niềm tin và cắt chi phí thu hút khách hàng.</w:t>
      </w:r>
    </w:p>
    <w:p>
      <w:pPr>
        <w:spacing w:before="120" w:after="80" w:line="312" w:lineRule="auto"/>
        <w:jc w:val="left"/>
      </w:pPr>
      <w:r>
        <w:rPr>
          <w:rFonts w:ascii="Times New Roman" w:hAnsi="Times New Roman" w:cs="Times New Roman" w:eastAsia="Times New Roman"/>
          <w:b/>
          <w:i w:val="0"/>
          <w:sz w:val="26"/>
        </w:rPr>
        <w:t>4. Lằn ranh đỏ pháp lý</w:t>
      </w:r>
    </w:p>
    <w:p>
      <w:pPr>
        <w:spacing w:before="0" w:after="120" w:line="312" w:lineRule="auto"/>
        <w:ind w:firstLine="567"/>
        <w:jc w:val="both"/>
      </w:pPr>
      <w:r>
        <w:rPr>
          <w:rFonts w:ascii="Times New Roman" w:hAnsi="Times New Roman" w:cs="Times New Roman" w:eastAsia="Times New Roman"/>
          <w:b w:val="0"/>
          <w:i w:val="0"/>
          <w:sz w:val="26"/>
        </w:rPr>
        <w:t>VComm định vị là sàn thương mại điện tử Bán lẻ Hợp kênh chân chính: hàng hóa vật lý thật, dòng tiền minh bạch, tuân thủ nghiêm ngặt Nghị định số 52/2013/NĐ-CP, Nghị định số 85/2021/NĐ-CP và Nghị định số 13/2023/NĐ-CP về bảo vệ dữ liệu cá nhân; tuyệt đối không biến tướng thành mô hình "ghép đơn ảo" hay huy động vốn trái phép.</w:t>
      </w:r>
    </w:p>
    <w:p>
      <w:pPr>
        <w:spacing w:before="200" w:after="120" w:line="312" w:lineRule="auto"/>
        <w:jc w:val="left"/>
      </w:pPr>
      <w:r>
        <w:rPr>
          <w:rFonts w:ascii="Times New Roman" w:hAnsi="Times New Roman" w:cs="Times New Roman" w:eastAsia="Times New Roman"/>
          <w:b/>
          <w:i w:val="0"/>
          <w:sz w:val="28"/>
        </w:rPr>
        <w:t>PHẦN II: ĐỀ ÁN 1 - MÔ HÌNH KINH DOANH HỆ SINH THÁI VCOMM</w:t>
      </w:r>
    </w:p>
    <w:p>
      <w:pPr>
        <w:spacing w:before="120" w:after="80" w:line="312" w:lineRule="auto"/>
        <w:jc w:val="left"/>
      </w:pPr>
      <w:r>
        <w:rPr>
          <w:rFonts w:ascii="Times New Roman" w:hAnsi="Times New Roman" w:cs="Times New Roman" w:eastAsia="Times New Roman"/>
          <w:b/>
          <w:i w:val="0"/>
          <w:sz w:val="26"/>
        </w:rPr>
        <w:t>1. Tuyên ngôn giá trị cốt lõi cho bốn chủ thể</w:t>
      </w:r>
    </w:p>
    <w:p>
      <w:pPr>
        <w:spacing w:before="0" w:after="60" w:line="312" w:lineRule="auto"/>
        <w:jc w:val="both"/>
      </w:pPr>
      <w:r>
        <w:rPr>
          <w:rFonts w:ascii="Times New Roman" w:hAnsi="Times New Roman" w:cs="Times New Roman" w:eastAsia="Times New Roman"/>
          <w:b w:val="0"/>
          <w:i w:val="0"/>
          <w:sz w:val="26"/>
        </w:rPr>
        <w:t>- Đối với người tiêu dùng: hàng hóa chất lượng cao từ tận xưởng với giá rẻ hơn từ 20% đến 40% qua mua chung; nhận hàng linh hoạt không tốn phí vận chuyển; tích điểm liên minh dùng chung.</w:t>
      </w:r>
    </w:p>
    <w:p>
      <w:pPr>
        <w:spacing w:before="0" w:after="60" w:line="312" w:lineRule="auto"/>
        <w:jc w:val="both"/>
      </w:pPr>
      <w:r>
        <w:rPr>
          <w:rFonts w:ascii="Times New Roman" w:hAnsi="Times New Roman" w:cs="Times New Roman" w:eastAsia="Times New Roman"/>
          <w:b w:val="0"/>
          <w:i w:val="0"/>
          <w:sz w:val="26"/>
        </w:rPr>
        <w:t>- Đối với chủ điểm bán vật lý: hoa hồng giao nhận từ 3% đến 5%; tăng doanh thu bán thêm tại quầy từ 25% đến 35%; được trang bị miễn phí phần mềm quản lý bán hàng chuẩn hóa.</w:t>
      </w:r>
    </w:p>
    <w:p>
      <w:pPr>
        <w:spacing w:before="0" w:after="60" w:line="312" w:lineRule="auto"/>
        <w:jc w:val="both"/>
      </w:pPr>
      <w:r>
        <w:rPr>
          <w:rFonts w:ascii="Times New Roman" w:hAnsi="Times New Roman" w:cs="Times New Roman" w:eastAsia="Times New Roman"/>
          <w:b w:val="0"/>
          <w:i w:val="0"/>
          <w:sz w:val="26"/>
        </w:rPr>
        <w:t>- Đối với nhà sản xuất và xưởng cung ứng: dự báo chính xác sản lượng nhờ dữ liệu gom đơn; giải phóng hàng tồn kho; tiếp cận trực tiếp mạng lưới hàng chục nghìn điểm bán.</w:t>
      </w:r>
    </w:p>
    <w:p>
      <w:pPr>
        <w:spacing w:before="0" w:after="60" w:line="312" w:lineRule="auto"/>
        <w:jc w:val="both"/>
      </w:pPr>
      <w:r>
        <w:rPr>
          <w:rFonts w:ascii="Times New Roman" w:hAnsi="Times New Roman" w:cs="Times New Roman" w:eastAsia="Times New Roman"/>
          <w:b w:val="0"/>
          <w:i w:val="0"/>
          <w:sz w:val="26"/>
        </w:rPr>
        <w:t>- Đối với Sàn VComm: xây dựng hệ sinh thái khép kín từ thương mại, logistics chặng cuối đến dịch vụ tài chính nhúng.</w:t>
      </w:r>
    </w:p>
    <w:p>
      <w:pPr>
        <w:spacing w:before="120" w:after="80" w:line="312" w:lineRule="auto"/>
        <w:jc w:val="left"/>
      </w:pPr>
      <w:r>
        <w:rPr>
          <w:rFonts w:ascii="Times New Roman" w:hAnsi="Times New Roman" w:cs="Times New Roman" w:eastAsia="Times New Roman"/>
          <w:b/>
          <w:i w:val="0"/>
          <w:sz w:val="26"/>
        </w:rPr>
        <w:t>2. Bảy trụ cột cấu thành hệ sinh thái</w:t>
      </w:r>
    </w:p>
    <w:p>
      <w:pPr>
        <w:spacing w:before="0" w:after="60" w:line="312" w:lineRule="auto"/>
        <w:jc w:val="both"/>
      </w:pPr>
      <w:r>
        <w:rPr>
          <w:rFonts w:ascii="Times New Roman" w:hAnsi="Times New Roman" w:cs="Times New Roman" w:eastAsia="Times New Roman"/>
          <w:b w:val="0"/>
          <w:i w:val="0"/>
          <w:sz w:val="26"/>
        </w:rPr>
        <w:t>- Trụ cột 1 - VComm iPOS: giải pháp quản lý bán hàng tại quầy, xuất hóa đơn điện tử kết nối trực tiếp cơ quan thuế, hỗ trợ mã QR động và chế độ ngoại tuyến.</w:t>
      </w:r>
    </w:p>
    <w:p>
      <w:pPr>
        <w:spacing w:before="0" w:after="60" w:line="312" w:lineRule="auto"/>
        <w:jc w:val="both"/>
      </w:pPr>
      <w:r>
        <w:rPr>
          <w:rFonts w:ascii="Times New Roman" w:hAnsi="Times New Roman" w:cs="Times New Roman" w:eastAsia="Times New Roman"/>
          <w:b w:val="0"/>
          <w:i w:val="0"/>
          <w:sz w:val="26"/>
        </w:rPr>
        <w:t>- Trụ cột 2 - Trạm Hub O2O: mạng lưới tiệm tạp hóa làm "kho vệ tinh" chặng cuối, nhận hàng gom lô và bàn giao cho người mua.</w:t>
      </w:r>
    </w:p>
    <w:p>
      <w:pPr>
        <w:spacing w:before="0" w:after="60" w:line="312" w:lineRule="auto"/>
        <w:jc w:val="both"/>
      </w:pPr>
      <w:r>
        <w:rPr>
          <w:rFonts w:ascii="Times New Roman" w:hAnsi="Times New Roman" w:cs="Times New Roman" w:eastAsia="Times New Roman"/>
          <w:b w:val="0"/>
          <w:i w:val="0"/>
          <w:sz w:val="26"/>
        </w:rPr>
        <w:t>- Trụ cột 3 - Chuỗi cung ứng F2B2B Cross-docking: cổng nhập sỉ trực tiếp từ nhà máy, luân chuyển nhanh không lưu kho trung gian quá 24 giờ.</w:t>
      </w:r>
    </w:p>
    <w:p>
      <w:pPr>
        <w:spacing w:before="0" w:after="60" w:line="312" w:lineRule="auto"/>
        <w:jc w:val="both"/>
      </w:pPr>
      <w:r>
        <w:rPr>
          <w:rFonts w:ascii="Times New Roman" w:hAnsi="Times New Roman" w:cs="Times New Roman" w:eastAsia="Times New Roman"/>
          <w:b w:val="0"/>
          <w:i w:val="0"/>
          <w:sz w:val="26"/>
        </w:rPr>
        <w:t>- Trụ cột 4 - Mua chung V-Pintuan: tính năng mua sắm cộng đồng, nhóm từ 2 đến 10 người cùng ghép đơn hưởng giá sỉ xuất xưởng.</w:t>
      </w:r>
    </w:p>
    <w:p>
      <w:pPr>
        <w:spacing w:before="0" w:after="60" w:line="312" w:lineRule="auto"/>
        <w:jc w:val="both"/>
      </w:pPr>
      <w:r>
        <w:rPr>
          <w:rFonts w:ascii="Times New Roman" w:hAnsi="Times New Roman" w:cs="Times New Roman" w:eastAsia="Times New Roman"/>
          <w:b w:val="0"/>
          <w:i w:val="0"/>
          <w:sz w:val="26"/>
        </w:rPr>
        <w:t>- Trụ cột 5 - VComm Mall và Omnichannel Inventory: sàn trực tuyến đồng bộ tồn kho thời gian thực, giao hỏa tốc và đổi trả chéo kênh.</w:t>
      </w:r>
    </w:p>
    <w:p>
      <w:pPr>
        <w:spacing w:before="0" w:after="60" w:line="312" w:lineRule="auto"/>
        <w:jc w:val="both"/>
      </w:pPr>
      <w:r>
        <w:rPr>
          <w:rFonts w:ascii="Times New Roman" w:hAnsi="Times New Roman" w:cs="Times New Roman" w:eastAsia="Times New Roman"/>
          <w:b w:val="0"/>
          <w:i w:val="0"/>
          <w:sz w:val="26"/>
        </w:rPr>
        <w:t>- Trụ cột 6 - Mạng lưới tiếp thị liên kết và KOC: biến người mua và chủ trạm thành đại sứ bán hàng cộng đồng.</w:t>
      </w:r>
    </w:p>
    <w:p>
      <w:pPr>
        <w:spacing w:before="0" w:after="60" w:line="312" w:lineRule="auto"/>
        <w:jc w:val="both"/>
      </w:pPr>
      <w:r>
        <w:rPr>
          <w:rFonts w:ascii="Times New Roman" w:hAnsi="Times New Roman" w:cs="Times New Roman" w:eastAsia="Times New Roman"/>
          <w:b w:val="0"/>
          <w:i w:val="0"/>
          <w:sz w:val="26"/>
        </w:rPr>
        <w:t>- Trụ cột 7 - VComm Finance: hạ tầng thanh toán, ví điểm V-Xu, ký quỹ bảo vệ dòng tiền và cấp vốn ứng trước cho tiểu thương.</w:t>
      </w:r>
    </w:p>
    <w:p>
      <w:pPr>
        <w:spacing w:before="120" w:after="80" w:line="312" w:lineRule="auto"/>
        <w:jc w:val="left"/>
      </w:pPr>
      <w:r>
        <w:rPr>
          <w:rFonts w:ascii="Times New Roman" w:hAnsi="Times New Roman" w:cs="Times New Roman" w:eastAsia="Times New Roman"/>
          <w:b/>
          <w:i w:val="0"/>
          <w:sz w:val="26"/>
        </w:rPr>
        <w:t>3. Cơ cấu năm dòng doanh thu</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Hạng mục doanh thu</w:t>
            </w:r>
          </w:p>
        </w:tc>
        <w:tc>
          <w:tcPr>
            <w:tcW w:type="dxa" w:w="2268"/>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Nguồn tạo doanh thu</w:t>
            </w:r>
          </w:p>
        </w:tc>
        <w:tc>
          <w:tcPr>
            <w:tcW w:type="dxa" w:w="2268"/>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Tỷ trọng mục tiêu (Năm 5 - 2030)</w:t>
            </w:r>
          </w:p>
        </w:tc>
        <w:tc>
          <w:tcPr>
            <w:tcW w:type="dxa" w:w="2268"/>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Doanh thu năm 2030 (Tỷ VNĐ)</w:t>
            </w:r>
          </w:p>
        </w:tc>
      </w:tr>
      <w:tr>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 Phí hoa hồng giao dịch (Take Rate)</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Đơn hàng thương mại điện tử và mua chung</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30%</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1.008,0</w:t>
            </w:r>
          </w:p>
        </w:tc>
      </w:tr>
      <w:tr>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 Dịch vụ tiếp thị và quảng cáo</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Nhà sản xuất, thương hiệu</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1.176,0</w:t>
            </w:r>
          </w:p>
        </w:tc>
      </w:tr>
      <w:tr>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 Chênh lệch phân phối sỉ F2B2B</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Chuỗi cung ứng Cross-docking</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504,0</w:t>
            </w:r>
          </w:p>
        </w:tc>
      </w:tr>
      <w:tr>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 Phí dịch vụ Trạm Hub logistics</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Điều phối vận tải gom lô</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336,0</w:t>
            </w:r>
          </w:p>
        </w:tc>
      </w:tr>
      <w:tr>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 Dịch vụ tài chính và thu nhập từ dòng tiền</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Dòng tiền ký quỹ và dịch vụ tài chính nhúng</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w:t>
            </w:r>
          </w:p>
        </w:tc>
        <w:tc>
          <w:tcPr>
            <w:tcW w:type="dxa" w:w="2268"/>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336,0</w:t>
            </w:r>
          </w:p>
        </w:tc>
      </w:tr>
    </w:tbl>
    <w:p>
      <w:pPr>
        <w:spacing w:after="0"/>
      </w:pPr>
    </w:p>
    <w:p>
      <w:pPr>
        <w:spacing w:before="200" w:after="120" w:line="312" w:lineRule="auto"/>
        <w:jc w:val="left"/>
      </w:pPr>
      <w:r>
        <w:rPr>
          <w:rFonts w:ascii="Times New Roman" w:hAnsi="Times New Roman" w:cs="Times New Roman" w:eastAsia="Times New Roman"/>
          <w:b/>
          <w:i w:val="0"/>
          <w:sz w:val="28"/>
        </w:rPr>
        <w:t>PHẦN III: ĐỀ ÁN 2 - KIẾN TRÚC KỸ THUẬT VÀ CÔNG NGHỆ VCOMM</w:t>
      </w:r>
    </w:p>
    <w:p>
      <w:pPr>
        <w:spacing w:before="120" w:after="80" w:line="312" w:lineRule="auto"/>
        <w:jc w:val="left"/>
      </w:pPr>
      <w:r>
        <w:rPr>
          <w:rFonts w:ascii="Times New Roman" w:hAnsi="Times New Roman" w:cs="Times New Roman" w:eastAsia="Times New Roman"/>
          <w:b/>
          <w:i w:val="0"/>
          <w:sz w:val="26"/>
        </w:rPr>
        <w:t>1. Kiến trúc tổng thể năm tầng</w:t>
      </w:r>
    </w:p>
    <w:p>
      <w:pPr>
        <w:spacing w:before="0" w:after="60" w:line="312" w:lineRule="auto"/>
        <w:jc w:val="both"/>
      </w:pPr>
      <w:r>
        <w:rPr>
          <w:rFonts w:ascii="Times New Roman" w:hAnsi="Times New Roman" w:cs="Times New Roman" w:eastAsia="Times New Roman"/>
          <w:b w:val="0"/>
          <w:i w:val="0"/>
          <w:sz w:val="26"/>
        </w:rPr>
        <w:t>- Tầng trình diễn: ứng dụng di động khách hàng, cổng web, ứng dụng nhỏ trên Zalo và giao diện phần mềm bán hàng tại quầy.</w:t>
      </w:r>
    </w:p>
    <w:p>
      <w:pPr>
        <w:spacing w:before="0" w:after="60" w:line="312" w:lineRule="auto"/>
        <w:jc w:val="both"/>
      </w:pPr>
      <w:r>
        <w:rPr>
          <w:rFonts w:ascii="Times New Roman" w:hAnsi="Times New Roman" w:cs="Times New Roman" w:eastAsia="Times New Roman"/>
          <w:b w:val="0"/>
          <w:i w:val="0"/>
          <w:sz w:val="26"/>
        </w:rPr>
        <w:t>- Tầng cổng kết nối và bảo mật: cổng giao tiếp quản lý cân bằng tải, định tuyến động, phân quyền và nhận diện thiết bị.</w:t>
      </w:r>
    </w:p>
    <w:p>
      <w:pPr>
        <w:spacing w:before="0" w:after="60" w:line="312" w:lineRule="auto"/>
        <w:jc w:val="both"/>
      </w:pPr>
      <w:r>
        <w:rPr>
          <w:rFonts w:ascii="Times New Roman" w:hAnsi="Times New Roman" w:cs="Times New Roman" w:eastAsia="Times New Roman"/>
          <w:b w:val="0"/>
          <w:i w:val="0"/>
          <w:sz w:val="26"/>
        </w:rPr>
        <w:t>- Tầng dịch vụ lõi: các dịch vụ độc lập gồm quản lý người dùng, danh mục sản phẩm, đơn hàng, động cơ mua chung, tồn kho thời gian thực, định vị, tích điểm và ký quỹ.</w:t>
      </w:r>
    </w:p>
    <w:p>
      <w:pPr>
        <w:spacing w:before="0" w:after="60" w:line="312" w:lineRule="auto"/>
        <w:jc w:val="both"/>
      </w:pPr>
      <w:r>
        <w:rPr>
          <w:rFonts w:ascii="Times New Roman" w:hAnsi="Times New Roman" w:cs="Times New Roman" w:eastAsia="Times New Roman"/>
          <w:b w:val="0"/>
          <w:i w:val="0"/>
          <w:sz w:val="26"/>
        </w:rPr>
        <w:t>- Tầng hàng đợi và sự kiện: hạ tầng xử lý hàng chục nghìn sự kiện mỗi giây, đồng bộ dữ liệu giữa quầy và nền tảng trực tuyến.</w:t>
      </w:r>
    </w:p>
    <w:p>
      <w:pPr>
        <w:spacing w:before="0" w:after="60" w:line="312" w:lineRule="auto"/>
        <w:jc w:val="both"/>
      </w:pPr>
      <w:r>
        <w:rPr>
          <w:rFonts w:ascii="Times New Roman" w:hAnsi="Times New Roman" w:cs="Times New Roman" w:eastAsia="Times New Roman"/>
          <w:b w:val="0"/>
          <w:i w:val="0"/>
          <w:sz w:val="26"/>
        </w:rPr>
        <w:t>- Tầng dữ liệu và hạ tầng: cơ sở dữ liệu giao dịch, cơ sở dữ liệu địa lý, cụm bộ nhớ đệm và hệ thống lưu trữ đối tượng.</w:t>
      </w:r>
    </w:p>
    <w:p>
      <w:pPr>
        <w:spacing w:before="120" w:after="80" w:line="312" w:lineRule="auto"/>
        <w:jc w:val="left"/>
      </w:pPr>
      <w:r>
        <w:rPr>
          <w:rFonts w:ascii="Times New Roman" w:hAnsi="Times New Roman" w:cs="Times New Roman" w:eastAsia="Times New Roman"/>
          <w:b/>
          <w:i w:val="0"/>
          <w:sz w:val="26"/>
        </w:rPr>
        <w:t>2. Các giải pháp kỹ thuật đặc thù cho mô hình O2O</w:t>
      </w:r>
    </w:p>
    <w:p>
      <w:pPr>
        <w:spacing w:before="0" w:after="60" w:line="312" w:lineRule="auto"/>
        <w:jc w:val="both"/>
      </w:pPr>
      <w:r>
        <w:rPr>
          <w:rFonts w:ascii="Times New Roman" w:hAnsi="Times New Roman" w:cs="Times New Roman" w:eastAsia="Times New Roman"/>
          <w:b w:val="0"/>
          <w:i w:val="0"/>
          <w:sz w:val="26"/>
        </w:rPr>
        <w:t>- Khóa phân tán chống bán vượt tồn: khóa tạm tồn kho trong 15 phút khi người dùng mở nhóm hoặc thanh toán, tự động giải phóng khi hết hạn.</w:t>
      </w:r>
    </w:p>
    <w:p>
      <w:pPr>
        <w:spacing w:before="0" w:after="60" w:line="312" w:lineRule="auto"/>
        <w:jc w:val="both"/>
      </w:pPr>
      <w:r>
        <w:rPr>
          <w:rFonts w:ascii="Times New Roman" w:hAnsi="Times New Roman" w:cs="Times New Roman" w:eastAsia="Times New Roman"/>
          <w:b w:val="0"/>
          <w:i w:val="0"/>
          <w:sz w:val="26"/>
        </w:rPr>
        <w:t>- Chế độ ngoại tuyến thực sự: máy bán hàng lưu dữ liệu cục bộ khi mất mạng, tự động đồng bộ và xuất hóa đơn điện tử khi có mạng trở lại.</w:t>
      </w:r>
    </w:p>
    <w:p>
      <w:pPr>
        <w:spacing w:before="0" w:after="60" w:line="312" w:lineRule="auto"/>
        <w:jc w:val="both"/>
      </w:pPr>
      <w:r>
        <w:rPr>
          <w:rFonts w:ascii="Times New Roman" w:hAnsi="Times New Roman" w:cs="Times New Roman" w:eastAsia="Times New Roman"/>
          <w:b w:val="0"/>
          <w:i w:val="0"/>
          <w:sz w:val="26"/>
        </w:rPr>
        <w:t>- Mã QR động hai trong một: mã làm mới mỗi 60 giây, tích hợp định danh hội viên và lệnh thanh toán có chữ ký bảo mật.</w:t>
      </w:r>
    </w:p>
    <w:p>
      <w:pPr>
        <w:spacing w:before="0" w:after="60" w:line="312" w:lineRule="auto"/>
        <w:jc w:val="both"/>
      </w:pPr>
      <w:r>
        <w:rPr>
          <w:rFonts w:ascii="Times New Roman" w:hAnsi="Times New Roman" w:cs="Times New Roman" w:eastAsia="Times New Roman"/>
          <w:b w:val="0"/>
          <w:i w:val="0"/>
          <w:sz w:val="26"/>
        </w:rPr>
        <w:t>- Động cơ chống gian lận: theo dõi định danh thiết bị và hành vi bất thường để chặn tài khoản ảo trục lợi.</w:t>
      </w:r>
    </w:p>
    <w:p>
      <w:pPr>
        <w:spacing w:before="120" w:after="80" w:line="312" w:lineRule="auto"/>
        <w:jc w:val="left"/>
      </w:pPr>
      <w:r>
        <w:rPr>
          <w:rFonts w:ascii="Times New Roman" w:hAnsi="Times New Roman" w:cs="Times New Roman" w:eastAsia="Times New Roman"/>
          <w:b/>
          <w:i w:val="0"/>
          <w:sz w:val="26"/>
        </w:rPr>
        <w:t>3. Kiến trúc thanh toán và tích điểm hợp nhất</w:t>
      </w:r>
    </w:p>
    <w:p>
      <w:pPr>
        <w:spacing w:before="0" w:after="120" w:line="312" w:lineRule="auto"/>
        <w:ind w:firstLine="567"/>
        <w:jc w:val="both"/>
      </w:pPr>
      <w:r>
        <w:rPr>
          <w:rFonts w:ascii="Times New Roman" w:hAnsi="Times New Roman" w:cs="Times New Roman" w:eastAsia="Times New Roman"/>
          <w:b w:val="0"/>
          <w:i w:val="0"/>
          <w:sz w:val="26"/>
        </w:rPr>
        <w:t>Thanh toán và tích điểm được hợp nhất thành một thể thống nhất: mã QR động tích hợp định danh và thanh toán, tự động tách dòng tiền theo tỷ lệ cấu hình, ký quỹ bảo vệ người mua và hỗ trợ thanh toán ngoại tuyến. Hệ thống tích điểm liên minh dùng một hồ sơ định danh duy nhất cho cả giao dịch trực tuyến và tại quầy, cho phép tích và tiêu điểm chéo kênh trên toàn bộ điểm bán.</w:t>
      </w:r>
    </w:p>
    <w:p>
      <w:pPr>
        <w:spacing w:before="200" w:after="120" w:line="312" w:lineRule="auto"/>
        <w:jc w:val="left"/>
      </w:pPr>
      <w:r>
        <w:rPr>
          <w:rFonts w:ascii="Times New Roman" w:hAnsi="Times New Roman" w:cs="Times New Roman" w:eastAsia="Times New Roman"/>
          <w:b/>
          <w:i w:val="0"/>
          <w:sz w:val="28"/>
        </w:rPr>
        <w:t>PHẦN IV: ĐỀ ÁN 3 - CHIẾN LƯỢC MARKETING VÀ PHÁT TRIỂN KINH DOANH</w:t>
      </w:r>
    </w:p>
    <w:p>
      <w:pPr>
        <w:spacing w:before="120" w:after="80" w:line="312" w:lineRule="auto"/>
        <w:jc w:val="left"/>
      </w:pPr>
      <w:r>
        <w:rPr>
          <w:rFonts w:ascii="Times New Roman" w:hAnsi="Times New Roman" w:cs="Times New Roman" w:eastAsia="Times New Roman"/>
          <w:b/>
          <w:i w:val="0"/>
          <w:sz w:val="26"/>
        </w:rPr>
        <w:t>1. Lộ trình ba giai đoạn</w:t>
      </w:r>
    </w:p>
    <w:p>
      <w:pPr>
        <w:spacing w:before="0" w:after="60" w:line="312" w:lineRule="auto"/>
        <w:jc w:val="both"/>
      </w:pPr>
      <w:r>
        <w:rPr>
          <w:rFonts w:ascii="Times New Roman" w:hAnsi="Times New Roman" w:cs="Times New Roman" w:eastAsia="Times New Roman"/>
          <w:b w:val="0"/>
          <w:i w:val="0"/>
          <w:sz w:val="26"/>
        </w:rPr>
        <w:t>- Giai đoạn 1 (2026 - 2027): chiếm lĩnh Thành phố Hồ Chí Minh và Đông Nam Bộ, phủ 3.500 Trạm Hub, hoàn thiện tính năng mua chung, đạt hòa vốn tại tháng thứ 16.</w:t>
      </w:r>
    </w:p>
    <w:p>
      <w:pPr>
        <w:spacing w:before="0" w:after="60" w:line="312" w:lineRule="auto"/>
        <w:jc w:val="both"/>
      </w:pPr>
      <w:r>
        <w:rPr>
          <w:rFonts w:ascii="Times New Roman" w:hAnsi="Times New Roman" w:cs="Times New Roman" w:eastAsia="Times New Roman"/>
          <w:b w:val="0"/>
          <w:i w:val="0"/>
          <w:sz w:val="26"/>
        </w:rPr>
        <w:t>- Giai đoạn 2 (2027 - 2029): mở rộng toàn quốc lên 20.000 Trạm Hub, đẩy mạnh chuỗi cung ứng tận xưởng, nâng tỷ trọng thanh toán không dùng tiền mặt lên 70%.</w:t>
      </w:r>
    </w:p>
    <w:p>
      <w:pPr>
        <w:spacing w:before="0" w:after="60" w:line="312" w:lineRule="auto"/>
        <w:jc w:val="both"/>
      </w:pPr>
      <w:r>
        <w:rPr>
          <w:rFonts w:ascii="Times New Roman" w:hAnsi="Times New Roman" w:cs="Times New Roman" w:eastAsia="Times New Roman"/>
          <w:b w:val="0"/>
          <w:i w:val="0"/>
          <w:sz w:val="26"/>
        </w:rPr>
        <w:t>- Giai đoạn 3 (2029 - 2030): hoàn thiện 35.000 Trạm Hub, khai thác dịch vụ tài chính nhúng và chuẩn bị hồ sơ niêm yết.</w:t>
      </w:r>
    </w:p>
    <w:p>
      <w:pPr>
        <w:spacing w:before="120" w:after="80" w:line="312" w:lineRule="auto"/>
        <w:jc w:val="left"/>
      </w:pPr>
      <w:r>
        <w:rPr>
          <w:rFonts w:ascii="Times New Roman" w:hAnsi="Times New Roman" w:cs="Times New Roman" w:eastAsia="Times New Roman"/>
          <w:b/>
          <w:i w:val="0"/>
          <w:sz w:val="26"/>
        </w:rPr>
        <w:t>2. Chiến thuật "Vết dầu loang" và phát triển điểm bán</w:t>
      </w:r>
    </w:p>
    <w:p>
      <w:pPr>
        <w:spacing w:before="0" w:after="120" w:line="312" w:lineRule="auto"/>
        <w:ind w:firstLine="567"/>
        <w:jc w:val="both"/>
      </w:pPr>
      <w:r>
        <w:rPr>
          <w:rFonts w:ascii="Times New Roman" w:hAnsi="Times New Roman" w:cs="Times New Roman" w:eastAsia="Times New Roman"/>
          <w:b w:val="0"/>
          <w:i w:val="0"/>
          <w:sz w:val="26"/>
        </w:rPr>
        <w:t>Tập trung phát triển theo từng cụm phường, quận có mật độ dân cư cao để rút ngắn tuyến xe gom hàng; tặng thiết bị và phần mềm miễn phí cho các chủ điểm bán đầu tiên cam kết đồng hành; đào tạo chủ Trạm Hub và người có uy tín tại khu dân cư thành "trưởng nhóm mua chung".</w:t>
      </w:r>
    </w:p>
    <w:p>
      <w:pPr>
        <w:spacing w:before="120" w:after="80" w:line="312" w:lineRule="auto"/>
        <w:jc w:val="left"/>
      </w:pPr>
      <w:r>
        <w:rPr>
          <w:rFonts w:ascii="Times New Roman" w:hAnsi="Times New Roman" w:cs="Times New Roman" w:eastAsia="Times New Roman"/>
          <w:b/>
          <w:i w:val="0"/>
          <w:sz w:val="26"/>
        </w:rPr>
        <w:t>3. Ba vòng lặp tăng trưởng người dùng</w:t>
      </w:r>
    </w:p>
    <w:p>
      <w:pPr>
        <w:spacing w:before="0" w:after="60" w:line="312" w:lineRule="auto"/>
        <w:jc w:val="both"/>
      </w:pPr>
      <w:r>
        <w:rPr>
          <w:rFonts w:ascii="Times New Roman" w:hAnsi="Times New Roman" w:cs="Times New Roman" w:eastAsia="Times New Roman"/>
          <w:b w:val="0"/>
          <w:i w:val="0"/>
          <w:sz w:val="26"/>
        </w:rPr>
        <w:t>- Vòng lặp giới thiệu xã hội: giá mua chung rẻ hơn giá bán lẻ từ 30% tạo động lực tự nhiên mời người quen, giảm chi phí thu hút khách hàng xuống dưới 15.000 đồng mỗi người dùng mới.</w:t>
      </w:r>
    </w:p>
    <w:p>
      <w:pPr>
        <w:spacing w:before="0" w:after="60" w:line="312" w:lineRule="auto"/>
        <w:jc w:val="both"/>
      </w:pPr>
      <w:r>
        <w:rPr>
          <w:rFonts w:ascii="Times New Roman" w:hAnsi="Times New Roman" w:cs="Times New Roman" w:eastAsia="Times New Roman"/>
          <w:b w:val="0"/>
          <w:i w:val="0"/>
          <w:sz w:val="26"/>
        </w:rPr>
        <w:t>- Vòng lặp chuyển đổi từ cửa hàng sang ứng dụng: giảm giá trực tiếp khi khách quét mã QR tải ứng dụng để thanh toán và tích điểm.</w:t>
      </w:r>
    </w:p>
    <w:p>
      <w:pPr>
        <w:spacing w:before="0" w:after="60" w:line="312" w:lineRule="auto"/>
        <w:jc w:val="both"/>
      </w:pPr>
      <w:r>
        <w:rPr>
          <w:rFonts w:ascii="Times New Roman" w:hAnsi="Times New Roman" w:cs="Times New Roman" w:eastAsia="Times New Roman"/>
          <w:b w:val="0"/>
          <w:i w:val="0"/>
          <w:sz w:val="26"/>
        </w:rPr>
        <w:t>- Vòng lặp giữ chân qua ví điểm: điểm thưởng dùng để khấu trừ cho nhu cầu thiết yếu hàng ngày tại mọi điểm bán trong liên minh.</w:t>
      </w:r>
    </w:p>
    <w:p>
      <w:pPr>
        <w:spacing w:before="200" w:after="120" w:line="312" w:lineRule="auto"/>
        <w:jc w:val="left"/>
      </w:pPr>
      <w:r>
        <w:rPr>
          <w:rFonts w:ascii="Times New Roman" w:hAnsi="Times New Roman" w:cs="Times New Roman" w:eastAsia="Times New Roman"/>
          <w:b/>
          <w:i w:val="0"/>
          <w:sz w:val="28"/>
        </w:rPr>
        <w:t>PHẦN V: ĐỀ ÁN 4 - VẬN HÀNH CHUỖI CUNG ỨNG VÀ MẠNG LƯỚI TRẠM HUB</w:t>
      </w:r>
    </w:p>
    <w:p>
      <w:pPr>
        <w:spacing w:before="120" w:after="80" w:line="312" w:lineRule="auto"/>
        <w:jc w:val="left"/>
      </w:pPr>
      <w:r>
        <w:rPr>
          <w:rFonts w:ascii="Times New Roman" w:hAnsi="Times New Roman" w:cs="Times New Roman" w:eastAsia="Times New Roman"/>
          <w:b/>
          <w:i w:val="0"/>
          <w:sz w:val="26"/>
        </w:rPr>
        <w:t>1. Kiến trúc chuỗi cung ứng tinh gọn</w:t>
      </w:r>
    </w:p>
    <w:p>
      <w:pPr>
        <w:spacing w:before="0" w:after="120" w:line="312" w:lineRule="auto"/>
        <w:ind w:firstLine="567"/>
        <w:jc w:val="both"/>
      </w:pPr>
      <w:r>
        <w:rPr>
          <w:rFonts w:ascii="Times New Roman" w:hAnsi="Times New Roman" w:cs="Times New Roman" w:eastAsia="Times New Roman"/>
          <w:b w:val="0"/>
          <w:i w:val="0"/>
          <w:sz w:val="26"/>
        </w:rPr>
        <w:t>Luân chuyển hàng hóa theo mô hình Cross-docking: hàng từ nhà máy được gom theo đơn chốt hàng ngày, chuyển về Trung tâm Phân loại nội đô trong đêm và chia về các Trạm Hub trước 7 giờ 30 phút sáng hôm sau, không lưu kho trung gian quá 24 giờ. Chi phí gom xe tuyến về trạm chỉ tốn trung bình từ 4.500 đến 6.500 đồng mỗi kiện hàng, so với 22.000 đến 30.000 đồng cho mỗi đơn giao tận cửa.</w:t>
      </w:r>
    </w:p>
    <w:p>
      <w:pPr>
        <w:spacing w:before="120" w:after="80" w:line="312" w:lineRule="auto"/>
        <w:jc w:val="left"/>
      </w:pPr>
      <w:r>
        <w:rPr>
          <w:rFonts w:ascii="Times New Roman" w:hAnsi="Times New Roman" w:cs="Times New Roman" w:eastAsia="Times New Roman"/>
          <w:b/>
          <w:i w:val="0"/>
          <w:sz w:val="26"/>
        </w:rPr>
        <w:t>2. Tiêu chuẩn vận hành tại Trạm Hub</w:t>
      </w:r>
    </w:p>
    <w:p>
      <w:pPr>
        <w:spacing w:before="0" w:after="60" w:line="312" w:lineRule="auto"/>
        <w:jc w:val="both"/>
      </w:pPr>
      <w:r>
        <w:rPr>
          <w:rFonts w:ascii="Times New Roman" w:hAnsi="Times New Roman" w:cs="Times New Roman" w:eastAsia="Times New Roman"/>
          <w:b w:val="0"/>
          <w:i w:val="0"/>
          <w:sz w:val="26"/>
        </w:rPr>
        <w:t>- Quy trình tiếp nhận hàng buổi sáng: lái xe quét mã bàn giao, chủ trạm đối soát trong 5 phút, hệ thống tự động thông báo hàng đã sẵn sàng cho người mua.</w:t>
      </w:r>
    </w:p>
    <w:p>
      <w:pPr>
        <w:spacing w:before="0" w:after="60" w:line="312" w:lineRule="auto"/>
        <w:jc w:val="both"/>
      </w:pPr>
      <w:r>
        <w:rPr>
          <w:rFonts w:ascii="Times New Roman" w:hAnsi="Times New Roman" w:cs="Times New Roman" w:eastAsia="Times New Roman"/>
          <w:b w:val="0"/>
          <w:i w:val="0"/>
          <w:sz w:val="26"/>
        </w:rPr>
        <w:t>- Quy trình bàn giao siêu tốc: người mua mở mã QR nhận đơn, chủ trạm quét mã xác thực và hệ thống chuyển trạng thái đơn sang đã hoàn thành.</w:t>
      </w:r>
    </w:p>
    <w:p>
      <w:pPr>
        <w:spacing w:before="0" w:after="60" w:line="312" w:lineRule="auto"/>
        <w:jc w:val="both"/>
      </w:pPr>
      <w:r>
        <w:rPr>
          <w:rFonts w:ascii="Times New Roman" w:hAnsi="Times New Roman" w:cs="Times New Roman" w:eastAsia="Times New Roman"/>
          <w:b w:val="0"/>
          <w:i w:val="0"/>
          <w:sz w:val="26"/>
        </w:rPr>
        <w:t>- Quy trình đổi trả chéo kênh: khách mang hàng lỗi ra Trạm Hub gần nhất, chủ trạm xác nhận và ví điện tử hoàn tiền cho khách.</w:t>
      </w:r>
    </w:p>
    <w:p>
      <w:pPr>
        <w:spacing w:before="120" w:after="80" w:line="312" w:lineRule="auto"/>
        <w:jc w:val="left"/>
      </w:pPr>
      <w:r>
        <w:rPr>
          <w:rFonts w:ascii="Times New Roman" w:hAnsi="Times New Roman" w:cs="Times New Roman" w:eastAsia="Times New Roman"/>
          <w:b/>
          <w:i w:val="0"/>
          <w:sz w:val="26"/>
        </w:rPr>
        <w:t>3. Chính sách giữ chân chủ Trạm Hub</w:t>
      </w:r>
    </w:p>
    <w:p>
      <w:pPr>
        <w:spacing w:before="0" w:after="120" w:line="312" w:lineRule="auto"/>
        <w:ind w:firstLine="567"/>
        <w:jc w:val="both"/>
      </w:pPr>
      <w:r>
        <w:rPr>
          <w:rFonts w:ascii="Times New Roman" w:hAnsi="Times New Roman" w:cs="Times New Roman" w:eastAsia="Times New Roman"/>
          <w:b w:val="0"/>
          <w:i w:val="0"/>
          <w:sz w:val="26"/>
        </w:rPr>
        <w:t>Chủ Trạm Hub nhận phí lưu kho và phát hàng từ 3.000 đến 5.000 đồng mỗi đơn, tạo thu nhập thụ động tăng dần từ khoảng 4,5 triệu đồng mỗi tháng trong năm đầu lên trên 21,5 triệu đồng mỗi tháng vào năm thứ năm. Từ 25% đến 35% lượng khách ghé trạm nhận đơn phát sinh nhu cầu mua thêm hàng hóa tại quầy, gia tăng doanh thu trực tiếp cho chủ điểm bán.</w:t>
      </w:r>
    </w:p>
    <w:p>
      <w:pPr>
        <w:spacing w:before="200" w:after="120" w:line="312" w:lineRule="auto"/>
        <w:jc w:val="left"/>
      </w:pPr>
      <w:r>
        <w:rPr>
          <w:rFonts w:ascii="Times New Roman" w:hAnsi="Times New Roman" w:cs="Times New Roman" w:eastAsia="Times New Roman"/>
          <w:b/>
          <w:i w:val="0"/>
          <w:sz w:val="28"/>
        </w:rPr>
        <w:t>PHẦN VI: ĐỀ ÁN 5 - TÀI CHÍNH VÀ NGUỒN VỐN</w:t>
      </w:r>
    </w:p>
    <w:p>
      <w:pPr>
        <w:spacing w:before="120" w:after="80" w:line="312" w:lineRule="auto"/>
        <w:jc w:val="left"/>
      </w:pPr>
      <w:r>
        <w:rPr>
          <w:rFonts w:ascii="Times New Roman" w:hAnsi="Times New Roman" w:cs="Times New Roman" w:eastAsia="Times New Roman"/>
          <w:b/>
          <w:i w:val="0"/>
          <w:sz w:val="26"/>
        </w:rPr>
        <w:t>1. Mục tiêu chỉ số tổng hợp năm năm</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tiêu chiến lược</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1 (2026)</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2 (2027)</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3 (2028)</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4 (2029)</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5 (2030)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lượng Trạm Hub O2O</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9.000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35.000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Tổng giá trị giao dịch (GMV -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4.800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28.000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Doanh thu thuần sàn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28</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135</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480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1.375</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3.360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Người dùng hoạt động hàng tháng (MAU)</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450.000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1.800.000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5.200.000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10.500.000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15.000.000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Tổng số đơn hàng xử lý toàn sàn (triệu đơn)</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6,57</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31,94</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131,40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401,50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894,25</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Giá trị đơn hàng bình quân (VNĐ)</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53.200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46.900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36.500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31.100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31.300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Chi phí thu hút khách hàng mới (VNĐ)</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18.000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14.500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11.000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8.500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6.500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đơn nhận tại Trạm Hub</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55%</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65%</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75%</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80%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85%</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Lợi nhuận trước lãi vay, thuế và khấu hao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+18,0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+140,0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+1.582,4</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Lợi nhuận sau thuế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100,6</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412,0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1.217,9</w:t>
            </w:r>
          </w:p>
        </w:tc>
      </w:tr>
    </w:tbl>
    <w:p>
      <w:pPr>
        <w:spacing w:after="0"/>
      </w:pPr>
    </w:p>
    <w:p>
      <w:pPr>
        <w:spacing w:before="120" w:after="80" w:line="312" w:lineRule="auto"/>
        <w:jc w:val="left"/>
      </w:pPr>
      <w:r>
        <w:rPr>
          <w:rFonts w:ascii="Times New Roman" w:hAnsi="Times New Roman" w:cs="Times New Roman" w:eastAsia="Times New Roman"/>
          <w:b/>
          <w:i w:val="0"/>
          <w:sz w:val="26"/>
        </w:rPr>
        <w:t>2. Kế hoạch huy động vốn theo lộ trình bốn vòng</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Vòng gọi vốn</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Thời điểm</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Vốn huy động (tỷ đồng)</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Định giá trước đầu tư (tỷ đồng)</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Tỷ lệ cổ phần phát hành</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hạt giống (Seed / Angel)</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01/2026</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20,0%</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Series A (tăng tốc)</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06/2027</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20,0%</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Series B (thống lĩnh)</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12/2028</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375,0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2.500,0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13,0%</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Series C / Tiền niêm yết</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06/2030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9,1%</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Tổng vốn huy động tích lũy</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2026 - 2030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1.525,0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w:t>
            </w:r>
          </w:p>
        </w:tc>
      </w:tr>
    </w:tbl>
    <w:p>
      <w:pPr>
        <w:spacing w:after="0"/>
      </w:pPr>
    </w:p>
    <w:p>
      <w:pPr>
        <w:spacing w:before="120" w:after="80" w:line="312" w:lineRule="auto"/>
        <w:jc w:val="left"/>
      </w:pPr>
      <w:r>
        <w:rPr>
          <w:rFonts w:ascii="Times New Roman" w:hAnsi="Times New Roman" w:cs="Times New Roman" w:eastAsia="Times New Roman"/>
          <w:b/>
          <w:i w:val="0"/>
          <w:sz w:val="26"/>
        </w:rPr>
        <w:t>3. Phân bổ sử dụng nguồn vốn</w:t>
      </w:r>
    </w:p>
    <w:p>
      <w:pPr>
        <w:spacing w:before="0" w:after="120" w:line="312" w:lineRule="auto"/>
        <w:ind w:firstLine="567"/>
        <w:jc w:val="both"/>
      </w:pPr>
      <w:r>
        <w:rPr>
          <w:rFonts w:ascii="Times New Roman" w:hAnsi="Times New Roman" w:cs="Times New Roman" w:eastAsia="Times New Roman"/>
          <w:b w:val="0"/>
          <w:i w:val="0"/>
          <w:sz w:val="26"/>
        </w:rPr>
        <w:t>Dành 40% phát triển mạng lưới Trạm Hub và thiết bị bán hàng; 25% cho nghiên cứu công nghệ và bảo mật hạ tầng; 20% cho tiếp thị tăng trưởng và trợ giá đơn mua chung; 15% duy trì quỹ lưu động và bảo chứng dòng tiền ký quỹ.</w:t>
      </w:r>
    </w:p>
    <w:p>
      <w:pPr>
        <w:spacing w:before="120" w:after="80" w:line="312" w:lineRule="auto"/>
        <w:jc w:val="left"/>
      </w:pPr>
      <w:r>
        <w:rPr>
          <w:rFonts w:ascii="Times New Roman" w:hAnsi="Times New Roman" w:cs="Times New Roman" w:eastAsia="Times New Roman"/>
          <w:b/>
          <w:i w:val="0"/>
          <w:sz w:val="26"/>
        </w:rPr>
        <w:t>4. Chiến lược thoái vốn</w:t>
      </w:r>
    </w:p>
    <w:p>
      <w:pPr>
        <w:spacing w:before="0" w:after="120" w:line="312" w:lineRule="auto"/>
        <w:ind w:firstLine="567"/>
        <w:jc w:val="both"/>
      </w:pPr>
      <w:r>
        <w:rPr>
          <w:rFonts w:ascii="Times New Roman" w:hAnsi="Times New Roman" w:cs="Times New Roman" w:eastAsia="Times New Roman"/>
          <w:b w:val="0"/>
          <w:i w:val="0"/>
          <w:sz w:val="26"/>
        </w:rPr>
        <w:t>Mục tiêu niêm yết chính thức trên sàn HOSE vào cuối năm 2030; đồng thời chuẩn bị cấu trúc pháp lý công ty mẹ tại Singapore để sẵn sàng niêm yết trên sàn NASDAQ; duy trì phương án sáp nhập và thoái vốn chiến lược với các tập đoàn bán lẻ đa quốc gia.</w:t>
      </w:r>
    </w:p>
    <w:p>
      <w:pPr>
        <w:spacing w:before="200" w:after="120" w:line="312" w:lineRule="auto"/>
        <w:jc w:val="left"/>
      </w:pPr>
      <w:r>
        <w:rPr>
          <w:rFonts w:ascii="Times New Roman" w:hAnsi="Times New Roman" w:cs="Times New Roman" w:eastAsia="Times New Roman"/>
          <w:b/>
          <w:i w:val="0"/>
          <w:sz w:val="28"/>
        </w:rPr>
        <w:t>PHẦN VII: TỔ CHỨC THỰC HIỆN VÀ BỘ MÁY ĐIỀU HÀNH DỰ ÁN</w:t>
      </w:r>
    </w:p>
    <w:p>
      <w:pPr>
        <w:spacing w:before="0" w:after="60" w:line="312" w:lineRule="auto"/>
        <w:jc w:val="both"/>
      </w:pPr>
      <w:r>
        <w:rPr>
          <w:rFonts w:ascii="Times New Roman" w:hAnsi="Times New Roman" w:cs="Times New Roman" w:eastAsia="Times New Roman"/>
          <w:b w:val="0"/>
          <w:i w:val="0"/>
          <w:sz w:val="26"/>
        </w:rPr>
        <w:t>- Hội đồng Quản trị và Ban Tổng Giám đốc: quyết nghị chủ trương chiến lược, phê duyệt hạn mức ngân sách đầu tư hạ tầng công nghệ và bảo trợ pháp lý tuân thủ các quy định thương mại điện tử.</w:t>
      </w:r>
    </w:p>
    <w:p>
      <w:pPr>
        <w:spacing w:before="0" w:after="60" w:line="312" w:lineRule="auto"/>
        <w:jc w:val="both"/>
      </w:pPr>
      <w:r>
        <w:rPr>
          <w:rFonts w:ascii="Times New Roman" w:hAnsi="Times New Roman" w:cs="Times New Roman" w:eastAsia="Times New Roman"/>
          <w:b w:val="0"/>
          <w:i w:val="0"/>
          <w:sz w:val="26"/>
        </w:rPr>
        <w:t>- Khối Kinh doanh và Vận hành Mạng lưới O2O: trực tiếp chịu trách nhiệm phát triển chỉ tiêu mở rộng Trạm Hub, tuyển chọn nhà cung cấp, quản lý đội ngũ thị trường và khai thác doanh thu giao dịch toàn sàn.</w:t>
      </w:r>
    </w:p>
    <w:p>
      <w:pPr>
        <w:spacing w:before="0" w:after="60" w:line="312" w:lineRule="auto"/>
        <w:jc w:val="both"/>
      </w:pPr>
      <w:r>
        <w:rPr>
          <w:rFonts w:ascii="Times New Roman" w:hAnsi="Times New Roman" w:cs="Times New Roman" w:eastAsia="Times New Roman"/>
          <w:b w:val="0"/>
          <w:i w:val="0"/>
          <w:sz w:val="26"/>
        </w:rPr>
        <w:t>- Khối Công nghệ và Sản phẩm: bảo đảm độ sẵn sàng 99,99% của hạ tầng vi dịch vụ, phát triển liên tục các tính năng bán hàng, giải pháp chống gian lận và cải thiện luồng trải nghiệm khách hàng.</w:t>
      </w:r>
    </w:p>
    <w:p>
      <w:pPr>
        <w:spacing w:before="0" w:after="60" w:line="312" w:lineRule="auto"/>
        <w:jc w:val="both"/>
      </w:pPr>
      <w:r>
        <w:rPr>
          <w:rFonts w:ascii="Times New Roman" w:hAnsi="Times New Roman" w:cs="Times New Roman" w:eastAsia="Times New Roman"/>
          <w:b w:val="0"/>
          <w:i w:val="0"/>
          <w:sz w:val="26"/>
        </w:rPr>
        <w:t>- Khối Tài chính và Pháp chế: quản trị an toàn dòng tiền ký quỹ, kiểm soát tuân thủ thuế và đối soát định kỳ cho các đối tác chuỗi cung ứng.</w:t>
      </w:r>
    </w:p>
    <w:p>
      <w:pPr>
        <w:spacing w:before="120" w:after="120" w:line="312" w:lineRule="auto"/>
        <w:ind w:firstLine="567"/>
        <w:jc w:val="both"/>
      </w:pPr>
      <w:r>
        <w:rPr>
          <w:rFonts w:ascii="Times New Roman" w:hAnsi="Times New Roman" w:cs="Times New Roman" w:eastAsia="Times New Roman"/>
          <w:b w:val="0"/>
          <w:i w:val="0"/>
          <w:sz w:val="26"/>
        </w:rPr>
        <w:t>Ban Tổng Giám đốc và các Khối, Phòng, Ban thuộc Công ty Cổ phần VComm Việt Nam có trách nhiệm triển khai thực hiện nghiêm túc Đề án này./.</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