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04/KH-VCOMM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Kế hoạch vận hành chuỗi cung ứng và mạng lưới Trạm Hub O2O VComm giai đoạn 2026 - 2030</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BAN CHIẾN LƯỢC &amp; PHÁT TRIỂN DỰ ÁN</w:t>
      </w:r>
    </w:p>
    <w:p>
      <w:pPr>
        <w:spacing w:before="0" w:after="200" w:line="312" w:lineRule="auto"/>
        <w:jc w:val="center"/>
      </w:pPr>
      <w:r>
        <w:rPr>
          <w:rFonts w:ascii="Times New Roman" w:hAnsi="Times New Roman" w:cs="Times New Roman" w:eastAsia="Times New Roman"/>
          <w:b w:val="0"/>
          <w:i/>
          <w:sz w:val="24"/>
        </w:rPr>
        <w:t>Tài liệu tham chiếu: Thiết kế vận hành chuỗi cung ứng Cross-docking và tiêu chuẩn dịch vụ tại Trạm Hub O2O; Kế hoạch tài chính 5 năm giai đoạn 2026 - 2030.</w:t>
      </w:r>
    </w:p>
    <w:p>
      <w:pPr>
        <w:spacing w:before="200" w:after="120" w:line="312" w:lineRule="auto"/>
        <w:jc w:val="left"/>
      </w:pPr>
      <w:r>
        <w:rPr>
          <w:rFonts w:ascii="Times New Roman" w:hAnsi="Times New Roman" w:cs="Times New Roman" w:eastAsia="Times New Roman"/>
          <w:b/>
          <w:i w:val="0"/>
          <w:sz w:val="28"/>
        </w:rPr>
        <w:t>I. CĂN CỨ PHÁP LÝ VÀ MỤC TIÊU VẬN HÀNH</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Thương mại số 36/2005/QH11 ngày 14 tháng 6 năm 2005 của Quốc hội;</w:t>
      </w:r>
    </w:p>
    <w:p>
      <w:pPr>
        <w:spacing w:before="0" w:after="60" w:line="312" w:lineRule="auto"/>
        <w:jc w:val="both"/>
      </w:pPr>
      <w:r>
        <w:rPr>
          <w:rFonts w:ascii="Times New Roman" w:hAnsi="Times New Roman" w:cs="Times New Roman" w:eastAsia="Times New Roman"/>
          <w:b w:val="0"/>
          <w:i w:val="0"/>
          <w:sz w:val="26"/>
        </w:rPr>
        <w:t>- Luật Giao thông đường bộ và các quy định hiện hành về vận tải hàng hóa;</w:t>
      </w:r>
    </w:p>
    <w:p>
      <w:pPr>
        <w:spacing w:before="0" w:after="60" w:line="312" w:lineRule="auto"/>
        <w:jc w:val="both"/>
      </w:pPr>
      <w:r>
        <w:rPr>
          <w:rFonts w:ascii="Times New Roman" w:hAnsi="Times New Roman" w:cs="Times New Roman" w:eastAsia="Times New Roman"/>
          <w:b w:val="0"/>
          <w:i w:val="0"/>
          <w:sz w:val="26"/>
        </w:rPr>
        <w:t>- Nghị định số 52/2013/NĐ-CP và Nghị định số 85/2021/NĐ-CP về thương mại điện tử;</w:t>
      </w:r>
    </w:p>
    <w:p>
      <w:pPr>
        <w:spacing w:before="0" w:after="60" w:line="312" w:lineRule="auto"/>
        <w:jc w:val="both"/>
      </w:pPr>
      <w:r>
        <w:rPr>
          <w:rFonts w:ascii="Times New Roman" w:hAnsi="Times New Roman" w:cs="Times New Roman" w:eastAsia="Times New Roman"/>
          <w:b w:val="0"/>
          <w:i w:val="0"/>
          <w:sz w:val="26"/>
        </w:rPr>
        <w:t>- Các quy định hiện hành về hóa đơn điện tử và chứng từ hàng hóa;</w:t>
      </w:r>
    </w:p>
    <w:p>
      <w:pPr>
        <w:spacing w:before="0" w:after="60" w:line="312" w:lineRule="auto"/>
        <w:jc w:val="both"/>
      </w:pPr>
      <w:r>
        <w:rPr>
          <w:rFonts w:ascii="Times New Roman" w:hAnsi="Times New Roman" w:cs="Times New Roman" w:eastAsia="Times New Roman"/>
          <w:b w:val="0"/>
          <w:i w:val="0"/>
          <w:sz w:val="26"/>
        </w:rPr>
        <w:t>- Nghị quyết Đại hội đồng cổ đông Công ty Cổ phần VComm Việt Nam về định hướng phát triển giai đoạn 2026 - 2030.</w:t>
      </w:r>
    </w:p>
    <w:p>
      <w:pPr>
        <w:spacing w:before="120" w:after="80" w:line="312" w:lineRule="auto"/>
        <w:jc w:val="left"/>
      </w:pPr>
      <w:r>
        <w:rPr>
          <w:rFonts w:ascii="Times New Roman" w:hAnsi="Times New Roman" w:cs="Times New Roman" w:eastAsia="Times New Roman"/>
          <w:b/>
          <w:i w:val="0"/>
          <w:sz w:val="26"/>
        </w:rPr>
        <w:t>2. Mục tiêu vận hành</w:t>
      </w:r>
    </w:p>
    <w:p>
      <w:pPr>
        <w:spacing w:before="0" w:after="120" w:line="312" w:lineRule="auto"/>
        <w:ind w:firstLine="567"/>
        <w:jc w:val="both"/>
      </w:pPr>
      <w:r>
        <w:rPr>
          <w:rFonts w:ascii="Times New Roman" w:hAnsi="Times New Roman" w:cs="Times New Roman" w:eastAsia="Times New Roman"/>
          <w:b w:val="0"/>
          <w:i w:val="0"/>
          <w:sz w:val="26"/>
        </w:rPr>
        <w:t>Thiết lập một chuỗi cung ứng tinh gọn, luân chuyển hàng hóa nhanh và không lưu kho trung gian cồng kềnh; đồng thời chuẩn hóa toàn bộ quy trình vận hành tại Trạm Hub O2O nhằm bảo đảm chất lượng dịch vụ đồng nhất trên toàn mạng lưới. Mục tiêu cốt lõi là cắt giảm từ 40% đến 50% chi phí giao hàng chặng cuối so với mô hình giao hàng tận cửa truyền thống, đồng thời nâng cao thu nhập cho chủ điểm bán và trải nghiệm cho người mua.</w:t>
      </w:r>
    </w:p>
    <w:p>
      <w:pPr>
        <w:spacing w:before="200" w:after="120" w:line="312" w:lineRule="auto"/>
        <w:jc w:val="left"/>
      </w:pPr>
      <w:r>
        <w:rPr>
          <w:rFonts w:ascii="Times New Roman" w:hAnsi="Times New Roman" w:cs="Times New Roman" w:eastAsia="Times New Roman"/>
          <w:b/>
          <w:i w:val="0"/>
          <w:sz w:val="28"/>
        </w:rPr>
        <w:t>II. KIẾN TRÚC CHUỖI CUNG ỨNG TINH GỌN</w:t>
      </w:r>
    </w:p>
    <w:p>
      <w:pPr>
        <w:spacing w:before="120" w:after="80" w:line="312" w:lineRule="auto"/>
        <w:jc w:val="left"/>
      </w:pPr>
      <w:r>
        <w:rPr>
          <w:rFonts w:ascii="Times New Roman" w:hAnsi="Times New Roman" w:cs="Times New Roman" w:eastAsia="Times New Roman"/>
          <w:b/>
          <w:i w:val="0"/>
          <w:sz w:val="26"/>
        </w:rPr>
        <w:t>1. Mô hình luân chuyển hàng hóa Cross-docking</w:t>
      </w:r>
    </w:p>
    <w:p>
      <w:pPr>
        <w:spacing w:before="0" w:after="120" w:line="312" w:lineRule="auto"/>
        <w:ind w:firstLine="567"/>
        <w:jc w:val="both"/>
      </w:pPr>
      <w:r>
        <w:rPr>
          <w:rFonts w:ascii="Times New Roman" w:hAnsi="Times New Roman" w:cs="Times New Roman" w:eastAsia="Times New Roman"/>
          <w:b w:val="0"/>
          <w:i w:val="0"/>
          <w:sz w:val="26"/>
        </w:rPr>
        <w:t>Triệt tiêu hoàn toàn kho lưu trữ trung gian cồng kềnh bằng luồng luân chuyển nhanh. Hàng từ nhà máy được gom theo đơn chốt hàng ngày, chuyển về Trung tâm Phân loại nội đô trong đêm, và chia về các Trạm Hub trước 7 giờ 30 phút sáng hôm sau. Hàng hóa không lưu kho quá 24 giờ tại bất kỳ điểm trung gian nào.</w:t>
      </w:r>
    </w:p>
    <w:p>
      <w:pPr>
        <w:spacing w:before="120" w:after="80" w:line="312" w:lineRule="auto"/>
        <w:jc w:val="left"/>
      </w:pPr>
      <w:r>
        <w:rPr>
          <w:rFonts w:ascii="Times New Roman" w:hAnsi="Times New Roman" w:cs="Times New Roman" w:eastAsia="Times New Roman"/>
          <w:b/>
          <w:i w:val="0"/>
          <w:sz w:val="26"/>
        </w:rPr>
        <w:t>2. Mạng lưới Trạm Hub O2O</w:t>
      </w:r>
    </w:p>
    <w:p>
      <w:pPr>
        <w:spacing w:before="0" w:after="120" w:line="312" w:lineRule="auto"/>
        <w:ind w:firstLine="567"/>
        <w:jc w:val="both"/>
      </w:pPr>
      <w:r>
        <w:rPr>
          <w:rFonts w:ascii="Times New Roman" w:hAnsi="Times New Roman" w:cs="Times New Roman" w:eastAsia="Times New Roman"/>
          <w:b w:val="0"/>
          <w:i w:val="0"/>
          <w:sz w:val="26"/>
        </w:rPr>
        <w:t>Dùng trực tiếp các tiệm tạp hóa và cửa hàng tiện lợi sẵn có làm điểm tập kết hàng hóa chặng cuối quy mô nhỏ. Khách hàng tự ghé lấy hàng vào các khung giờ thuận tiện, đặc biệt là khung giờ tan tầm từ 16 giờ đến 20 giờ, giúp người mua chủ động nhận hàng khi đi làm về.</w:t>
      </w:r>
    </w:p>
    <w:p>
      <w:pPr>
        <w:spacing w:before="120" w:after="80" w:line="312" w:lineRule="auto"/>
        <w:jc w:val="left"/>
      </w:pPr>
      <w:r>
        <w:rPr>
          <w:rFonts w:ascii="Times New Roman" w:hAnsi="Times New Roman" w:cs="Times New Roman" w:eastAsia="Times New Roman"/>
          <w:b/>
          <w:i w:val="0"/>
          <w:sz w:val="26"/>
        </w:rPr>
        <w:t>3. Cắt giảm chi phí logistics</w:t>
      </w:r>
    </w:p>
    <w:p>
      <w:pPr>
        <w:spacing w:before="0" w:after="120" w:line="312" w:lineRule="auto"/>
        <w:ind w:firstLine="567"/>
        <w:jc w:val="both"/>
      </w:pPr>
      <w:r>
        <w:rPr>
          <w:rFonts w:ascii="Times New Roman" w:hAnsi="Times New Roman" w:cs="Times New Roman" w:eastAsia="Times New Roman"/>
          <w:b w:val="0"/>
          <w:i w:val="0"/>
          <w:sz w:val="26"/>
        </w:rPr>
        <w:t>Chi phí gom xe tuyến về Trạm Hub chỉ tốn trung bình từ 4.500 đến 6.500 đồng cho mỗi kiện hàng, so với 22.000 đến 30.000 đồng cho mỗi đơn giao tận cửa. Mức tiết kiệm này là nguồn lực tài chính quan trọng để tái đầu tư vào mạng lưới và duy trì chính sách giá cạnh tranh cho người tiêu dùng.</w:t>
      </w:r>
    </w:p>
    <w:p>
      <w:pPr>
        <w:spacing w:before="200" w:after="120" w:line="312" w:lineRule="auto"/>
        <w:jc w:val="left"/>
      </w:pPr>
      <w:r>
        <w:rPr>
          <w:rFonts w:ascii="Times New Roman" w:hAnsi="Times New Roman" w:cs="Times New Roman" w:eastAsia="Times New Roman"/>
          <w:b/>
          <w:i w:val="0"/>
          <w:sz w:val="28"/>
        </w:rPr>
        <w:t>III. TIÊU CHUẨN VẬN HÀNH TẠI TRẠM HUB</w:t>
      </w:r>
    </w:p>
    <w:p>
      <w:pPr>
        <w:spacing w:before="120" w:after="80" w:line="312" w:lineRule="auto"/>
        <w:jc w:val="left"/>
      </w:pPr>
      <w:r>
        <w:rPr>
          <w:rFonts w:ascii="Times New Roman" w:hAnsi="Times New Roman" w:cs="Times New Roman" w:eastAsia="Times New Roman"/>
          <w:b/>
          <w:i w:val="0"/>
          <w:sz w:val="26"/>
        </w:rPr>
        <w:t>1. Quy trình tiếp nhận hàng buổi sáng</w:t>
      </w:r>
    </w:p>
    <w:p>
      <w:pPr>
        <w:spacing w:before="0" w:after="120" w:line="312" w:lineRule="auto"/>
        <w:ind w:firstLine="567"/>
        <w:jc w:val="both"/>
      </w:pPr>
      <w:r>
        <w:rPr>
          <w:rFonts w:ascii="Times New Roman" w:hAnsi="Times New Roman" w:cs="Times New Roman" w:eastAsia="Times New Roman"/>
          <w:b w:val="0"/>
          <w:i w:val="0"/>
          <w:sz w:val="26"/>
        </w:rPr>
        <w:t>Lái xe quét mã bàn giao lô hàng lớn; chủ Trạm Hub dùng máy quét đối soát trong vòng 5 phút và hệ thống tự động kích hoạt tin nhắn thông báo hàng đã sẵn sàng gửi đến người mua. Quy trình này bảo đảm hàng hóa được kiểm đếm đầy đủ và người mua được thông báo kịp thời.</w:t>
      </w:r>
    </w:p>
    <w:p>
      <w:pPr>
        <w:spacing w:before="120" w:after="80" w:line="312" w:lineRule="auto"/>
        <w:jc w:val="left"/>
      </w:pPr>
      <w:r>
        <w:rPr>
          <w:rFonts w:ascii="Times New Roman" w:hAnsi="Times New Roman" w:cs="Times New Roman" w:eastAsia="Times New Roman"/>
          <w:b/>
          <w:i w:val="0"/>
          <w:sz w:val="26"/>
        </w:rPr>
        <w:t>2. Quy trình bàn giao siêu tốc</w:t>
      </w:r>
    </w:p>
    <w:p>
      <w:pPr>
        <w:spacing w:before="0" w:after="120" w:line="312" w:lineRule="auto"/>
        <w:ind w:firstLine="567"/>
        <w:jc w:val="both"/>
      </w:pPr>
      <w:r>
        <w:rPr>
          <w:rFonts w:ascii="Times New Roman" w:hAnsi="Times New Roman" w:cs="Times New Roman" w:eastAsia="Times New Roman"/>
          <w:b w:val="0"/>
          <w:i w:val="0"/>
          <w:sz w:val="26"/>
        </w:rPr>
        <w:t>Người mua mở mã QR nhận đơn trên ứng dụng; chủ Trạm Hub quét mã trên máy bán hàng để xác thực và giao hàng; hệ thống lập tức đối soát và chuyển trạng thái đơn sang đã hoàn thành. Toàn bộ thao tác bàn giao diễn ra trong thời gian rất ngắn, giảm thiểu sai sót và thất lạc hàng hóa.</w:t>
      </w:r>
    </w:p>
    <w:p>
      <w:pPr>
        <w:spacing w:before="120" w:after="80" w:line="312" w:lineRule="auto"/>
        <w:jc w:val="left"/>
      </w:pPr>
      <w:r>
        <w:rPr>
          <w:rFonts w:ascii="Times New Roman" w:hAnsi="Times New Roman" w:cs="Times New Roman" w:eastAsia="Times New Roman"/>
          <w:b/>
          <w:i w:val="0"/>
          <w:sz w:val="26"/>
        </w:rPr>
        <w:t>3. Quy trình đổi trả chéo kênh</w:t>
      </w:r>
    </w:p>
    <w:p>
      <w:pPr>
        <w:spacing w:before="0" w:after="120" w:line="312" w:lineRule="auto"/>
        <w:ind w:firstLine="567"/>
        <w:jc w:val="both"/>
      </w:pPr>
      <w:r>
        <w:rPr>
          <w:rFonts w:ascii="Times New Roman" w:hAnsi="Times New Roman" w:cs="Times New Roman" w:eastAsia="Times New Roman"/>
          <w:b w:val="0"/>
          <w:i w:val="0"/>
          <w:sz w:val="26"/>
        </w:rPr>
        <w:t>Khách hàng mua trực tuyến phát hiện lỗi có thể mang trực tiếp ra Trạm Hub gần nhất để gửi trả; chủ Trạm Hub xác nhận tình trạng hàng hóa và ví điện tử hoàn tiền cho khách trong thời gian ngắn. Cơ chế này xóa bỏ rào cản tâm lý về việc mua hàng trực tuyến khó đổi trả.</w:t>
      </w:r>
    </w:p>
    <w:p>
      <w:pPr>
        <w:spacing w:before="200" w:after="120" w:line="312" w:lineRule="auto"/>
        <w:jc w:val="left"/>
      </w:pPr>
      <w:r>
        <w:rPr>
          <w:rFonts w:ascii="Times New Roman" w:hAnsi="Times New Roman" w:cs="Times New Roman" w:eastAsia="Times New Roman"/>
          <w:b/>
          <w:i w:val="0"/>
          <w:sz w:val="28"/>
        </w:rPr>
        <w:t>IV. CHÍNH SÁCH CAM KẾT CHẤT LƯỢNG DỊCH VỤ VÀ GIỮ CHÂN CHỦ TRẠM</w:t>
      </w:r>
    </w:p>
    <w:p>
      <w:pPr>
        <w:spacing w:before="120" w:after="80" w:line="312" w:lineRule="auto"/>
        <w:jc w:val="left"/>
      </w:pPr>
      <w:r>
        <w:rPr>
          <w:rFonts w:ascii="Times New Roman" w:hAnsi="Times New Roman" w:cs="Times New Roman" w:eastAsia="Times New Roman"/>
          <w:b/>
          <w:i w:val="0"/>
          <w:sz w:val="26"/>
        </w:rPr>
        <w:t>1. Cơ cấu thu nhập kép</w:t>
      </w:r>
    </w:p>
    <w:p>
      <w:pPr>
        <w:spacing w:before="0" w:after="120" w:line="312" w:lineRule="auto"/>
        <w:ind w:firstLine="567"/>
        <w:jc w:val="both"/>
      </w:pPr>
      <w:r>
        <w:rPr>
          <w:rFonts w:ascii="Times New Roman" w:hAnsi="Times New Roman" w:cs="Times New Roman" w:eastAsia="Times New Roman"/>
          <w:b w:val="0"/>
          <w:i w:val="0"/>
          <w:sz w:val="26"/>
        </w:rPr>
        <w:t>Trả phí lưu kho và phát hàng từ 3.000 đến 5.000 đồng cho mỗi đơn, tạo dòng thu nhập thụ động cho mỗi tiệm tạp hóa tăng dần từ khoảng 4,5 triệu đồng mỗi tháng trong năm đầu lên trên 21,5 triệu đồng mỗi tháng vào năm thứ năm. Đây là động lực tài chính trực tiếp giữ chân chủ điểm bán gắn bó lâu dài với nền tảng.</w:t>
      </w:r>
    </w:p>
    <w:p>
      <w:pPr>
        <w:spacing w:before="120" w:after="80" w:line="312" w:lineRule="auto"/>
        <w:jc w:val="left"/>
      </w:pPr>
      <w:r>
        <w:rPr>
          <w:rFonts w:ascii="Times New Roman" w:hAnsi="Times New Roman" w:cs="Times New Roman" w:eastAsia="Times New Roman"/>
          <w:b/>
          <w:i w:val="0"/>
          <w:sz w:val="26"/>
        </w:rPr>
        <w:t>2. Khai thác dòng khách ghé tiệm</w:t>
      </w:r>
    </w:p>
    <w:p>
      <w:pPr>
        <w:spacing w:before="0" w:after="120" w:line="312" w:lineRule="auto"/>
        <w:ind w:firstLine="567"/>
        <w:jc w:val="both"/>
      </w:pPr>
      <w:r>
        <w:rPr>
          <w:rFonts w:ascii="Times New Roman" w:hAnsi="Times New Roman" w:cs="Times New Roman" w:eastAsia="Times New Roman"/>
          <w:b w:val="0"/>
          <w:i w:val="0"/>
          <w:sz w:val="26"/>
        </w:rPr>
        <w:t>Từ 25% đến 35% lượng khách ghé Trạm Hub nhận đơn trực tuyến phát sinh nhu cầu mua thêm nước uống, bánh kẹo và đồ dùng thiết yếu tại quầy, gia tăng doanh thu bán lẻ trực tiếp cho chủ điểm bán mà không phát sinh thêm chi phí.</w:t>
      </w:r>
    </w:p>
    <w:p>
      <w:pPr>
        <w:spacing w:before="120" w:after="80" w:line="312" w:lineRule="auto"/>
        <w:jc w:val="left"/>
      </w:pPr>
      <w:r>
        <w:rPr>
          <w:rFonts w:ascii="Times New Roman" w:hAnsi="Times New Roman" w:cs="Times New Roman" w:eastAsia="Times New Roman"/>
          <w:b/>
          <w:i w:val="0"/>
          <w:sz w:val="26"/>
        </w:rPr>
        <w:t>3. Chính sách bảo toàn hàng hóa</w:t>
      </w:r>
    </w:p>
    <w:p>
      <w:pPr>
        <w:spacing w:before="0" w:after="120" w:line="312" w:lineRule="auto"/>
        <w:ind w:firstLine="567"/>
        <w:jc w:val="both"/>
      </w:pPr>
      <w:r>
        <w:rPr>
          <w:rFonts w:ascii="Times New Roman" w:hAnsi="Times New Roman" w:cs="Times New Roman" w:eastAsia="Times New Roman"/>
          <w:b w:val="0"/>
          <w:i w:val="0"/>
          <w:sz w:val="26"/>
        </w:rPr>
        <w:t>Ký hợp đồng liên kết ủy thác với chủ Trạm Hub; mọi hư hỏng hoặc thất thoát hàng hóa do nguyên nhân chủ quan được cấn trừ trực tiếp vào hạn mức đối soát hoa hồng định kỳ, bảo đảm quyền lợi của nền tảng và người mua.</w:t>
      </w:r>
    </w:p>
    <w:p>
      <w:pPr>
        <w:spacing w:before="200" w:after="120" w:line="312" w:lineRule="auto"/>
        <w:jc w:val="left"/>
      </w:pPr>
      <w:r>
        <w:rPr>
          <w:rFonts w:ascii="Times New Roman" w:hAnsi="Times New Roman" w:cs="Times New Roman" w:eastAsia="Times New Roman"/>
          <w:b/>
          <w:i w:val="0"/>
          <w:sz w:val="28"/>
        </w:rPr>
        <w:t>V. VẬN HÀNH VÀ KHAI THÁC MẠNG LƯỚI ĐIỂM BÁN</w:t>
      </w:r>
    </w:p>
    <w:p>
      <w:pPr>
        <w:spacing w:before="120" w:after="80" w:line="312" w:lineRule="auto"/>
        <w:jc w:val="left"/>
      </w:pPr>
      <w:r>
        <w:rPr>
          <w:rFonts w:ascii="Times New Roman" w:hAnsi="Times New Roman" w:cs="Times New Roman" w:eastAsia="Times New Roman"/>
          <w:b/>
          <w:i w:val="0"/>
          <w:sz w:val="26"/>
        </w:rPr>
        <w:t>1. Mô hình "kho vệ tinh" siêu nhỏ</w:t>
      </w:r>
    </w:p>
    <w:p>
      <w:pPr>
        <w:spacing w:before="0" w:after="120" w:line="312" w:lineRule="auto"/>
        <w:ind w:firstLine="567"/>
        <w:jc w:val="both"/>
      </w:pPr>
      <w:r>
        <w:rPr>
          <w:rFonts w:ascii="Times New Roman" w:hAnsi="Times New Roman" w:cs="Times New Roman" w:eastAsia="Times New Roman"/>
          <w:b w:val="0"/>
          <w:i w:val="0"/>
          <w:sz w:val="26"/>
        </w:rPr>
        <w:t>Dùng chính các tiệm tạp hóa và cửa hàng tiện lợi sẵn có làm trạm gom hàng quy mô nhỏ. Hàng hóa từ nhà sản xuất được chuyển theo lô lớn bằng xe tải về Trạm Hub vào đầu ngày, cắt giảm đáng kể chi phí vận chuyển so với việc giao từng gói hàng nhỏ lẻ.</w:t>
      </w:r>
    </w:p>
    <w:p>
      <w:pPr>
        <w:spacing w:before="120" w:after="80" w:line="312" w:lineRule="auto"/>
        <w:jc w:val="left"/>
      </w:pPr>
      <w:r>
        <w:rPr>
          <w:rFonts w:ascii="Times New Roman" w:hAnsi="Times New Roman" w:cs="Times New Roman" w:eastAsia="Times New Roman"/>
          <w:b/>
          <w:i w:val="0"/>
          <w:sz w:val="26"/>
        </w:rPr>
        <w:t>2. Khung giờ nhận hàng linh hoạt</w:t>
      </w:r>
    </w:p>
    <w:p>
      <w:pPr>
        <w:spacing w:before="0" w:after="120" w:line="312" w:lineRule="auto"/>
        <w:ind w:firstLine="567"/>
        <w:jc w:val="both"/>
      </w:pPr>
      <w:r>
        <w:rPr>
          <w:rFonts w:ascii="Times New Roman" w:hAnsi="Times New Roman" w:cs="Times New Roman" w:eastAsia="Times New Roman"/>
          <w:b w:val="0"/>
          <w:i w:val="0"/>
          <w:sz w:val="26"/>
        </w:rPr>
        <w:t>Thiết lập cơ chế nhận hàng linh hoạt vào các khung giờ tan tầm, giúp người mua chủ động ghé lấy khi đi làm về mà không lo bị lỡ chuyến giao hàng. Cơ chế này đặc biệt phù hợp với nhóm khách hàng là người đi làm và hộ gia đình.</w:t>
      </w:r>
    </w:p>
    <w:p>
      <w:pPr>
        <w:spacing w:before="120" w:after="80" w:line="312" w:lineRule="auto"/>
        <w:jc w:val="left"/>
      </w:pPr>
      <w:r>
        <w:rPr>
          <w:rFonts w:ascii="Times New Roman" w:hAnsi="Times New Roman" w:cs="Times New Roman" w:eastAsia="Times New Roman"/>
          <w:b/>
          <w:i w:val="0"/>
          <w:sz w:val="26"/>
        </w:rPr>
        <w:t>3. Quy trình bàn giao bằng mã vạch</w:t>
      </w:r>
    </w:p>
    <w:p>
      <w:pPr>
        <w:spacing w:before="0" w:after="120" w:line="312" w:lineRule="auto"/>
        <w:ind w:firstLine="567"/>
        <w:jc w:val="both"/>
      </w:pPr>
      <w:r>
        <w:rPr>
          <w:rFonts w:ascii="Times New Roman" w:hAnsi="Times New Roman" w:cs="Times New Roman" w:eastAsia="Times New Roman"/>
          <w:b w:val="0"/>
          <w:i w:val="0"/>
          <w:sz w:val="26"/>
        </w:rPr>
        <w:t>Khách hàng đưa mã nhận đơn trên điện thoại, chủ Trạm Hub quét mã xác nhận qua thiết bị cầm tay trong thời gian rất ngắn, giảm thiểu sai sót và thất lạc hàng hóa.</w:t>
      </w:r>
    </w:p>
    <w:p>
      <w:pPr>
        <w:spacing w:before="200" w:after="120" w:line="312" w:lineRule="auto"/>
        <w:jc w:val="left"/>
      </w:pPr>
      <w:r>
        <w:rPr>
          <w:rFonts w:ascii="Times New Roman" w:hAnsi="Times New Roman" w:cs="Times New Roman" w:eastAsia="Times New Roman"/>
          <w:b/>
          <w:i w:val="0"/>
          <w:sz w:val="28"/>
        </w:rPr>
        <w:t>VI. QUẢN TRỊ RỦI RO VẬN HÀNH VÀ KIỂM SOÁT THẤT THOÁT</w:t>
      </w:r>
    </w:p>
    <w:p>
      <w:pPr>
        <w:spacing w:before="0" w:after="60" w:line="312" w:lineRule="auto"/>
        <w:jc w:val="both"/>
      </w:pPr>
      <w:r>
        <w:rPr>
          <w:rFonts w:ascii="Times New Roman" w:hAnsi="Times New Roman" w:cs="Times New Roman" w:eastAsia="Times New Roman"/>
          <w:b w:val="0"/>
          <w:i w:val="0"/>
          <w:sz w:val="26"/>
        </w:rPr>
        <w:t>- Kiểm soát chuỗi lạnh và hàng tươi sống: áp dụng quy trình bảo quản riêng cho nhóm thực phẩm tươi sống, bảo đảm chất lượng hàng hóa đến tay người tiêu dùng.</w:t>
      </w:r>
    </w:p>
    <w:p>
      <w:pPr>
        <w:spacing w:before="0" w:after="60" w:line="312" w:lineRule="auto"/>
        <w:jc w:val="both"/>
      </w:pPr>
      <w:r>
        <w:rPr>
          <w:rFonts w:ascii="Times New Roman" w:hAnsi="Times New Roman" w:cs="Times New Roman" w:eastAsia="Times New Roman"/>
          <w:b w:val="0"/>
          <w:i w:val="0"/>
          <w:sz w:val="26"/>
        </w:rPr>
        <w:t>- Kiểm soát thất thoát hàng hóa: đối soát số liệu nhập xuất tồn tại mỗi Trạm Hub theo ngày; cấn trừ hoa hồng đối với các trường hợp thất thoát do lỗi chủ quan.</w:t>
      </w:r>
    </w:p>
    <w:p>
      <w:pPr>
        <w:spacing w:before="0" w:after="60" w:line="312" w:lineRule="auto"/>
        <w:jc w:val="both"/>
      </w:pPr>
      <w:r>
        <w:rPr>
          <w:rFonts w:ascii="Times New Roman" w:hAnsi="Times New Roman" w:cs="Times New Roman" w:eastAsia="Times New Roman"/>
          <w:b w:val="0"/>
          <w:i w:val="0"/>
          <w:sz w:val="26"/>
        </w:rPr>
        <w:t>- Kiểm soát chất lượng dịch vụ: đo lường tỷ lệ giao hàng đúng hạn, tỷ lệ đơn lỗi và thời gian xử lý đổi trả tại từng Trạm Hub để xếp hạng và có chính sách thưởng phạt phù hợp.</w:t>
      </w:r>
    </w:p>
    <w:p>
      <w:pPr>
        <w:spacing w:before="0" w:after="60" w:line="312" w:lineRule="auto"/>
        <w:jc w:val="both"/>
      </w:pPr>
      <w:r>
        <w:rPr>
          <w:rFonts w:ascii="Times New Roman" w:hAnsi="Times New Roman" w:cs="Times New Roman" w:eastAsia="Times New Roman"/>
          <w:b w:val="0"/>
          <w:i w:val="0"/>
          <w:sz w:val="26"/>
        </w:rPr>
        <w:t>- Dự phòng gián đoạn vận hành: xây dựng phương án dự phòng tuyến vận chuyển và Trạm Hub thay thế trong trường hợp phát sinh sự cố tại một điểm bất kỳ.</w:t>
      </w:r>
    </w:p>
    <w:p>
      <w:pPr>
        <w:spacing w:before="200" w:after="120" w:line="312" w:lineRule="auto"/>
        <w:jc w:val="left"/>
      </w:pPr>
      <w:r>
        <w:rPr>
          <w:rFonts w:ascii="Times New Roman" w:hAnsi="Times New Roman" w:cs="Times New Roman" w:eastAsia="Times New Roman"/>
          <w:b/>
          <w:i w:val="0"/>
          <w:sz w:val="28"/>
        </w:rPr>
        <w:t>VII. TỔ CHỨC THỰC HIỆN</w:t>
      </w:r>
    </w:p>
    <w:p>
      <w:pPr>
        <w:spacing w:before="0" w:after="120" w:line="312" w:lineRule="auto"/>
        <w:ind w:firstLine="567"/>
        <w:jc w:val="both"/>
      </w:pPr>
      <w:r>
        <w:rPr>
          <w:rFonts w:ascii="Times New Roman" w:hAnsi="Times New Roman" w:cs="Times New Roman" w:eastAsia="Times New Roman"/>
          <w:b w:val="0"/>
          <w:i w:val="0"/>
          <w:sz w:val="26"/>
        </w:rPr>
        <w:t>Khối Vận hành Logistics chủ trì điều phối chuỗi cung ứng Cross-docking, vận hành Trung tâm Phân loại và mạng lưới Trạm Hub; phối hợp chặt chẽ với Khối Phát triển Kinh doanh trong việc tuyển chọn và đào tạo chủ điểm bán; phối hợp với Khối Công nghệ thông tin để bảo đảm hệ thống bán hàng và đối soát vận hành thông suốt.</w:t>
      </w:r>
    </w:p>
    <w:p>
      <w:pPr>
        <w:spacing w:before="120" w:after="120" w:line="312" w:lineRule="auto"/>
        <w:ind w:firstLine="567"/>
        <w:jc w:val="both"/>
      </w:pPr>
      <w:r>
        <w:rPr>
          <w:rFonts w:ascii="Times New Roman" w:hAnsi="Times New Roman" w:cs="Times New Roman" w:eastAsia="Times New Roman"/>
          <w:b w:val="0"/>
          <w:i w:val="0"/>
          <w:sz w:val="26"/>
        </w:rPr>
        <w:t>Khối Vận hành Logistics và các đơn vị trực thuộc Công ty Cổ phần VComm Việt Nam có trách nhiệm triển khai thực hiện nghiêm túc Đề án này./.</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