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5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Financial Statements Can and Cannot Reveal About Monetary</w:t>
      </w:r>
      <w:r>
        <w:t xml:space="preserve"> </w:t>
      </w:r>
      <w:r>
        <w:t xml:space="preserve">Transmission to Corporate Balance Sheets: A Five-Country Emerging-Market Test</w:t>
      </w:r>
    </w:p>
    <w:p>
      <w:pPr>
        <w:pStyle w:val="AbstractTitle"/>
      </w:pPr>
      <w:r>
        <w:t xml:space="preserve">Abstract</w:t>
      </w:r>
    </w:p>
    <w:p>
      <w:pPr>
        <w:pStyle w:val="Abstract"/>
      </w:pPr>
      <w:r>
        <w:t xml:space="preserve">Firms holding floating-rate debt bear the brunt of monetary tightening—a</w:t>
      </w:r>
      <w:r>
        <w:t xml:space="preserve"> </w:t>
      </w:r>
      <w:r>
        <w:t xml:space="preserve">finding built almost entirely on supervisory credit registries. Most emerging</w:t>
      </w:r>
      <w:r>
        <w:t xml:space="preserve"> </w:t>
      </w:r>
      <w:r>
        <w:t xml:space="preserve">markets have none; they have published financial statements. Can these</w:t>
      </w:r>
      <w:r>
        <w:t xml:space="preserve"> </w:t>
      </w:r>
      <w:r>
        <w:t xml:space="preserve">substitute? We develop a measurement framework in which exposure is estimated</w:t>
      </w:r>
      <w:r>
        <w:t xml:space="preserve"> </w:t>
      </w:r>
      <w:r>
        <w:t xml:space="preserve">rather than observed, and test its predictions on harmonised panels of listed</w:t>
      </w:r>
      <w:r>
        <w:t xml:space="preserve"> </w:t>
      </w:r>
      <w:r>
        <w:t xml:space="preserve">non-financial firms in five emerging markets—Türkiye, Vietnam, Poland,</w:t>
      </w:r>
      <w:r>
        <w:t xml:space="preserve"> </w:t>
      </w:r>
      <w:r>
        <w:t xml:space="preserve">Israel and South Korea—over 2010–2025 (2021–2025 for the latter three),</w:t>
      </w:r>
      <w:r>
        <w:t xml:space="preserve"> </w:t>
      </w:r>
      <w:r>
        <w:t xml:space="preserve">spanning tightening doses from Türkiye’s 36.0 percentage points to</w:t>
      </w:r>
      <w:r>
        <w:t xml:space="preserve"> </w:t>
      </w:r>
      <w:r>
        <w:t xml:space="preserve">Vietnam’s 1.5. The price of debt proves recoverable: a</w:t>
      </w:r>
      <w:r>
        <w:t xml:space="preserve"> </w:t>
      </w:r>
      <w:r>
        <w:t xml:space="preserve">simple implied borrowing cost tracks each country’s policy path, and its change</w:t>
      </w:r>
      <w:r>
        <w:t xml:space="preserve"> </w:t>
      </w:r>
      <w:r>
        <w:t xml:space="preserve">tracks tightening dose across the sample—a pattern we read qualitatively</w:t>
      </w:r>
      <w:r>
        <w:t xml:space="preserve"> </w:t>
      </w:r>
      <w:r>
        <w:t xml:space="preserve">given only five countries—with pass-through of roughly one-third in</w:t>
      </w:r>
      <w:r>
        <w:t xml:space="preserve"> </w:t>
      </w:r>
      <w:r>
        <w:t xml:space="preserve">Türkiye and coverage halving. Exposure does</w:t>
      </w:r>
      <w:r>
        <w:t xml:space="preserve"> </w:t>
      </w:r>
      <w:r>
        <w:t xml:space="preserve">not. Split-half reliabilities of</w:t>
      </w:r>
      <w:r>
        <w:t xml:space="preserve"> </w:t>
      </w:r>
      <m:oMath>
        <m:r>
          <m:rPr>
            <m:sty m:val="p"/>
          </m:rPr>
          <m:t>+</m:t>
        </m:r>
        <m:r>
          <m:t>0.045</m:t>
        </m:r>
      </m:oMath>
      <w:r>
        <w:t xml:space="preserve"> </w:t>
      </w:r>
      <w:r>
        <w:t xml:space="preserve">and</w:t>
      </w:r>
      <w:r>
        <w:t xml:space="preserve"> </w:t>
      </w:r>
      <m:oMath>
        <m:r>
          <m:rPr>
            <m:sty m:val="p"/>
          </m:rPr>
          <m:t>+</m:t>
        </m:r>
        <m:r>
          <m:t>0.054</m:t>
        </m:r>
      </m:oMath>
      <w:r>
        <w:t xml:space="preserve"> </w:t>
      </w:r>
      <w:r>
        <w:t xml:space="preserve">in the two countries with</w:t>
      </w:r>
      <w:r>
        <w:t xml:space="preserve"> </w:t>
      </w:r>
      <w:r>
        <w:t xml:space="preserve">decade-long history are indistinguishable from zero, implying an attenuation</w:t>
      </w:r>
      <w:r>
        <w:t xml:space="preserve"> </w:t>
      </w:r>
      <w:r>
        <w:t xml:space="preserve">factor of essentially zero, Türkiye’s</w:t>
      </w:r>
      <w:r>
        <w:t xml:space="preserve"> </w:t>
      </w:r>
      <w:r>
        <w:t xml:space="preserve">inflation-accounting restatement enters as an exposure-by-post interaction</w:t>
      </w:r>
      <w:r>
        <w:t xml:space="preserve"> </w:t>
      </w:r>
      <w:r>
        <w:t xml:space="preserve">fixed effects cannot absorb, and pooling all five countries the exposure-by-dose</w:t>
      </w:r>
      <w:r>
        <w:t xml:space="preserve"> </w:t>
      </w:r>
      <w:r>
        <w:t xml:space="preserve">interaction is null on interest coverage and profitability (</w:t>
      </w:r>
      <m:oMath>
        <m:r>
          <m:t>p</m:t>
        </m:r>
        <m:r>
          <m:rPr>
            <m:sty m:val="p"/>
          </m:rPr>
          <m:t>=</m:t>
        </m:r>
        <m:r>
          <m:t>0.84</m:t>
        </m:r>
      </m:oMath>
      <w:r>
        <w:t xml:space="preserve">,</w:t>
      </w:r>
      <w:r>
        <w:t xml:space="preserve"> </w:t>
      </w:r>
      <m:oMath>
        <m:r>
          <m:t>p</m:t>
        </m:r>
        <m:r>
          <m:rPr>
            <m:sty m:val="p"/>
          </m:rPr>
          <m:t>=</m:t>
        </m:r>
        <m:r>
          <m:t>0.41</m:t>
        </m:r>
      </m:oMath>
      <w:r>
        <w:t xml:space="preserve">) while significant only on the price measure already shown to move</w:t>
      </w:r>
      <w:r>
        <w:t xml:space="preserve"> </w:t>
      </w:r>
      <w:r>
        <w:t xml:space="preserve">with dose mechanically. The contractual object these designs require is absent</w:t>
      </w:r>
      <w:r>
        <w:t xml:space="preserve"> </w:t>
      </w:r>
      <w:r>
        <w:t xml:space="preserve">from the accounting record.</w:t>
      </w:r>
    </w:p>
    <w:p>
      <w:pPr>
        <w:pStyle w:val="FirstParagraph"/>
      </w:pPr>
      <w:r>
        <w:rPr>
          <w:b/>
          <w:bCs/>
        </w:rPr>
        <w:t xml:space="preserve">Keywords:</w:t>
      </w:r>
      <w:r>
        <w:t xml:space="preserve"> </w:t>
      </w:r>
      <w:r>
        <w:t xml:space="preserve">monetary transmission ; corporate default ; measurement error ;</w:t>
      </w:r>
      <w:r>
        <w:t xml:space="preserve"> </w:t>
      </w:r>
      <w:r>
        <w:t xml:space="preserve">inflation accounting ; emerging markets ; financial statements</w:t>
      </w:r>
      <w:r>
        <w:t xml:space="preserve"> </w:t>
      </w:r>
      <w:r>
        <w:t xml:space="preserve">E52 ; G32 ; M41 ; C23</w:t>
      </w:r>
    </w:p>
    <w:bookmarkStart w:id="14" w:name="introduction"/>
    <w:p>
      <w:pPr>
        <w:pStyle w:val="Heading1"/>
      </w:pPr>
      <w:r>
        <w:t xml:space="preserve">Introduction</w:t>
      </w:r>
    </w:p>
    <w:p>
      <w:pPr>
        <w:pStyle w:val="FirstParagraph"/>
      </w:pPr>
      <w:r>
        <w:t xml:space="preserve">A firm that borrows at a floating rate feels a policy tightening within weeks.</w:t>
      </w:r>
      <w:r>
        <w:t xml:space="preserve"> </w:t>
      </w:r>
      <w:r>
        <w:t xml:space="preserve">A firm that borrowed long and fixed does not feel it until it refinances. This</w:t>
      </w:r>
      <w:r>
        <w:t xml:space="preserve"> </w:t>
      </w:r>
      <w:r>
        <w:t xml:space="preserve">asymmetry is simple, intuitive, and has become the organising principle of a</w:t>
      </w:r>
      <w:r>
        <w:t xml:space="preserve"> </w:t>
      </w:r>
      <w:r>
        <w:t xml:space="preserve">productive literature on how monetary policy reaches the corporate sector.</w:t>
      </w:r>
      <w:r>
        <w:t xml:space="preserve"> </w:t>
      </w:r>
      <w:r>
        <w:t xml:space="preserve">Ippolito et al. (2018)</w:t>
      </w:r>
      <w:r>
        <w:t xml:space="preserve"> </w:t>
      </w:r>
      <w:r>
        <w:t xml:space="preserve">identify a</w:t>
      </w:r>
      <w:r>
        <w:t xml:space="preserve"> </w:t>
      </w:r>
      <w:r>
        <w:rPr>
          <w:i/>
          <w:iCs/>
        </w:rPr>
        <w:t xml:space="preserve">floating rate channel</w:t>
      </w:r>
      <w:r>
        <w:t xml:space="preserve"> </w:t>
      </w:r>
      <w:r>
        <w:t xml:space="preserve">in matched</w:t>
      </w:r>
      <w:r>
        <w:t xml:space="preserve"> </w:t>
      </w:r>
      <w:r>
        <w:t xml:space="preserve">loan-level records, showing that firms with unhedged floating-rate bank debt cut</w:t>
      </w:r>
      <w:r>
        <w:t xml:space="preserve"> </w:t>
      </w:r>
      <w:r>
        <w:t xml:space="preserve">investment and employment more sharply after tightening.</w:t>
      </w:r>
      <w:r>
        <w:t xml:space="preserve"> </w:t>
      </w:r>
      <w:r>
        <w:t xml:space="preserve">Şengül &amp; Çinko (2026)</w:t>
      </w:r>
      <w:r>
        <w:t xml:space="preserve">,</w:t>
      </w:r>
      <w:r>
        <w:t xml:space="preserve"> </w:t>
      </w:r>
      <w:r>
        <w:t xml:space="preserve">studying the June 2023 policy reversal in Türkiye, apply a two-part Double</w:t>
      </w:r>
      <w:r>
        <w:t xml:space="preserve"> </w:t>
      </w:r>
      <w:r>
        <w:t xml:space="preserve">Machine Learning design to a large administrative dataset and find that while</w:t>
      </w:r>
      <w:r>
        <w:t xml:space="preserve"> </w:t>
      </w:r>
      <w:r>
        <w:t xml:space="preserve">the average effect is modest, sensitivity concentrates in firms with weak</w:t>
      </w:r>
      <w:r>
        <w:t xml:space="preserve"> </w:t>
      </w:r>
      <w:r>
        <w:t xml:space="preserve">internal risk ratings, low liquidity and high exposure shares, with exporters</w:t>
      </w:r>
      <w:r>
        <w:t xml:space="preserve"> </w:t>
      </w:r>
      <w:r>
        <w:t xml:space="preserve">and manufacturers relatively insulated.</w:t>
      </w:r>
    </w:p>
    <w:p>
      <w:pPr>
        <w:pStyle w:val="BodyText"/>
      </w:pPr>
      <w:r>
        <w:t xml:space="preserve">What these studies share is not merely a question but an input: a credit</w:t>
      </w:r>
      <w:r>
        <w:t xml:space="preserve"> </w:t>
      </w:r>
      <w:r>
        <w:t xml:space="preserve">registry recording, loan by loan, whether the contract reprices. Such registries</w:t>
      </w:r>
      <w:r>
        <w:t xml:space="preserve"> </w:t>
      </w:r>
      <w:r>
        <w:t xml:space="preserve">exist in relatively few jurisdictions and are available to researchers in fewer</w:t>
      </w:r>
      <w:r>
        <w:t xml:space="preserve"> </w:t>
      </w:r>
      <w:r>
        <w:t xml:space="preserve">still. What almost every market does have is a body of audited, published</w:t>
      </w:r>
      <w:r>
        <w:t xml:space="preserve"> </w:t>
      </w:r>
      <w:r>
        <w:t xml:space="preserve">financial statements. The question this paper takes seriously—and, we argue,</w:t>
      </w:r>
      <w:r>
        <w:t xml:space="preserve"> </w:t>
      </w:r>
      <w:r>
        <w:t xml:space="preserve">the field has not asked carefully enough—is whether that accounting record can</w:t>
      </w:r>
      <w:r>
        <w:t xml:space="preserve"> </w:t>
      </w:r>
      <w:r>
        <w:t xml:space="preserve">stand in for the registry.</w:t>
      </w:r>
    </w:p>
    <w:p>
      <w:pPr>
        <w:pStyle w:val="BodyText"/>
      </w:pPr>
      <w:r>
        <w:t xml:space="preserve">The stakes are practical. If statements suffice, the literature’s geographic</w:t>
      </w:r>
      <w:r>
        <w:t xml:space="preserve"> </w:t>
      </w:r>
      <w:r>
        <w:t xml:space="preserve">reach expands by an order of magnitude. If they do not, then a body of work is</w:t>
      </w:r>
      <w:r>
        <w:t xml:space="preserve"> </w:t>
      </w:r>
      <w:r>
        <w:t xml:space="preserve">being built on designs that cannot deliver what they promise, and it is worth</w:t>
      </w:r>
      <w:r>
        <w:t xml:space="preserve"> </w:t>
      </w:r>
      <w:r>
        <w:t xml:space="preserve">establishing precisely where the failure occurs and what remains possible.</w:t>
      </w:r>
    </w:p>
    <w:bookmarkStart w:id="10" w:name="approach"/>
    <w:p>
      <w:pPr>
        <w:pStyle w:val="Heading2"/>
      </w:pPr>
      <w:r>
        <w:t xml:space="preserve">Approach</w:t>
      </w:r>
    </w:p>
    <w:p>
      <w:pPr>
        <w:pStyle w:val="FirstParagraph"/>
      </w:pPr>
      <w:r>
        <w:t xml:space="preserve">We proceed in two stages. Section 2.2 develops a measurement</w:t>
      </w:r>
      <w:r>
        <w:t xml:space="preserve"> </w:t>
      </w:r>
      <w:r>
        <w:t xml:space="preserve">framework in which the exposure variable is</w:t>
      </w:r>
      <w:r>
        <w:t xml:space="preserve"> </w:t>
      </w:r>
      <w:r>
        <w:rPr>
          <w:i/>
          <w:iCs/>
        </w:rPr>
        <w:t xml:space="preserve">estimated</w:t>
      </w:r>
      <w:r>
        <w:t xml:space="preserve"> </w:t>
      </w:r>
      <w:r>
        <w:t xml:space="preserve">rather than</w:t>
      </w:r>
      <w:r>
        <w:t xml:space="preserve"> </w:t>
      </w:r>
      <w:r>
        <w:t xml:space="preserve">observed, and derives what that implies for the difference-in-differences</w:t>
      </w:r>
      <w:r>
        <w:t xml:space="preserve"> </w:t>
      </w:r>
      <w:r>
        <w:t xml:space="preserve">estimand. The framework delivers four propositions, each of which generates a</w:t>
      </w:r>
      <w:r>
        <w:t xml:space="preserve"> </w:t>
      </w:r>
      <w:r>
        <w:t xml:space="preserve">sharp, falsifiable prediction about statistics we can compute. Sections</w:t>
      </w:r>
      <w:r>
        <w:t xml:space="preserve"> </w:t>
      </w:r>
      <w:r>
        <w:t xml:space="preserve">3.1–5.4 take those predictions to data.</w:t>
      </w:r>
    </w:p>
    <w:p>
      <w:pPr>
        <w:pStyle w:val="BodyText"/>
      </w:pPr>
      <w:r>
        <w:t xml:space="preserve">The empirical design is comparative and, where the data permit, decade-long.</w:t>
      </w:r>
      <w:r>
        <w:t xml:space="preserve"> </w:t>
      </w:r>
      <w:r>
        <w:t xml:space="preserve">Vietnam and Türkiye anchor the study: they share the structural features</w:t>
      </w:r>
      <w:r>
        <w:t xml:space="preserve"> </w:t>
      </w:r>
      <w:r>
        <w:t xml:space="preserve">that make the floating-rate channel plausible—bank-dominated corporate</w:t>
      </w:r>
      <w:r>
        <w:t xml:space="preserve"> </w:t>
      </w:r>
      <w:r>
        <w:t xml:space="preserve">finance, thin corporate bond markets, heavy reliance on short-maturity credit,</w:t>
      </w:r>
      <w:r>
        <w:t xml:space="preserve"> </w:t>
      </w:r>
      <w:r>
        <w:t xml:space="preserve">substantial listed non-financial sectors—and diverge sharply in monetary</w:t>
      </w:r>
      <w:r>
        <w:t xml:space="preserve"> </w:t>
      </w:r>
      <w:r>
        <w:t xml:space="preserve">experience. Türkiye executed one of the decade’s most severe tightenings,</w:t>
      </w:r>
      <w:r>
        <w:t xml:space="preserve"> </w:t>
      </w:r>
      <w:r>
        <w:t xml:space="preserve">from 9.0% to 50%, under inflation exceeding 60%; Vietnam tightened</w:t>
      </w:r>
      <w:r>
        <w:t xml:space="preserve"> </w:t>
      </w:r>
      <w:r>
        <w:t xml:space="preserve">modestly in late 2022 and reversed within a year. Both countries carry the</w:t>
      </w:r>
      <w:r>
        <w:t xml:space="preserve"> </w:t>
      </w:r>
      <w:r>
        <w:t xml:space="preserve">history needed to test the identifying assumption directly, back to 2010–11.</w:t>
      </w:r>
    </w:p>
    <w:p>
      <w:pPr>
        <w:pStyle w:val="BodyText"/>
      </w:pPr>
      <w:r>
        <w:t xml:space="preserve">A two-point contrast, however sharp, is still only two points, and a referee</w:t>
      </w:r>
      <w:r>
        <w:t xml:space="preserve"> </w:t>
      </w:r>
      <w:r>
        <w:t xml:space="preserve">is right to ask whether either country’s null is idiosyncratic. We therefore</w:t>
      </w:r>
      <w:r>
        <w:t xml:space="preserve"> </w:t>
      </w:r>
      <w:r>
        <w:t xml:space="preserve">extend the design to three further emerging markets—Poland, Israel and South</w:t>
      </w:r>
      <w:r>
        <w:t xml:space="preserve"> </w:t>
      </w:r>
      <w:r>
        <w:t xml:space="preserve">Korea—spanning tightening doses of 5.0, 4.65 and 2.5 percentage points and</w:t>
      </w:r>
      <w:r>
        <w:t xml:space="preserve"> </w:t>
      </w:r>
      <w:r>
        <w:t xml:space="preserve">chosen, among a broader set of markets assembled during scoping, for the</w:t>
      </w:r>
      <w:r>
        <w:t xml:space="preserve"> </w:t>
      </w:r>
      <w:r>
        <w:t xml:space="preserve">largest and most reliable firm counts.</w:t>
      </w:r>
      <w:r>
        <w:rPr>
          <w:rStyle w:val="FootnoteReference"/>
        </w:rPr>
        <w:footnoteReference w:id="9"/>
      </w:r>
      <w:r>
        <w:t xml:space="preserve"> </w:t>
      </w:r>
      <w:r>
        <w:t xml:space="preserve">Across the five countries the change in</w:t>
      </w:r>
      <w:r>
        <w:t xml:space="preserve"> </w:t>
      </w:r>
      <w:r>
        <w:t xml:space="preserve">implied borrowing cost correlates with tightening dose at</w:t>
      </w:r>
      <w:r>
        <w:t xml:space="preserve"> </w:t>
      </w:r>
      <m:oMath>
        <m:r>
          <m:t>r</m:t>
        </m:r>
        <m:r>
          <m:rPr>
            <m:sty m:val="p"/>
          </m:rPr>
          <m:t>=</m:t>
        </m:r>
        <m:r>
          <m:t>0.995</m:t>
        </m:r>
      </m:oMath>
      <w:r>
        <w:t xml:space="preserve"> </w:t>
      </w:r>
      <w:r>
        <w:t xml:space="preserve">(Section 5.3), and the exposure-by-dose interaction is null on</w:t>
      </w:r>
      <w:r>
        <w:t xml:space="preserve"> </w:t>
      </w:r>
      <w:r>
        <w:t xml:space="preserve">distress and profitability outcomes regardless of how severely a country</w:t>
      </w:r>
      <w:r>
        <w:t xml:space="preserve"> </w:t>
      </w:r>
      <w:r>
        <w:t xml:space="preserve">tightened. The two-country design supplies the depth—a decade of history,</w:t>
      </w:r>
      <w:r>
        <w:t xml:space="preserve"> </w:t>
      </w:r>
      <w:r>
        <w:t xml:space="preserve">a testable pre-trend, an inflation-accounting stress test; the five-country</w:t>
      </w:r>
      <w:r>
        <w:t xml:space="preserve"> </w:t>
      </w:r>
      <w:r>
        <w:t xml:space="preserve">extension supplies breadth, showing the conclusion is not an artefact of which</w:t>
      </w:r>
      <w:r>
        <w:t xml:space="preserve"> </w:t>
      </w:r>
      <w:r>
        <w:t xml:space="preserve">two countries were chosen.</w:t>
      </w:r>
    </w:p>
    <w:p>
      <w:pPr>
        <w:pStyle w:val="BodyText"/>
      </w:pPr>
      <w:r>
        <w:t xml:space="preserve">This dose gradient is the paper’s instrument throughout. It imposes a</w:t>
      </w:r>
      <w:r>
        <w:t xml:space="preserve"> </w:t>
      </w:r>
      <w:r>
        <w:t xml:space="preserve">discipline a single-country study cannot: a measurement strategy that works</w:t>
      </w:r>
      <w:r>
        <w:t xml:space="preserve"> </w:t>
      </w:r>
      <w:r>
        <w:t xml:space="preserve">should register a stronger response where tightening was more severe, in</w:t>
      </w:r>
      <w:r>
        <w:t xml:space="preserve"> </w:t>
      </w:r>
      <w:r>
        <w:t xml:space="preserve">proportion. A method that fails to register the gradient, or that finds a</w:t>
      </w:r>
      <w:r>
        <w:t xml:space="preserve"> </w:t>
      </w:r>
      <w:r>
        <w:t xml:space="preserve">firm-level exposure effect that itself fails to scale with dose, has failed a</w:t>
      </w:r>
      <w:r>
        <w:t xml:space="preserve"> </w:t>
      </w:r>
      <w:r>
        <w:t xml:space="preserve">test it would never have faced with one country alone.</w:t>
      </w:r>
    </w:p>
    <w:p>
      <w:pPr>
        <w:pStyle w:val="BodyText"/>
      </w:pPr>
      <w:r>
        <w:t xml:space="preserve">We are conscious that five countries is not many, and Section 5.3</w:t>
      </w:r>
      <w:r>
        <w:t xml:space="preserve"> </w:t>
      </w:r>
      <w:r>
        <w:t xml:space="preserve">returns to this directly: with so few points a very high correlation is not, on</w:t>
      </w:r>
      <w:r>
        <w:t xml:space="preserve"> </w:t>
      </w:r>
      <w:r>
        <w:t xml:space="preserve">its own, strong statistical evidence, and we read it qualitatively rather than</w:t>
      </w:r>
      <w:r>
        <w:t xml:space="preserve"> </w:t>
      </w:r>
      <w:r>
        <w:t xml:space="preserve">as a precisely estimated slope.</w:t>
      </w:r>
    </w:p>
    <w:p>
      <w:pPr>
        <w:pStyle w:val="BodyText"/>
      </w:pPr>
      <w:r>
        <w:t xml:space="preserve">Our diagnostic standard throughout is</w:t>
      </w:r>
      <w:r>
        <w:t xml:space="preserve"> </w:t>
      </w:r>
      <w:r>
        <w:rPr>
          <w:i/>
          <w:iCs/>
        </w:rPr>
        <w:t xml:space="preserve">validation against an external</w:t>
      </w:r>
      <w:r>
        <w:rPr>
          <w:i/>
          <w:iCs/>
        </w:rPr>
        <w:t xml:space="preserve"> </w:t>
      </w:r>
      <w:r>
        <w:rPr>
          <w:i/>
          <w:iCs/>
        </w:rPr>
        <w:t xml:space="preserve">benchmark</w:t>
      </w:r>
      <w:r>
        <w:t xml:space="preserve">. We do not ask whether a measure is statistically well behaved; we</w:t>
      </w:r>
      <w:r>
        <w:t xml:space="preserve"> </w:t>
      </w:r>
      <w:r>
        <w:t xml:space="preserve">ask whether it recovers something independently known. For the price of debt,</w:t>
      </w:r>
      <w:r>
        <w:t xml:space="preserve"> </w:t>
      </w:r>
      <w:r>
        <w:t xml:space="preserve">the benchmark is the published policy path. For exposure, it is the firm’s own</w:t>
      </w:r>
      <w:r>
        <w:t xml:space="preserve"> </w:t>
      </w:r>
      <w:r>
        <w:t xml:space="preserve">subsequent change in borrowing cost. For the panel, it is an independent</w:t>
      </w:r>
      <w:r>
        <w:t xml:space="preserve"> </w:t>
      </w:r>
      <w:r>
        <w:t xml:space="preserve">commercial rendering of the same filings.</w:t>
      </w:r>
    </w:p>
    <w:bookmarkEnd w:id="10"/>
    <w:bookmarkStart w:id="11" w:name="what-we-find"/>
    <w:p>
      <w:pPr>
        <w:pStyle w:val="Heading2"/>
      </w:pPr>
      <w:r>
        <w:t xml:space="preserve">What we find</w:t>
      </w:r>
    </w:p>
    <w:p>
      <w:pPr>
        <w:pStyle w:val="FirstParagraph"/>
      </w:pPr>
      <w:r>
        <w:t xml:space="preserve">The constructive half of the answer concerns the</w:t>
      </w:r>
      <w:r>
        <w:t xml:space="preserve"> </w:t>
      </w:r>
      <w:r>
        <w:rPr>
          <w:i/>
          <w:iCs/>
        </w:rPr>
        <w:t xml:space="preserve">price</w:t>
      </w:r>
      <w:r>
        <w:t xml:space="preserve"> </w:t>
      </w:r>
      <w:r>
        <w:t xml:space="preserve">of corporate debt.</w:t>
      </w:r>
      <w:r>
        <w:t xml:space="preserve"> </w:t>
      </w:r>
      <w:r>
        <w:t xml:space="preserve">A firm’s implied borrowing cost—interest expense divided by average</w:t>
      </w:r>
      <w:r>
        <w:t xml:space="preserve"> </w:t>
      </w:r>
      <w:r>
        <w:t xml:space="preserve">debt—aggregates to a series reproducing each central bank’s policy path</w:t>
      </w:r>
      <w:r>
        <w:t xml:space="preserve"> </w:t>
      </w:r>
      <w:r>
        <w:t xml:space="preserve">without being shown it. The Turkish series peaks in 2024, the year policy peaks;</w:t>
      </w:r>
      <w:r>
        <w:t xml:space="preserve"> </w:t>
      </w:r>
      <w:r>
        <w:t xml:space="preserve">the Vietnamese series traces the 2011 inflation crisis, the long easing through</w:t>
      </w:r>
      <w:r>
        <w:t xml:space="preserve"> </w:t>
      </w:r>
      <w:r>
        <w:t xml:space="preserve">2015, and the 2023 tightening. This establishes that ordinary filings carry a</w:t>
      </w:r>
      <w:r>
        <w:t xml:space="preserve"> </w:t>
      </w:r>
      <w:r>
        <w:t xml:space="preserve">legible signal of monetary transmission.</w:t>
      </w:r>
    </w:p>
    <w:p>
      <w:pPr>
        <w:pStyle w:val="BodyText"/>
      </w:pPr>
      <w:r>
        <w:t xml:space="preserve">Two results follow. We quantify pass-through: a 41.0 percentage point Turkish</w:t>
      </w:r>
      <w:r>
        <w:t xml:space="preserve"> </w:t>
      </w:r>
      <w:r>
        <w:t xml:space="preserve">policy move—from the 9.0% low point at end-2022 to the true 2024 peak of</w:t>
      </w:r>
      <w:r>
        <w:t xml:space="preserve"> </w:t>
      </w:r>
      <w:r>
        <w:t xml:space="preserve">50%, sustained March through November before a December cut to</w:t>
      </w:r>
      <w:r>
        <w:t xml:space="preserve"> </w:t>
      </w:r>
      <w:r>
        <w:t xml:space="preserve">47.5%—produces a 13.4 point move in realised borrowing costs, roughly a</w:t>
      </w:r>
      <w:r>
        <w:t xml:space="preserve"> </w:t>
      </w:r>
      <w:r>
        <w:t xml:space="preserve">third, while median interest coverage halves from 3.36 to 1.66.</w:t>
      </w:r>
      <w:r>
        <w:t xml:space="preserve"> </w:t>
      </w:r>
      <w:r>
        <w:t xml:space="preserve">Section 2.2 shows how to read that number structurally as an</w:t>
      </w:r>
      <w:r>
        <w:t xml:space="preserve"> </w:t>
      </w:r>
      <w:r>
        <w:t xml:space="preserve">effective repricing share. Second, the same diagnostic exposes a data hazard: a</w:t>
      </w:r>
      <w:r>
        <w:t xml:space="preserve"> </w:t>
      </w:r>
      <w:r>
        <w:t xml:space="preserve">widely used Turkish vendor field labelled</w:t>
      </w:r>
      <w:r>
        <w:t xml:space="preserve"> </w:t>
      </w:r>
      <w:r>
        <w:rPr>
          <w:i/>
          <w:iCs/>
        </w:rPr>
        <w:t xml:space="preserve">Financial Expenses</w:t>
      </w:r>
      <w:r>
        <w:t xml:space="preserve"> </w:t>
      </w:r>
      <w:r>
        <w:t xml:space="preserve">bundles</w:t>
      </w:r>
      <w:r>
        <w:t xml:space="preserve"> </w:t>
      </w:r>
      <w:r>
        <w:t xml:space="preserve">foreign-exchange revaluation with interest, running roughly two and a half</w:t>
      </w:r>
      <w:r>
        <w:t xml:space="preserve"> </w:t>
      </w:r>
      <w:r>
        <w:t xml:space="preserve">times the true figure, so measures built on it peak in the lira crises of</w:t>
      </w:r>
      <w:r>
        <w:t xml:space="preserve"> </w:t>
      </w:r>
      <w:r>
        <w:t xml:space="preserve">2018 and 2021 rather than at the 2024 policy peak.</w:t>
      </w:r>
    </w:p>
    <w:p>
      <w:pPr>
        <w:pStyle w:val="BodyText"/>
      </w:pPr>
      <w:r>
        <w:t xml:space="preserve">The cautionary half concerns</w:t>
      </w:r>
      <w:r>
        <w:t xml:space="preserve"> </w:t>
      </w:r>
      <w:r>
        <w:rPr>
          <w:i/>
          <w:iCs/>
        </w:rPr>
        <w:t xml:space="preserve">exposure</w:t>
      </w:r>
      <w:r>
        <w:t xml:space="preserve">, and here theory and evidence</w:t>
      </w:r>
      <w:r>
        <w:t xml:space="preserve"> </w:t>
      </w:r>
      <w:r>
        <w:t xml:space="preserve">coincide exactly. Proposition 1 shows that using an estimated</w:t>
      </w:r>
      <w:r>
        <w:t xml:space="preserve"> </w:t>
      </w:r>
      <w:r>
        <w:t xml:space="preserve">exposure attenuates the estimand by the reliability ratio</w:t>
      </w:r>
      <w:r>
        <w:t xml:space="preserve"> </w:t>
      </w:r>
      <m:oMath>
        <m:r>
          <m:t>λ</m:t>
        </m:r>
      </m:oMath>
      <w:r>
        <w:t xml:space="preserve">.</w:t>
      </w:r>
      <w:r>
        <w:t xml:space="preserve"> </w:t>
      </w:r>
      <w:r>
        <w:t xml:space="preserve">Proposition 2 shows</w:t>
      </w:r>
      <w:r>
        <w:t xml:space="preserve"> </w:t>
      </w:r>
      <m:oMath>
        <m:r>
          <m:t>λ</m:t>
        </m:r>
      </m:oMath>
      <w:r>
        <w:t xml:space="preserve"> </w:t>
      </w:r>
      <w:r>
        <w:t xml:space="preserve">is identified by the split-half</w:t>
      </w:r>
      <w:r>
        <w:t xml:space="preserve"> </w:t>
      </w:r>
      <w:r>
        <w:t xml:space="preserve">correlation of independently estimated exposures. We measure that correlation at</w:t>
      </w:r>
      <w:r>
        <w:t xml:space="preserve"> </w:t>
      </w:r>
      <m:oMath>
        <m:r>
          <m:rPr>
            <m:sty m:val="p"/>
          </m:rPr>
          <m:t>+</m:t>
        </m:r>
        <m:r>
          <m:t>0.045</m:t>
        </m:r>
      </m:oMath>
      <w:r>
        <w:t xml:space="preserve"> </w:t>
      </w:r>
      <w:r>
        <w:t xml:space="preserve">in Türkiye and</w:t>
      </w:r>
      <w:r>
        <w:t xml:space="preserve"> </w:t>
      </w:r>
      <m:oMath>
        <m:r>
          <m:rPr>
            <m:sty m:val="p"/>
          </m:rPr>
          <m:t>+</m:t>
        </m:r>
        <m:r>
          <m:t>0.054</m:t>
        </m:r>
      </m:oMath>
      <w:r>
        <w:t xml:space="preserve"> </w:t>
      </w:r>
      <w:r>
        <w:t xml:space="preserve">in Vietnam, implying</w:t>
      </w:r>
      <w:r>
        <w:t xml:space="preserve"> </w:t>
      </w:r>
      <m:oMath>
        <m:acc>
          <m:accPr>
            <m:chr m:val="̂"/>
          </m:accPr>
          <m:e>
            <m:r>
              <m:t>λ</m:t>
            </m:r>
          </m:e>
        </m:acc>
        <m:r>
          <m:rPr>
            <m:sty m:val="p"/>
          </m:rPr>
          <m:t>≈</m:t>
        </m:r>
        <m:r>
          <m:t>0</m:t>
        </m:r>
      </m:oMath>
      <w:r>
        <w:t xml:space="preserve">: the estimand is attenuated to zero regardless of the</w:t>
      </w:r>
      <w:r>
        <w:t xml:space="preserve"> </w:t>
      </w:r>
      <w:r>
        <w:t xml:space="preserve">true effect, and a null is therefore uninformative about the underlying</w:t>
      </w:r>
      <w:r>
        <w:t xml:space="preserve"> </w:t>
      </w:r>
      <w:r>
        <w:t xml:space="preserve">parameter. Proposition 4 derives the panel length required for</w:t>
      </w:r>
      <w:r>
        <w:t xml:space="preserve"> </w:t>
      </w:r>
      <w:r>
        <w:t xml:space="preserve">feasible estimation and shows annual accounting data falls short by roughly an</w:t>
      </w:r>
      <w:r>
        <w:t xml:space="preserve"> </w:t>
      </w:r>
      <w:r>
        <w:t xml:space="preserve">order of magnitude. Proposition 6 derives the in-sample fit expected</w:t>
      </w:r>
      <w:r>
        <w:t xml:space="preserve"> </w:t>
      </w:r>
      <w:r>
        <w:t xml:space="preserve">under the null,</w:t>
      </w:r>
      <w:r>
        <w:t xml:space="preserve"> </w:t>
      </w:r>
      <m:oMath>
        <m:r>
          <m:t>k</m:t>
        </m:r>
        <m:r>
          <m:rPr>
            <m:sty m:val="p"/>
          </m:rPr>
          <m:t>/</m:t>
        </m:r>
        <m:r>
          <m:rPr>
            <m:sty m:val="p"/>
          </m:rPr>
          <m:t>(</m:t>
        </m:r>
        <m:r>
          <m:t>T</m:t>
        </m:r>
        <m:r>
          <m:rPr>
            <m:sty m:val="p"/>
          </m:rPr>
          <m:t>−</m:t>
        </m:r>
        <m:r>
          <m:t>1</m:t>
        </m:r>
        <m:r>
          <m:rPr>
            <m:sty m:val="p"/>
          </m:rPr>
          <m:t>)</m:t>
        </m:r>
        <m:r>
          <m:rPr>
            <m:sty m:val="p"/>
          </m:rPr>
          <m:t>≈</m:t>
        </m:r>
        <m:r>
          <m:t>0.50</m:t>
        </m:r>
      </m:oMath>
      <w:r>
        <w:t xml:space="preserve">, against observed medians of</w:t>
      </w:r>
      <w:r>
        <w:t xml:space="preserve"> </w:t>
      </w:r>
      <m:oMath>
        <m:r>
          <m:t>0.66</m:t>
        </m:r>
      </m:oMath>
      <w:r>
        <w:t xml:space="preserve"> </w:t>
      </w:r>
      <w:r>
        <w:t xml:space="preserve">in</w:t>
      </w:r>
      <w:r>
        <w:t xml:space="preserve"> </w:t>
      </w:r>
      <w:r>
        <w:t xml:space="preserve">Vietnam and</w:t>
      </w:r>
      <w:r>
        <w:t xml:space="preserve"> </w:t>
      </w:r>
      <m:oMath>
        <m:r>
          <m:t>0.71</m:t>
        </m:r>
      </m:oMath>
      <w:r>
        <w:t xml:space="preserve"> </w:t>
      </w:r>
      <w:r>
        <w:t xml:space="preserve">in Türkiye—not an exact match, but the same order of</w:t>
      </w:r>
      <w:r>
        <w:t xml:space="preserve"> </w:t>
      </w:r>
      <w:r>
        <w:t xml:space="preserve">magnitude as chance, which is the point: a two-parameter fit on five annual</w:t>
      </w:r>
      <w:r>
        <w:t xml:space="preserve"> </w:t>
      </w:r>
      <w:r>
        <w:t xml:space="preserve">observations looks moderately good whether or not the relationship is real.</w:t>
      </w:r>
    </w:p>
    <w:p>
      <w:pPr>
        <w:pStyle w:val="BodyText"/>
      </w:pPr>
      <w:r>
        <w:t xml:space="preserve">Layered on top is a problem specific to high-inflation settings.</w:t>
      </w:r>
      <w:r>
        <w:t xml:space="preserve"> </w:t>
      </w:r>
      <w:r>
        <w:t xml:space="preserve">Proposition 7 shows that when non-monetary assets are restated</w:t>
      </w:r>
      <w:r>
        <w:t xml:space="preserve"> </w:t>
      </w:r>
      <w:r>
        <w:t xml:space="preserve">by a vintage-dependent factor while monetary debt is not, the distortion enters</w:t>
      </w:r>
      <w:r>
        <w:t xml:space="preserve"> </w:t>
      </w:r>
      <w:r>
        <w:t xml:space="preserve">as an exposure-by-post interaction that two-way fixed effects cannot absorb.</w:t>
      </w:r>
      <w:r>
        <w:t xml:space="preserve"> </w:t>
      </w:r>
      <w:r>
        <w:t xml:space="preserve">Proposition 8 shows that ratios of two flows escape it. We</w:t>
      </w:r>
      <w:r>
        <w:t xml:space="preserve"> </w:t>
      </w:r>
      <w:r>
        <w:t xml:space="preserve">demonstrate the former empirically: a standard specification returns highly</w:t>
      </w:r>
      <w:r>
        <w:t xml:space="preserve"> </w:t>
      </w:r>
      <w:r>
        <w:t xml:space="preserve">significant wrong-signed coefficients on a monotonically growing post-treatment</w:t>
      </w:r>
      <w:r>
        <w:t xml:space="preserve"> </w:t>
      </w:r>
      <w:r>
        <w:t xml:space="preserve">path.</w:t>
      </w:r>
    </w:p>
    <w:bookmarkEnd w:id="11"/>
    <w:bookmarkStart w:id="12" w:name="why-a-null-of-this-kind-is-informative"/>
    <w:p>
      <w:pPr>
        <w:pStyle w:val="Heading2"/>
      </w:pPr>
      <w:r>
        <w:t xml:space="preserve">Why a null of this kind is informative</w:t>
      </w:r>
    </w:p>
    <w:p>
      <w:pPr>
        <w:pStyle w:val="FirstParagraph"/>
      </w:pPr>
      <w:r>
        <w:t xml:space="preserve">Null results invite the suspicion of low power, and we address it directly.</w:t>
      </w:r>
      <w:r>
        <w:t xml:space="preserve"> </w:t>
      </w:r>
      <w:r>
        <w:t xml:space="preserve">Over the analysis three separate significant results appeared and each was shown</w:t>
      </w:r>
      <w:r>
        <w:t xml:space="preserve"> </w:t>
      </w:r>
      <w:r>
        <w:t xml:space="preserve">to be an artefact: a Turkish effect of</w:t>
      </w:r>
      <w:r>
        <w:t xml:space="preserve"> </w:t>
      </w:r>
      <m:oMath>
        <m:r>
          <m:rPr>
            <m:sty m:val="p"/>
          </m:rPr>
          <m:t>+</m:t>
        </m:r>
        <m:r>
          <m:t>0.886</m:t>
        </m:r>
      </m:oMath>
      <w:r>
        <w:t xml:space="preserve"> </w:t>
      </w:r>
      <w:r>
        <w:t xml:space="preserve">(</w:t>
      </w:r>
      <m:oMath>
        <m:r>
          <m:t>p</m:t>
        </m:r>
        <m:r>
          <m:rPr>
            <m:sty m:val="p"/>
          </m:rPr>
          <m:t>=</m:t>
        </m:r>
        <m:r>
          <m:t>0.045</m:t>
        </m:r>
      </m:oMath>
      <w:r>
        <w:t xml:space="preserve">) that vanished when</w:t>
      </w:r>
      <w:r>
        <w:t xml:space="preserve"> </w:t>
      </w:r>
      <w:r>
        <w:t xml:space="preserve">the sample doubled; the FX results, which were accounting restatement; and the</w:t>
      </w:r>
      <w:r>
        <w:t xml:space="preserve"> </w:t>
      </w:r>
      <w:r>
        <w:t xml:space="preserve">final flow-based coefficients, which were pre-existing trend. Each was caught by</w:t>
      </w:r>
      <w:r>
        <w:t xml:space="preserve"> </w:t>
      </w:r>
      <w:r>
        <w:t xml:space="preserve">a diagnostic—sample expansion, an accounting-mechanics argument, an extended</w:t>
      </w:r>
      <w:r>
        <w:t xml:space="preserve"> </w:t>
      </w:r>
      <w:r>
        <w:t xml:space="preserve">event window—that a conventional specification would not have run. A design</w:t>
      </w:r>
      <w:r>
        <w:t xml:space="preserve"> </w:t>
      </w:r>
      <w:r>
        <w:t xml:space="preserve">generating three false positives before generating a null is informative about</w:t>
      </w:r>
      <w:r>
        <w:t xml:space="preserve"> </w:t>
      </w:r>
      <w:r>
        <w:t xml:space="preserve">the design.</w:t>
      </w:r>
    </w:p>
    <w:bookmarkEnd w:id="12"/>
    <w:bookmarkStart w:id="13" w:name="contribution"/>
    <w:p>
      <w:pPr>
        <w:pStyle w:val="Heading2"/>
      </w:pPr>
      <w:r>
        <w:t xml:space="preserve">Contribution</w:t>
      </w:r>
    </w:p>
    <w:p>
      <w:pPr>
        <w:pStyle w:val="FirstParagraph"/>
      </w:pPr>
      <w:r>
        <w:t xml:space="preserve">To the transmission literature we delimit where statement-based designs can</w:t>
      </w:r>
      <w:r>
        <w:t xml:space="preserve"> </w:t>
      </w:r>
      <w:r>
        <w:t xml:space="preserve">substitute for registry data, and supply a validated price measure that</w:t>
      </w:r>
      <w:r>
        <w:t xml:space="preserve"> </w:t>
      </w:r>
      <w:r>
        <w:t xml:space="preserve">survives. To empirical work on Türkiye we document two hazards—one in a</w:t>
      </w:r>
      <w:r>
        <w:t xml:space="preserve"> </w:t>
      </w:r>
      <w:r>
        <w:t xml:space="preserve">vendor field, one in the accounting standard—threatening a broad class of</w:t>
      </w:r>
      <w:r>
        <w:t xml:space="preserve"> </w:t>
      </w:r>
      <w:r>
        <w:t xml:space="preserve">post-2022 studies. To research on Vietnam we introduce a firm-level statement</w:t>
      </w:r>
      <w:r>
        <w:t xml:space="preserve"> </w:t>
      </w:r>
      <w:r>
        <w:t xml:space="preserve">panel not previously used for such questions. Methodologically, we offer</w:t>
      </w:r>
      <w:r>
        <w:t xml:space="preserve"> </w:t>
      </w:r>
      <w:r>
        <w:t xml:space="preserve">split-half reliability and first-stage prediction as cheap, decisive tests that</w:t>
      </w:r>
      <w:r>
        <w:t xml:space="preserve"> </w:t>
      </w:r>
      <w:r>
        <w:t xml:space="preserve">any paper using an estimated firm characteristic as a regressor should report,</w:t>
      </w:r>
      <w:r>
        <w:t xml:space="preserve"> </w:t>
      </w:r>
      <w:r>
        <w:t xml:space="preserve">and we give them a formal justification.</w:t>
      </w:r>
    </w:p>
    <w:bookmarkEnd w:id="13"/>
    <w:bookmarkEnd w:id="14"/>
    <w:bookmarkStart w:id="31" w:name="X7b0af501023ff7b5868917bdedc4a3ddde82cf2"/>
    <w:p>
      <w:pPr>
        <w:pStyle w:val="Heading1"/>
      </w:pPr>
      <w:r>
        <w:t xml:space="preserve">Related literature and analytical framework</w:t>
      </w:r>
    </w:p>
    <w:bookmarkStart w:id="20" w:name="related-literature"/>
    <w:p>
      <w:pPr>
        <w:pStyle w:val="Heading2"/>
      </w:pPr>
      <w:r>
        <w:t xml:space="preserve">Related literature</w:t>
      </w:r>
    </w:p>
    <w:bookmarkStart w:id="15" w:name="Xb16f948fc223edf21c53561a18e6ec2f38bc77f"/>
    <w:p>
      <w:pPr>
        <w:pStyle w:val="Heading3"/>
      </w:pPr>
      <w:r>
        <w:t xml:space="preserve">Firm heterogeneity in monetary transmission</w:t>
      </w:r>
    </w:p>
    <w:p>
      <w:pPr>
        <w:pStyle w:val="FirstParagraph"/>
      </w:pPr>
      <w:r>
        <w:t xml:space="preserve">That monetary policy affects firms unequally is long established.</w:t>
      </w:r>
      <w:r>
        <w:t xml:space="preserve"> </w:t>
      </w:r>
      <w:r>
        <w:t xml:space="preserve">Gertler &amp; Gilchrist (1994)</w:t>
      </w:r>
      <w:r>
        <w:t xml:space="preserve"> </w:t>
      </w:r>
      <w:r>
        <w:t xml:space="preserve">documented that small manufacturing firms bear a</w:t>
      </w:r>
      <w:r>
        <w:t xml:space="preserve"> </w:t>
      </w:r>
      <w:r>
        <w:t xml:space="preserve">disproportionate share of the adjustment following tightening, and</w:t>
      </w:r>
      <w:r>
        <w:t xml:space="preserve"> </w:t>
      </w:r>
      <w:r>
        <w:t xml:space="preserve">Bernanke &amp; Gertler (1995)</w:t>
      </w:r>
      <w:r>
        <w:t xml:space="preserve"> </w:t>
      </w:r>
      <w:r>
        <w:t xml:space="preserve">formalised the credit channel through which balance-sheet</w:t>
      </w:r>
      <w:r>
        <w:t xml:space="preserve"> </w:t>
      </w:r>
      <w:r>
        <w:t xml:space="preserve">strength mediates the response.</w:t>
      </w:r>
      <w:r>
        <w:t xml:space="preserve"> </w:t>
      </w:r>
      <w:r>
        <w:t xml:space="preserve">Kashyap &amp; Stein (2000)</w:t>
      </w:r>
      <w:r>
        <w:t xml:space="preserve"> </w:t>
      </w:r>
      <w:r>
        <w:t xml:space="preserve">established the bank lending</w:t>
      </w:r>
      <w:r>
        <w:t xml:space="preserve"> </w:t>
      </w:r>
      <w:r>
        <w:t xml:space="preserve">channel using cross-sectional variation in bank liquidity.</w:t>
      </w:r>
    </w:p>
    <w:p>
      <w:pPr>
        <w:pStyle w:val="BodyText"/>
      </w:pPr>
      <w:r>
        <w:t xml:space="preserve">The modern literature has sharpened the relevant margin.</w:t>
      </w:r>
      <w:r>
        <w:t xml:space="preserve"> </w:t>
      </w:r>
      <w:r>
        <w:t xml:space="preserve">Ottonello &amp; Winberry (2020)</w:t>
      </w:r>
      <w:r>
        <w:t xml:space="preserve"> </w:t>
      </w:r>
      <w:r>
        <w:t xml:space="preserve">show that firms with low default risk respond</w:t>
      </w:r>
      <w:r>
        <w:t xml:space="preserve"> </w:t>
      </w:r>
      <w:r>
        <w:rPr>
          <w:i/>
          <w:iCs/>
        </w:rPr>
        <w:t xml:space="preserve">most</w:t>
      </w:r>
      <w:r>
        <w:t xml:space="preserve"> </w:t>
      </w:r>
      <w:r>
        <w:t xml:space="preserve">to monetary shocks,</w:t>
      </w:r>
      <w:r>
        <w:t xml:space="preserve"> </w:t>
      </w:r>
      <w:r>
        <w:t xml:space="preserve">because they face flatter marginal cost curves for external finance.</w:t>
      </w:r>
      <w:r>
        <w:t xml:space="preserve"> </w:t>
      </w:r>
      <w:r>
        <w:t xml:space="preserve">Cloyne et al. (2023)</w:t>
      </w:r>
      <w:r>
        <w:t xml:space="preserve"> </w:t>
      </w:r>
      <w:r>
        <w:t xml:space="preserve">find that younger firms without dividend payments drive the</w:t>
      </w:r>
      <w:r>
        <w:t xml:space="preserve"> </w:t>
      </w:r>
      <w:r>
        <w:t xml:space="preserve">investment response.</w:t>
      </w:r>
      <w:r>
        <w:t xml:space="preserve"> </w:t>
      </w:r>
      <w:r>
        <w:t xml:space="preserve">Ozdagli (2018)</w:t>
      </w:r>
      <w:r>
        <w:t xml:space="preserve"> </w:t>
      </w:r>
      <w:r>
        <w:t xml:space="preserve">shows that financial frictions shape</w:t>
      </w:r>
      <w:r>
        <w:t xml:space="preserve"> </w:t>
      </w:r>
      <w:r>
        <w:t xml:space="preserve">the stock price reaction to policy, and</w:t>
      </w:r>
      <w:r>
        <w:t xml:space="preserve"> </w:t>
      </w:r>
      <w:r>
        <w:t xml:space="preserve">Greenwald (2019)</w:t>
      </w:r>
      <w:r>
        <w:t xml:space="preserve"> </w:t>
      </w:r>
      <w:r>
        <w:t xml:space="preserve">identifies an</w:t>
      </w:r>
      <w:r>
        <w:t xml:space="preserve"> </w:t>
      </w:r>
      <w:r>
        <w:t xml:space="preserve">interest coverage channel operating through debt covenants—directly relevant</w:t>
      </w:r>
      <w:r>
        <w:t xml:space="preserve"> </w:t>
      </w:r>
      <w:r>
        <w:t xml:space="preserve">to our outcome set, since coverage is one of the few distress measures that</w:t>
      </w:r>
      <w:r>
        <w:t xml:space="preserve"> </w:t>
      </w:r>
      <w:r>
        <w:t xml:space="preserve">survives Proposition 8.</w:t>
      </w:r>
      <w:r>
        <w:t xml:space="preserve"> </w:t>
      </w:r>
      <w:r>
        <w:t xml:space="preserve">Jeenas (2019)</w:t>
      </w:r>
      <w:r>
        <w:t xml:space="preserve"> </w:t>
      </w:r>
      <w:r>
        <w:t xml:space="preserve">shows that firms with</w:t>
      </w:r>
      <w:r>
        <w:t xml:space="preserve"> </w:t>
      </w:r>
      <w:r>
        <w:t xml:space="preserve">less liquid balance sheets cut investment more sharply after a monetary</w:t>
      </w:r>
      <w:r>
        <w:t xml:space="preserve"> </w:t>
      </w:r>
      <w:r>
        <w:t xml:space="preserve">contraction because they are more exposed to fluctuations in the cost of new</w:t>
      </w:r>
      <w:r>
        <w:t xml:space="preserve"> </w:t>
      </w:r>
      <w:r>
        <w:t xml:space="preserve">borrowing—the same repricing exposure this paper tries, and fails, to recover</w:t>
      </w:r>
      <w:r>
        <w:t xml:space="preserve"> </w:t>
      </w:r>
      <w:r>
        <w:t xml:space="preserve">from firm-level accounting data.</w:t>
      </w:r>
    </w:p>
    <w:p>
      <w:pPr>
        <w:pStyle w:val="BodyText"/>
      </w:pPr>
      <w:r>
        <w:t xml:space="preserve">Two strands bear closely on our design. The first concerns</w:t>
      </w:r>
      <w:r>
        <w:t xml:space="preserve"> </w:t>
      </w:r>
      <w:r>
        <w:rPr>
          <w:i/>
          <w:iCs/>
        </w:rPr>
        <w:t xml:space="preserve">contractual</w:t>
      </w:r>
      <w:r>
        <w:t xml:space="preserve"> </w:t>
      </w:r>
      <w:r>
        <w:t xml:space="preserve">repricing:</w:t>
      </w:r>
      <w:r>
        <w:t xml:space="preserve"> </w:t>
      </w:r>
      <w:r>
        <w:t xml:space="preserve">Ippolito et al. (2018)</w:t>
      </w:r>
      <w:r>
        <w:t xml:space="preserve"> </w:t>
      </w:r>
      <w:r>
        <w:t xml:space="preserve">identify the floating rate channel using</w:t>
      </w:r>
      <w:r>
        <w:t xml:space="preserve"> </w:t>
      </w:r>
      <w:r>
        <w:t xml:space="preserve">loan-level data, and</w:t>
      </w:r>
      <w:r>
        <w:t xml:space="preserve"> </w:t>
      </w:r>
      <w:r>
        <w:t xml:space="preserve">Auer et al. (2019)</w:t>
      </w:r>
      <w:r>
        <w:t xml:space="preserve"> </w:t>
      </w:r>
      <w:r>
        <w:t xml:space="preserve">trace international transmission through</w:t>
      </w:r>
      <w:r>
        <w:t xml:space="preserve"> </w:t>
      </w:r>
      <w:r>
        <w:t xml:space="preserve">banks in small open economies. The second concerns</w:t>
      </w:r>
      <w:r>
        <w:t xml:space="preserve"> </w:t>
      </w:r>
      <w:r>
        <w:rPr>
          <w:i/>
          <w:iCs/>
        </w:rPr>
        <w:t xml:space="preserve">maturity</w:t>
      </w:r>
      <w:r>
        <w:t xml:space="preserve">:</w:t>
      </w:r>
      <w:r>
        <w:t xml:space="preserve"> </w:t>
      </w:r>
      <w:r>
        <w:t xml:space="preserve">Almeida et al. (2012)</w:t>
      </w:r>
      <w:r>
        <w:t xml:space="preserve"> </w:t>
      </w:r>
      <w:r>
        <w:t xml:space="preserve">exploit quasi-random variation in whether long-term debt</w:t>
      </w:r>
      <w:r>
        <w:t xml:space="preserve"> </w:t>
      </w:r>
      <w:r>
        <w:t xml:space="preserve">happened to mature just before the 2007 crisis, a design that isolates rollover</w:t>
      </w:r>
      <w:r>
        <w:t xml:space="preserve"> </w:t>
      </w:r>
      <w:r>
        <w:t xml:space="preserve">exposure cleanly;</w:t>
      </w:r>
      <w:r>
        <w:t xml:space="preserve"> </w:t>
      </w:r>
      <w:r>
        <w:t xml:space="preserve">Jungherr et al. (2024)</w:t>
      </w:r>
      <w:r>
        <w:t xml:space="preserve"> </w:t>
      </w:r>
      <w:r>
        <w:t xml:space="preserve">show maturity structure materially shapes</w:t>
      </w:r>
      <w:r>
        <w:t xml:space="preserve"> </w:t>
      </w:r>
      <w:r>
        <w:t xml:space="preserve">transmission;</w:t>
      </w:r>
      <w:r>
        <w:t xml:space="preserve"> </w:t>
      </w:r>
      <w:r>
        <w:t xml:space="preserve">He &amp; Xiong (2012)</w:t>
      </w:r>
      <w:r>
        <w:t xml:space="preserve"> </w:t>
      </w:r>
      <w:r>
        <w:t xml:space="preserve">provide the theoretical link between rollover</w:t>
      </w:r>
      <w:r>
        <w:t xml:space="preserve"> </w:t>
      </w:r>
      <w:r>
        <w:t xml:space="preserve">and credit risk; and</w:t>
      </w:r>
      <w:r>
        <w:t xml:space="preserve"> </w:t>
      </w:r>
      <w:r>
        <w:t xml:space="preserve">Demirgüç-Kunt &amp; Maksimovic (1999)</w:t>
      </w:r>
      <w:r>
        <w:t xml:space="preserve"> </w:t>
      </w:r>
      <w:r>
        <w:t xml:space="preserve">document how institutions shape</w:t>
      </w:r>
      <w:r>
        <w:t xml:space="preserve"> </w:t>
      </w:r>
      <w:r>
        <w:t xml:space="preserve">maturity choice across countries.</w:t>
      </w:r>
    </w:p>
    <w:p>
      <w:pPr>
        <w:pStyle w:val="BodyText"/>
      </w:pPr>
      <w:r>
        <w:t xml:space="preserve">Our contribution is not to this literature’s substance but to its</w:t>
      </w:r>
      <w:r>
        <w:t xml:space="preserve"> </w:t>
      </w:r>
      <w:r>
        <w:t xml:space="preserve">transportability. Every study cited uses either supervisory data or a market</w:t>
      </w:r>
      <w:r>
        <w:t xml:space="preserve"> </w:t>
      </w:r>
      <w:r>
        <w:t xml:space="preserve">with rich contractual disclosure. We ask what remains when neither is available,</w:t>
      </w:r>
      <w:r>
        <w:t xml:space="preserve"> </w:t>
      </w:r>
      <w:r>
        <w:t xml:space="preserve">and Section 2.2 shows the answer is not simply</w:t>
      </w:r>
      <w:r>
        <w:t xml:space="preserve"> </w:t>
      </w:r>
      <w:r>
        <w:t xml:space="preserve">“a noisier</w:t>
      </w:r>
      <w:r>
        <w:t xml:space="preserve"> </w:t>
      </w:r>
      <w:r>
        <w:t xml:space="preserve">version of the same design”</w:t>
      </w:r>
      <w:r>
        <w:t xml:space="preserve">.</w:t>
      </w:r>
    </w:p>
    <w:bookmarkEnd w:id="15"/>
    <w:bookmarkStart w:id="16" w:name="X5aacb19105cdc09f97a4d9f7d3684171627aa21"/>
    <w:p>
      <w:pPr>
        <w:pStyle w:val="Heading3"/>
      </w:pPr>
      <w:r>
        <w:t xml:space="preserve">Firm-level evidence on Türkiye and comparable markets</w:t>
      </w:r>
    </w:p>
    <w:p>
      <w:pPr>
        <w:pStyle w:val="FirstParagraph"/>
      </w:pPr>
      <w:r>
        <w:t xml:space="preserve">A body of firm-level work situates our exercise in the Turkish setting.</w:t>
      </w:r>
      <w:r>
        <w:t xml:space="preserve"> </w:t>
      </w:r>
      <w:r>
        <w:t xml:space="preserve">Bilgin et al. (2023)</w:t>
      </w:r>
      <w:r>
        <w:t xml:space="preserve"> </w:t>
      </w:r>
      <w:r>
        <w:t xml:space="preserve">study Borsa Istanbul firms directly and, importantly for us,</w:t>
      </w:r>
      <w:r>
        <w:t xml:space="preserve"> </w:t>
      </w:r>
      <w:r>
        <w:t xml:space="preserve">exploit the</w:t>
      </w:r>
      <w:r>
        <w:t xml:space="preserve"> </w:t>
      </w:r>
      <w:r>
        <w:rPr>
          <w:i/>
          <w:iCs/>
        </w:rPr>
        <w:t xml:space="preserve">maturity breakdown</w:t>
      </w:r>
      <w:r>
        <w:t xml:space="preserve"> </w:t>
      </w:r>
      <w:r>
        <w:t xml:space="preserve">of bank credit in explaining corporate</w:t>
      </w:r>
      <w:r>
        <w:t xml:space="preserve"> </w:t>
      </w:r>
      <w:r>
        <w:t xml:space="preserve">performance—establishing both that maturity structure is economically</w:t>
      </w:r>
      <w:r>
        <w:t xml:space="preserve"> </w:t>
      </w:r>
      <w:r>
        <w:t xml:space="preserve">consequential in this market and that it is recoverable from disclosure.</w:t>
      </w:r>
      <w:r>
        <w:t xml:space="preserve"> </w:t>
      </w:r>
      <w:r>
        <w:t xml:space="preserve">Sugozu et al. (2025)</w:t>
      </w:r>
      <w:r>
        <w:t xml:space="preserve"> </w:t>
      </w:r>
      <w:r>
        <w:t xml:space="preserve">apply machine-learning methods to credit risk in Turkish</w:t>
      </w:r>
      <w:r>
        <w:t xml:space="preserve"> </w:t>
      </w:r>
      <w:r>
        <w:t xml:space="preserve">participation and conventional banks. On the macro-financial side,</w:t>
      </w:r>
      <w:r>
        <w:t xml:space="preserve"> </w:t>
      </w:r>
      <w:r>
        <w:t xml:space="preserve">Çitçi &amp; Kaya (2023)</w:t>
      </w:r>
      <w:r>
        <w:t xml:space="preserve"> </w:t>
      </w:r>
      <w:r>
        <w:t xml:space="preserve">analyse exchange-rate uncertainty and the connectedness of</w:t>
      </w:r>
      <w:r>
        <w:t xml:space="preserve"> </w:t>
      </w:r>
      <w:r>
        <w:t xml:space="preserve">inflation in Türkiye, and</w:t>
      </w:r>
      <w:r>
        <w:t xml:space="preserve"> </w:t>
      </w:r>
      <w:r>
        <w:t xml:space="preserve">Akbal &amp; Civcir (2026)</w:t>
      </w:r>
      <w:r>
        <w:t xml:space="preserve"> </w:t>
      </w:r>
      <w:r>
        <w:t xml:space="preserve">the asymmetric response of the</w:t>
      </w:r>
      <w:r>
        <w:t xml:space="preserve"> </w:t>
      </w:r>
      <w:r>
        <w:t xml:space="preserve">lira to capital flows and sovereign spreads. Together these establish the two</w:t>
      </w:r>
      <w:r>
        <w:t xml:space="preserve"> </w:t>
      </w:r>
      <w:r>
        <w:t xml:space="preserve">forces our measurement must separate—interest rates and the currency—as</w:t>
      </w:r>
      <w:r>
        <w:t xml:space="preserve"> </w:t>
      </w:r>
      <w:r>
        <w:t xml:space="preserve">first-order in this economy.</w:t>
      </w:r>
    </w:p>
    <w:p>
      <w:pPr>
        <w:pStyle w:val="BodyText"/>
      </w:pPr>
      <w:r>
        <w:t xml:space="preserve">A parallel literature examines firm financing structure in comparable markets:</w:t>
      </w:r>
      <w:r>
        <w:t xml:space="preserve"> </w:t>
      </w:r>
      <w:r>
        <w:t xml:space="preserve">Çam &amp; Özer (2022)</w:t>
      </w:r>
      <w:r>
        <w:t xml:space="preserve"> </w:t>
      </w:r>
      <w:r>
        <w:t xml:space="preserve">on how country governance shapes capital structure and</w:t>
      </w:r>
      <w:r>
        <w:t xml:space="preserve"> </w:t>
      </w:r>
      <w:r>
        <w:t xml:space="preserve">investment financing,</w:t>
      </w:r>
      <w:r>
        <w:t xml:space="preserve"> </w:t>
      </w:r>
      <w:r>
        <w:t xml:space="preserve">Karakoç (2022)</w:t>
      </w:r>
      <w:r>
        <w:t xml:space="preserve"> </w:t>
      </w:r>
      <w:r>
        <w:t xml:space="preserve">on the corporate growth–trade credit</w:t>
      </w:r>
      <w:r>
        <w:t xml:space="preserve"> </w:t>
      </w:r>
      <w:r>
        <w:t xml:space="preserve">relationship across a panel of countries, and</w:t>
      </w:r>
      <w:r>
        <w:t xml:space="preserve"> </w:t>
      </w:r>
      <w:r>
        <w:t xml:space="preserve">Huynh (2024)</w:t>
      </w:r>
      <w:r>
        <w:t xml:space="preserve"> </w:t>
      </w:r>
      <w:r>
        <w:t xml:space="preserve">on banking</w:t>
      </w:r>
      <w:r>
        <w:t xml:space="preserve"> </w:t>
      </w:r>
      <w:r>
        <w:t xml:space="preserve">uncertainty and trade credit. What these share with our setting is a reliance on</w:t>
      </w:r>
      <w:r>
        <w:t xml:space="preserve"> </w:t>
      </w:r>
      <w:r>
        <w:t xml:space="preserve">published statements rather than supervisory records, which is precisely why the</w:t>
      </w:r>
      <w:r>
        <w:t xml:space="preserve"> </w:t>
      </w:r>
      <w:r>
        <w:t xml:space="preserve">measurement limits we establish bear on them.</w:t>
      </w:r>
    </w:p>
    <w:p>
      <w:pPr>
        <w:pStyle w:val="BodyText"/>
      </w:pPr>
      <w:r>
        <w:t xml:space="preserve">Our reading of this literature is that it has been appropriately cautious in</w:t>
      </w:r>
      <w:r>
        <w:t xml:space="preserve"> </w:t>
      </w:r>
      <w:r>
        <w:t xml:space="preserve">what it asks of accounting data—studying maturity composition, credit type and</w:t>
      </w:r>
      <w:r>
        <w:t xml:space="preserve"> </w:t>
      </w:r>
      <w:r>
        <w:t xml:space="preserve">financing structure, all of which are disclosed—and that the floating-rate</w:t>
      </w:r>
      <w:r>
        <w:t xml:space="preserve"> </w:t>
      </w:r>
      <w:r>
        <w:t xml:space="preserve">question is different in kind because its treatment variable is not.</w:t>
      </w:r>
    </w:p>
    <w:bookmarkEnd w:id="16"/>
    <w:bookmarkStart w:id="17" w:name="currency-mismatch-in-emerging-markets"/>
    <w:p>
      <w:pPr>
        <w:pStyle w:val="Heading3"/>
      </w:pPr>
      <w:r>
        <w:t xml:space="preserve">Currency mismatch in emerging markets</w:t>
      </w:r>
    </w:p>
    <w:p>
      <w:pPr>
        <w:pStyle w:val="FirstParagraph"/>
      </w:pPr>
      <w:r>
        <w:t xml:space="preserve">Because Türkiye’s episode combines tightening with severe depreciation, the</w:t>
      </w:r>
      <w:r>
        <w:t xml:space="preserve"> </w:t>
      </w:r>
      <w:r>
        <w:t xml:space="preserve">FX-mismatch literature bears directly on our measurement problem.</w:t>
      </w:r>
      <w:r>
        <w:t xml:space="preserve"> </w:t>
      </w:r>
      <w:r>
        <w:t xml:space="preserve">Eichengreen &amp; Hausmann (1999)</w:t>
      </w:r>
      <w:r>
        <w:t xml:space="preserve"> </w:t>
      </w:r>
      <w:r>
        <w:t xml:space="preserve">framed the</w:t>
      </w:r>
      <w:r>
        <w:t xml:space="preserve"> </w:t>
      </w:r>
      <w:r>
        <w:t xml:space="preserve">“original sin”</w:t>
      </w:r>
      <w:r>
        <w:t xml:space="preserve"> </w:t>
      </w:r>
      <w:r>
        <w:t xml:space="preserve">of borrowing in foreign</w:t>
      </w:r>
      <w:r>
        <w:t xml:space="preserve"> </w:t>
      </w:r>
      <w:r>
        <w:t xml:space="preserve">currency, and</w:t>
      </w:r>
      <w:r>
        <w:t xml:space="preserve"> </w:t>
      </w:r>
      <w:r>
        <w:t xml:space="preserve">Eichengreen et al. (2003, 2005)</w:t>
      </w:r>
      <w:r>
        <w:t xml:space="preserve"> </w:t>
      </w:r>
      <w:r>
        <w:t xml:space="preserve">subsequently distinguish it from the related but distinct problem of debt</w:t>
      </w:r>
      <w:r>
        <w:t xml:space="preserve"> </w:t>
      </w:r>
      <w:r>
        <w:t xml:space="preserve">intolerance and trace its consequences for output and capital-flow volatility.</w:t>
      </w:r>
      <w:r>
        <w:t xml:space="preserve"> </w:t>
      </w:r>
      <w:r>
        <w:t xml:space="preserve">Salomao &amp; Varela (2022)</w:t>
      </w:r>
      <w:r>
        <w:t xml:space="preserve"> </w:t>
      </w:r>
      <w:r>
        <w:t xml:space="preserve">model the firm-level counterpart directly, showing</w:t>
      </w:r>
      <w:r>
        <w:t xml:space="preserve"> </w:t>
      </w:r>
      <w:r>
        <w:t xml:space="preserve">that foreign-currency borrowing arises from a dynamic trade-off between</w:t>
      </w:r>
      <w:r>
        <w:t xml:space="preserve"> </w:t>
      </w:r>
      <w:r>
        <w:t xml:space="preserve">currency risk and growth rather than a uniform exposure, which is itself a</w:t>
      </w:r>
      <w:r>
        <w:t xml:space="preserve"> </w:t>
      </w:r>
      <w:r>
        <w:t xml:space="preserve">reason to expect the cross-firm heterogeneity our design tries and fails to</w:t>
      </w:r>
      <w:r>
        <w:t xml:space="preserve"> </w:t>
      </w:r>
      <w:r>
        <w:t xml:space="preserve">recover. The empirical record is more nuanced than the original framing</w:t>
      </w:r>
      <w:r>
        <w:t xml:space="preserve"> </w:t>
      </w:r>
      <w:r>
        <w:t xml:space="preserve">suggests:</w:t>
      </w:r>
      <w:r>
        <w:t xml:space="preserve"> </w:t>
      </w:r>
      <w:r>
        <w:t xml:space="preserve">Bleakley &amp; Cowan (2008)</w:t>
      </w:r>
      <w:r>
        <w:t xml:space="preserve"> </w:t>
      </w:r>
      <w:r>
        <w:t xml:space="preserve">find that firms holding dollar debt did not</w:t>
      </w:r>
      <w:r>
        <w:t xml:space="preserve"> </w:t>
      </w:r>
      <w:r>
        <w:t xml:space="preserve">systematically underperform during depreciations, because they tended to hold</w:t>
      </w:r>
      <w:r>
        <w:t xml:space="preserve"> </w:t>
      </w:r>
      <w:r>
        <w:t xml:space="preserve">dollar revenues too, while</w:t>
      </w:r>
      <w:r>
        <w:t xml:space="preserve"> </w:t>
      </w:r>
      <w:r>
        <w:t xml:space="preserve">Aguiar (2005)</w:t>
      </w:r>
      <w:r>
        <w:t xml:space="preserve"> </w:t>
      </w:r>
      <w:r>
        <w:t xml:space="preserve">documents contractionary</w:t>
      </w:r>
      <w:r>
        <w:t xml:space="preserve"> </w:t>
      </w:r>
      <w:r>
        <w:t xml:space="preserve">balance-sheet effects in Mexico.</w:t>
      </w:r>
      <w:r>
        <w:t xml:space="preserve"> </w:t>
      </w:r>
      <w:r>
        <w:t xml:space="preserve">Kalemli-Ozcan et al. (2016)</w:t>
      </w:r>
      <w:r>
        <w:t xml:space="preserve"> </w:t>
      </w:r>
      <w:r>
        <w:t xml:space="preserve">reconcile these by</w:t>
      </w:r>
      <w:r>
        <w:t xml:space="preserve"> </w:t>
      </w:r>
      <w:r>
        <w:t xml:space="preserve">showing that the damaging combination is unhedged FX debt together with a</w:t>
      </w:r>
      <w:r>
        <w:t xml:space="preserve"> </w:t>
      </w:r>
      <w:r>
        <w:t xml:space="preserve">banking crisis restricting credit supply.</w:t>
      </w:r>
    </w:p>
    <w:p>
      <w:pPr>
        <w:pStyle w:val="BodyText"/>
      </w:pPr>
      <w:r>
        <w:t xml:space="preserve">Bruno &amp; Shin (2015b, 2015a)</w:t>
      </w:r>
      <w:r>
        <w:t xml:space="preserve"> </w:t>
      </w:r>
      <w:r>
        <w:t xml:space="preserve">establish the risk-taking channel linking exchange</w:t>
      </w:r>
      <w:r>
        <w:t xml:space="preserve"> </w:t>
      </w:r>
      <w:r>
        <w:t xml:space="preserve">rates, bank leverage and global liquidity;</w:t>
      </w:r>
      <w:r>
        <w:t xml:space="preserve"> </w:t>
      </w:r>
      <w:r>
        <w:t xml:space="preserve">Du &amp; Schreger (2022)</w:t>
      </w:r>
      <w:r>
        <w:t xml:space="preserve"> </w:t>
      </w:r>
      <w:r>
        <w:t xml:space="preserve">connect sovereign</w:t>
      </w:r>
      <w:r>
        <w:t xml:space="preserve"> </w:t>
      </w:r>
      <w:r>
        <w:t xml:space="preserve">risk, currency risk and corporate balance sheets;</w:t>
      </w:r>
      <w:r>
        <w:t xml:space="preserve"> </w:t>
      </w:r>
      <w:r>
        <w:t xml:space="preserve">Acharya et al. (2024)</w:t>
      </w:r>
      <w:r>
        <w:t xml:space="preserve"> </w:t>
      </w:r>
      <w:r>
        <w:t xml:space="preserve">show how</w:t>
      </w:r>
      <w:r>
        <w:t xml:space="preserve"> </w:t>
      </w:r>
      <w:r>
        <w:t xml:space="preserve">impaired credit allocation distorts inflation dynamics. For Türkiye,</w:t>
      </w:r>
      <w:r>
        <w:t xml:space="preserve"> </w:t>
      </w:r>
      <w:r>
        <w:t xml:space="preserve">Akbal &amp; Civcir (2026)</w:t>
      </w:r>
      <w:r>
        <w:t xml:space="preserve"> </w:t>
      </w:r>
      <w:r>
        <w:t xml:space="preserve">examine the asymmetric response of the lira to capital flows</w:t>
      </w:r>
      <w:r>
        <w:t xml:space="preserve"> </w:t>
      </w:r>
      <w:r>
        <w:t xml:space="preserve">and sovereign spreads.</w:t>
      </w:r>
    </w:p>
    <w:p>
      <w:pPr>
        <w:pStyle w:val="BodyText"/>
      </w:pPr>
      <w:r>
        <w:t xml:space="preserve">This literature matters to us twice over. Substantively it explains why</w:t>
      </w:r>
      <w:r>
        <w:t xml:space="preserve"> </w:t>
      </w:r>
      <w:r>
        <w:t xml:space="preserve">exporters may be insulated—a mechanism</w:t>
      </w:r>
      <w:r>
        <w:t xml:space="preserve"> </w:t>
      </w:r>
      <w:r>
        <w:t xml:space="preserve">Şengül &amp; Çinko (2026)</w:t>
      </w:r>
      <w:r>
        <w:t xml:space="preserve"> </w:t>
      </w:r>
      <w:r>
        <w:t xml:space="preserve">invoke directly,</w:t>
      </w:r>
      <w:r>
        <w:t xml:space="preserve"> </w:t>
      </w:r>
      <w:r>
        <w:t xml:space="preserve">noting that exporters generate foreign-currency revenues and benefit from</w:t>
      </w:r>
      <w:r>
        <w:t xml:space="preserve"> </w:t>
      </w:r>
      <w:r>
        <w:t xml:space="preserve">exchange-rate pass-through. Methodologically it explains why the bundled</w:t>
      </w:r>
      <w:r>
        <w:t xml:space="preserve"> </w:t>
      </w:r>
      <w:r>
        <w:t xml:space="preserve">financial-expense field of Section 4.1 is so damaging: in a currency</w:t>
      </w:r>
      <w:r>
        <w:t xml:space="preserve"> </w:t>
      </w:r>
      <w:r>
        <w:t xml:space="preserve">crisis revaluation losses dwarf interest, and a measure conflating them</w:t>
      </w:r>
      <w:r>
        <w:t xml:space="preserve"> </w:t>
      </w:r>
      <w:r>
        <w:t xml:space="preserve">attributes currency effects to monetary policy.</w:t>
      </w:r>
    </w:p>
    <w:bookmarkEnd w:id="17"/>
    <w:bookmarkStart w:id="18" w:name="accounting-measurement-under-inflation"/>
    <w:p>
      <w:pPr>
        <w:pStyle w:val="Heading3"/>
      </w:pPr>
      <w:r>
        <w:t xml:space="preserve">Accounting measurement under inflation</w:t>
      </w:r>
    </w:p>
    <w:p>
      <w:pPr>
        <w:pStyle w:val="FirstParagraph"/>
      </w:pPr>
      <w:r>
        <w:t xml:space="preserve">Our identification problem is at bottom an accounting one, and there is a</w:t>
      </w:r>
      <w:r>
        <w:t xml:space="preserve"> </w:t>
      </w:r>
      <w:r>
        <w:t xml:space="preserve">literature on it that monetary economics rarely cites.</w:t>
      </w:r>
      <w:r>
        <w:t xml:space="preserve"> </w:t>
      </w:r>
      <w:r>
        <w:t xml:space="preserve">Gordon (2001)</w:t>
      </w:r>
      <w:r>
        <w:t xml:space="preserve"> </w:t>
      </w:r>
      <w:r>
        <w:t xml:space="preserve">examines the value relevance of historical cost, price level and replacement</w:t>
      </w:r>
      <w:r>
        <w:t xml:space="preserve"> </w:t>
      </w:r>
      <w:r>
        <w:t xml:space="preserve">cost accounting in Mexico;</w:t>
      </w:r>
      <w:r>
        <w:t xml:space="preserve"> </w:t>
      </w:r>
      <w:r>
        <w:t xml:space="preserve">Barniv (1999)</w:t>
      </w:r>
      <w:r>
        <w:t xml:space="preserve"> </w:t>
      </w:r>
      <w:r>
        <w:t xml:space="preserve">studies inflation-adjusted versus</w:t>
      </w:r>
      <w:r>
        <w:t xml:space="preserve"> </w:t>
      </w:r>
      <w:r>
        <w:t xml:space="preserve">historical-cost earnings under hyperinflation;</w:t>
      </w:r>
      <w:r>
        <w:t xml:space="preserve"> </w:t>
      </w:r>
      <w:r>
        <w:t xml:space="preserve">Davis-Friday &amp; Gordon (2005)</w:t>
      </w:r>
      <w:r>
        <w:t xml:space="preserve"> </w:t>
      </w:r>
      <w:r>
        <w:t xml:space="preserve">analyse</w:t>
      </w:r>
      <w:r>
        <w:t xml:space="preserve"> </w:t>
      </w:r>
      <w:r>
        <w:t xml:space="preserve">how the valuation roles of book value, earnings and cash flows shift during a</w:t>
      </w:r>
      <w:r>
        <w:t xml:space="preserve"> </w:t>
      </w:r>
      <w:r>
        <w:t xml:space="preserve">macroeconomic shock; and</w:t>
      </w:r>
      <w:r>
        <w:t xml:space="preserve"> </w:t>
      </w:r>
      <w:r>
        <w:t xml:space="preserve">Konchitchki (2011)</w:t>
      </w:r>
      <w:r>
        <w:t xml:space="preserve"> </w:t>
      </w:r>
      <w:r>
        <w:t xml:space="preserve">demonstrates that nominal</w:t>
      </w:r>
      <w:r>
        <w:t xml:space="preserve"> </w:t>
      </w:r>
      <w:r>
        <w:t xml:space="preserve">reporting has real consequences even at moderate inflation.</w:t>
      </w:r>
      <w:r>
        <w:t xml:space="preserve"> </w:t>
      </w:r>
      <w:r>
        <w:t xml:space="preserve">De Franco et al. (2011)</w:t>
      </w:r>
      <w:r>
        <w:t xml:space="preserve"> </w:t>
      </w:r>
      <w:r>
        <w:t xml:space="preserve">show that statement comparability is itself economically</w:t>
      </w:r>
      <w:r>
        <w:t xml:space="preserve"> </w:t>
      </w:r>
      <w:r>
        <w:t xml:space="preserve">consequential.</w:t>
      </w:r>
    </w:p>
    <w:p>
      <w:pPr>
        <w:pStyle w:val="BodyText"/>
      </w:pPr>
      <w:r>
        <w:t xml:space="preserve">The consistent message is that when general price levels move sharply, the</w:t>
      </w:r>
      <w:r>
        <w:t xml:space="preserve"> </w:t>
      </w:r>
      <w:r>
        <w:t xml:space="preserve">mapping from economic reality to reported figures changes, and changes</w:t>
      </w:r>
      <w:r>
        <w:t xml:space="preserve"> </w:t>
      </w:r>
      <w:r>
        <w:rPr>
          <w:i/>
          <w:iCs/>
        </w:rPr>
        <w:t xml:space="preserve">differently across firms</w:t>
      </w:r>
      <w:r>
        <w:t xml:space="preserve">. Proposition 7 gives this</w:t>
      </w:r>
      <w:r>
        <w:t xml:space="preserve"> </w:t>
      </w:r>
      <w:r>
        <w:t xml:space="preserve">literature what we believe is a novel application: an accounting transition</w:t>
      </w:r>
      <w:r>
        <w:t xml:space="preserve"> </w:t>
      </w:r>
      <w:r>
        <w:t xml:space="preserve">coinciding with a treatment date and interacting with the treatment variable is</w:t>
      </w:r>
      <w:r>
        <w:t xml:space="preserve"> </w:t>
      </w:r>
      <w:r>
        <w:t xml:space="preserve">not a nuisance to be absorbed but a threat to identification.</w:t>
      </w:r>
    </w:p>
    <w:bookmarkEnd w:id="18"/>
    <w:bookmarkStart w:id="19" w:name="X962e34bfe0b6521bf6608bdebccfc8aba4a0897"/>
    <w:p>
      <w:pPr>
        <w:pStyle w:val="Heading3"/>
      </w:pPr>
      <w:r>
        <w:t xml:space="preserve">Measurement error and generated regressors</w:t>
      </w:r>
    </w:p>
    <w:p>
      <w:pPr>
        <w:pStyle w:val="FirstParagraph"/>
      </w:pPr>
      <w:r>
        <w:t xml:space="preserve">Our exposure results connect to a developed econometric literature.</w:t>
      </w:r>
      <w:r>
        <w:t xml:space="preserve"> </w:t>
      </w:r>
      <w:r>
        <w:t xml:space="preserve">Pagan (1984)</w:t>
      </w:r>
      <w:r>
        <w:t xml:space="preserve"> </w:t>
      </w:r>
      <w:r>
        <w:t xml:space="preserve">established the consequences of using a regression-generated</w:t>
      </w:r>
      <w:r>
        <w:t xml:space="preserve"> </w:t>
      </w:r>
      <w:r>
        <w:t xml:space="preserve">variable as a regressor in a second stage, which is precisely our situation.</w:t>
      </w:r>
      <w:r>
        <w:t xml:space="preserve"> </w:t>
      </w:r>
      <w:r>
        <w:t xml:space="preserve">Griliches &amp; Hausman (1986)</w:t>
      </w:r>
      <w:r>
        <w:t xml:space="preserve"> </w:t>
      </w:r>
      <w:r>
        <w:t xml:space="preserve">show that panel transformations frequently</w:t>
      </w:r>
      <w:r>
        <w:t xml:space="preserve"> </w:t>
      </w:r>
      <w:r>
        <w:rPr>
          <w:i/>
          <w:iCs/>
        </w:rPr>
        <w:t xml:space="preserve">amplify</w:t>
      </w:r>
      <w:r>
        <w:t xml:space="preserve"> </w:t>
      </w:r>
      <w:r>
        <w:t xml:space="preserve">rather than attenuate measurement error—directly relevant, since</w:t>
      </w:r>
      <w:r>
        <w:t xml:space="preserve"> </w:t>
      </w:r>
      <w:r>
        <w:t xml:space="preserve">first-differencing in (6) removes the fixed effect but magnifies the</w:t>
      </w:r>
      <w:r>
        <w:t xml:space="preserve"> </w:t>
      </w:r>
      <w:r>
        <w:t xml:space="preserve">noise-to-signal ratio. Classical attenuation biases coefficients toward zero,</w:t>
      </w:r>
      <w:r>
        <w:t xml:space="preserve"> </w:t>
      </w:r>
      <w:r>
        <w:t xml:space="preserve">exactly the pattern our null exhibits, which is why we regard a first-stage</w:t>
      </w:r>
      <w:r>
        <w:t xml:space="preserve"> </w:t>
      </w:r>
      <w:r>
        <w:t xml:space="preserve">validity test as obligatory rather than optional.</w:t>
      </w:r>
      <w:r>
        <w:t xml:space="preserve"> </w:t>
      </w:r>
      <w:r>
        <w:t xml:space="preserve">Hausman (2001)</w:t>
      </w:r>
      <w:r>
        <w:t xml:space="preserve"> </w:t>
      </w:r>
      <w:r>
        <w:t xml:space="preserve">surveys</w:t>
      </w:r>
      <w:r>
        <w:t xml:space="preserve"> </w:t>
      </w:r>
      <w:r>
        <w:t xml:space="preserve">the broader consequences of mismeasured variables on both sides of a</w:t>
      </w:r>
      <w:r>
        <w:t xml:space="preserve"> </w:t>
      </w:r>
      <w:r>
        <w:t xml:space="preserve">regression, including why the standard instrumental-variables fix for</w:t>
      </w:r>
      <w:r>
        <w:t xml:space="preserve"> </w:t>
      </w:r>
      <w:r>
        <w:t xml:space="preserve">attenuation is unavailable precisely when the instrument is itself only weakly</w:t>
      </w:r>
      <w:r>
        <w:t xml:space="preserve"> </w:t>
      </w:r>
      <w:r>
        <w:t xml:space="preserve">correlated with the true regressor—the situation our split-half correlation</w:t>
      </w:r>
      <w:r>
        <w:t xml:space="preserve"> </w:t>
      </w:r>
      <w:r>
        <w:t xml:space="preserve">diagnoses directly, so we do not pursue an errors-in-variables correction:</w:t>
      </w:r>
      <w:r>
        <w:t xml:space="preserve"> </w:t>
      </w:r>
      <w:r>
        <w:t xml:space="preserve">instrumenting with one half of the estimation window for the other would</w:t>
      </w:r>
      <w:r>
        <w:t xml:space="preserve"> </w:t>
      </w:r>
      <w:r>
        <w:t xml:space="preserve">require exactly the reliability the data reject.</w:t>
      </w:r>
      <w:r>
        <w:t xml:space="preserve"> </w:t>
      </w:r>
      <w:r>
        <w:t xml:space="preserve">Bound et al. (2001)</w:t>
      </w:r>
      <w:r>
        <w:t xml:space="preserve"> </w:t>
      </w:r>
      <w:r>
        <w:t xml:space="preserve">review the wider empirical record on measurement error in survey and</w:t>
      </w:r>
      <w:r>
        <w:t xml:space="preserve"> </w:t>
      </w:r>
      <w:r>
        <w:t xml:space="preserve">administrative data and note that classical assumptions—error uncorrelated</w:t>
      </w:r>
      <w:r>
        <w:t xml:space="preserve"> </w:t>
      </w:r>
      <w:r>
        <w:t xml:space="preserve">with the true value and independent across variables—are themselves</w:t>
      </w:r>
      <w:r>
        <w:t xml:space="preserve"> </w:t>
      </w:r>
      <w:r>
        <w:t xml:space="preserve">frequently violated in ways that can push bias in either direction, which is</w:t>
      </w:r>
      <w:r>
        <w:t xml:space="preserve"> </w:t>
      </w:r>
      <w:r>
        <w:t xml:space="preserve">part of why we treat the split-half correlation as a direct test rather than</w:t>
      </w:r>
      <w:r>
        <w:t xml:space="preserve"> </w:t>
      </w:r>
      <w:r>
        <w:t xml:space="preserve">inferring reliability from auxiliary assumptions about the error structure.</w:t>
      </w:r>
    </w:p>
    <w:p>
      <w:pPr>
        <w:pStyle w:val="BodyText"/>
      </w:pPr>
      <w:r>
        <w:t xml:space="preserve">Proposition 5 extends this in a direction we have not seen</w:t>
      </w:r>
      <w:r>
        <w:t xml:space="preserve"> </w:t>
      </w:r>
      <w:r>
        <w:t xml:space="preserve">applied to firm-level exposure: separating estimation error from genuine</w:t>
      </w:r>
      <w:r>
        <w:t xml:space="preserve"> </w:t>
      </w:r>
      <w:r>
        <w:t xml:space="preserve">impermanence of the underlying characteristic. The distinction is consequential</w:t>
      </w:r>
      <w:r>
        <w:t xml:space="preserve"> </w:t>
      </w:r>
      <w:r>
        <w:t xml:space="preserve">because the two failure modes call for opposite responses.</w:t>
      </w:r>
    </w:p>
    <w:bookmarkEnd w:id="19"/>
    <w:bookmarkEnd w:id="20"/>
    <w:bookmarkStart w:id="30" w:name="Xa5edd9000a63514fa52281d15482febebdbd723"/>
    <w:p>
      <w:pPr>
        <w:pStyle w:val="Heading2"/>
      </w:pPr>
      <w:r>
        <w:t xml:space="preserve">An analytical framework for estimated exposure</w:t>
      </w:r>
    </w:p>
    <w:p>
      <w:pPr>
        <w:pStyle w:val="FirstParagraph"/>
      </w:pPr>
      <w:r>
        <w:t xml:space="preserve">This section formalises what is at stake when the exposure variable of a</w:t>
      </w:r>
      <w:r>
        <w:t xml:space="preserve"> </w:t>
      </w:r>
      <w:r>
        <w:t xml:space="preserve">difference-in-differences design is estimated from accounting data rather than</w:t>
      </w:r>
      <w:r>
        <w:t xml:space="preserve"> </w:t>
      </w:r>
      <w:r>
        <w:t xml:space="preserve">observed contractually. The framework is deliberately spare, and each result</w:t>
      </w:r>
      <w:r>
        <w:t xml:space="preserve"> </w:t>
      </w:r>
      <w:r>
        <w:t xml:space="preserve">generates a statistic we compute in Sections 4.1–5.1.</w:t>
      </w:r>
    </w:p>
    <w:bookmarkStart w:id="21" w:name="setup"/>
    <w:p>
      <w:pPr>
        <w:pStyle w:val="Heading3"/>
      </w:pPr>
      <w:r>
        <w:t xml:space="preserve">Setup</w:t>
      </w:r>
    </w:p>
    <w:p>
      <w:pPr>
        <w:pStyle w:val="FirstParagraph"/>
      </w:pPr>
      <w:r>
        <w:t xml:space="preserve">Index firms by</w:t>
      </w:r>
      <w:r>
        <w:t xml:space="preserve"> </w:t>
      </w:r>
      <m:oMath>
        <m:r>
          <m:t>i</m:t>
        </m:r>
        <m:r>
          <m:rPr>
            <m:sty m:val="p"/>
          </m:rPr>
          <m:t>=</m:t>
        </m:r>
        <m:r>
          <m:t>1</m:t>
        </m:r>
        <m:r>
          <m:rPr>
            <m:sty m:val="p"/>
          </m:rPr>
          <m:t>,</m:t>
        </m:r>
        <m:r>
          <m:rPr>
            <m:sty m:val="p"/>
          </m:rPr>
          <m:t>…</m:t>
        </m:r>
        <m:r>
          <m:rPr>
            <m:sty m:val="p"/>
          </m:rPr>
          <m:t>,</m:t>
        </m:r>
        <m:r>
          <m:t>N</m:t>
        </m:r>
      </m:oMath>
      <w:r>
        <w:t xml:space="preserve"> </w:t>
      </w:r>
      <w:r>
        <w:t xml:space="preserve">and years by</w:t>
      </w:r>
      <w:r>
        <w:t xml:space="preserve"> </w:t>
      </w:r>
      <m:oMath>
        <m:r>
          <m:t>t</m:t>
        </m:r>
        <m:r>
          <m:rPr>
            <m:sty m:val="p"/>
          </m:rPr>
          <m:t>=</m:t>
        </m:r>
        <m:r>
          <m:t>1</m:t>
        </m:r>
        <m:r>
          <m:rPr>
            <m:sty m:val="p"/>
          </m:rPr>
          <m:t>,</m:t>
        </m:r>
        <m:r>
          <m:rPr>
            <m:sty m:val="p"/>
          </m:rPr>
          <m:t>…</m:t>
        </m:r>
        <m:r>
          <m:rPr>
            <m:sty m:val="p"/>
          </m:rPr>
          <m:t>,</m:t>
        </m:r>
        <m:r>
          <m:t>T</m:t>
        </m:r>
      </m:oMath>
      <w:r>
        <w:t xml:space="preserve">. Let</w:t>
      </w:r>
      <w:r>
        <w:t xml:space="preserve"> </w:t>
      </w:r>
      <m:oMath>
        <m:sSub>
          <m:e>
            <m:r>
              <m:t>π</m:t>
            </m:r>
          </m:e>
          <m:sub>
            <m:r>
              <m:t>t</m:t>
            </m:r>
          </m:sub>
        </m:sSub>
      </m:oMath>
      <w:r>
        <w:t xml:space="preserve"> </w:t>
      </w:r>
      <w:r>
        <w:t xml:space="preserve">denote the</w:t>
      </w:r>
      <w:r>
        <w:t xml:space="preserve"> </w:t>
      </w:r>
      <w:r>
        <w:t xml:space="preserve">policy rate and</w:t>
      </w:r>
      <w:r>
        <w:t xml:space="preserve"> </w:t>
      </w:r>
      <m:oMath>
        <m:sSub>
          <m:e>
            <m:r>
              <m:t>f</m:t>
            </m:r>
          </m:e>
          <m:sub>
            <m:r>
              <m:t>t</m:t>
            </m:r>
          </m:sub>
        </m:sSub>
      </m:oMath>
      <w:r>
        <w:t xml:space="preserve"> </w:t>
      </w:r>
      <w:r>
        <w:t xml:space="preserve">the log exchange rate. Let</w:t>
      </w:r>
      <w:r>
        <w:t xml:space="preserve"> </w:t>
      </w:r>
      <m:oMath>
        <m:sSub>
          <m:e>
            <m:r>
              <m:t>P</m:t>
            </m:r>
          </m:e>
          <m:sub>
            <m:r>
              <m:t>t</m:t>
            </m:r>
          </m:sub>
        </m:sSub>
        <m:r>
          <m:rPr>
            <m:sty m:val="p"/>
          </m:rPr>
          <m:t>=</m:t>
        </m:r>
        <m:r>
          <m:rPr>
            <m:sty m:val="b"/>
          </m:rPr>
          <m:t>1</m:t>
        </m:r>
        <m:r>
          <m:rPr>
            <m:sty m:val="p"/>
          </m:rPr>
          <m:t>{</m:t>
        </m:r>
        <m:r>
          <m:t>t</m:t>
        </m:r>
        <m:r>
          <m:rPr>
            <m:sty m:val="p"/>
          </m:rPr>
          <m:t>≥</m:t>
        </m:r>
        <m:sSup>
          <m:e>
            <m:r>
              <m:t>t</m:t>
            </m:r>
          </m:e>
          <m:sup>
            <m:r>
              <m:rPr>
                <m:sty m:val="p"/>
              </m:rPr>
              <m:t>*</m:t>
            </m:r>
          </m:sup>
        </m:sSup>
        <m:r>
          <m:rPr>
            <m:sty m:val="p"/>
          </m:rPr>
          <m:t>}</m:t>
        </m:r>
      </m:oMath>
      <w:r>
        <w:t xml:space="preserve"> </w:t>
      </w:r>
      <w:r>
        <w:t xml:space="preserve">be the</w:t>
      </w:r>
      <w:r>
        <w:t xml:space="preserve"> </w:t>
      </w:r>
      <w:r>
        <w:t xml:space="preserve">post-treatment indicator, with</w:t>
      </w:r>
      <w:r>
        <w:t xml:space="preserve"> </w:t>
      </w:r>
      <m:oMath>
        <m:sSup>
          <m:e>
            <m:r>
              <m:t>t</m:t>
            </m:r>
          </m:e>
          <m:sup>
            <m:r>
              <m:rPr>
                <m:sty m:val="p"/>
              </m:rPr>
              <m:t>*</m:t>
            </m:r>
          </m:sup>
        </m:sSup>
      </m:oMath>
      <w:r>
        <w:t xml:space="preserve"> </w:t>
      </w:r>
      <w:r>
        <w:t xml:space="preserve">the tightening date.</w:t>
      </w:r>
    </w:p>
    <w:p>
      <w:pPr>
        <w:pStyle w:val="BodyText"/>
      </w:pPr>
      <w:r>
        <w:t xml:space="preserve">Each firm has a latent</w:t>
      </w:r>
      <w:r>
        <w:t xml:space="preserve"> </w:t>
      </w:r>
      <w:r>
        <w:rPr>
          <w:i/>
          <w:iCs/>
        </w:rPr>
        <w:t xml:space="preserve">repricing exposure</w:t>
      </w:r>
      <w:r>
        <w:t xml:space="preserve"> </w:t>
      </w:r>
      <m:oMath>
        <m:sSub>
          <m:e>
            <m:r>
              <m:t>θ</m:t>
            </m:r>
          </m:e>
          <m:sub>
            <m:r>
              <m:t>i</m:t>
            </m:r>
          </m:sub>
        </m:sSub>
      </m:oMath>
      <w:r>
        <w:t xml:space="preserve">, defined as the</w:t>
      </w:r>
      <w:r>
        <w:t xml:space="preserve"> </w:t>
      </w:r>
      <w:r>
        <w:t xml:space="preserve">share of its debt whose contractual rate resets within the period. The object of</w:t>
      </w:r>
      <w:r>
        <w:t xml:space="preserve"> </w:t>
      </w:r>
      <w:r>
        <w:t xml:space="preserve">interest is the effect of tightening on a distress outcome</w:t>
      </w:r>
      <w:r>
        <w:t xml:space="preserve"> </w:t>
      </w:r>
      <m:oMath>
        <m:sSub>
          <m:e>
            <m:r>
              <m:t>Y</m:t>
            </m:r>
          </m:e>
          <m:sub>
            <m:r>
              <m:t>i</m:t>
            </m:r>
            <m:r>
              <m:t>t</m:t>
            </m:r>
          </m:sub>
        </m:sSub>
      </m:oMath>
      <w:r>
        <w:t xml:space="preserve">, mediated by</w:t>
      </w:r>
      <w:r>
        <w:t xml:space="preserve"> </w:t>
      </w:r>
      <w:r>
        <w:t xml:space="preserve">exposure:</w:t>
      </w:r>
    </w:p>
    <w:p>
      <w:pPr>
        <w:pStyle w:val="BodyText"/>
      </w:pPr>
      <m:oMathPara>
        <m:oMathParaPr>
          <m:jc m:val="center"/>
        </m:oMathParaPr>
        <m:oMath>
          <m:sSub>
            <m:e>
              <m:r>
                <m:t>Y</m:t>
              </m:r>
            </m:e>
            <m:sub>
              <m:r>
                <m:t>i</m:t>
              </m:r>
              <m:r>
                <m:t>t</m:t>
              </m:r>
            </m:sub>
          </m:sSub>
          <m:r>
            <m:t> </m:t>
          </m:r>
          <m:r>
            <m:rPr>
              <m:sty m:val="p"/>
            </m:rPr>
            <m:t>=</m:t>
          </m:r>
          <m:r>
            <m:t> </m:t>
          </m:r>
          <m:r>
            <m:t>β</m:t>
          </m:r>
          <m:r>
            <m:t> </m:t>
          </m:r>
          <m:d>
            <m:dPr>
              <m:begChr m:val="("/>
              <m:sepChr m:val=""/>
              <m:endChr m:val=")"/>
              <m:grow/>
            </m:dPr>
            <m:e>
              <m:sSub>
                <m:e>
                  <m:r>
                    <m:t>θ</m:t>
                  </m:r>
                </m:e>
                <m:sub>
                  <m:r>
                    <m:t>i</m:t>
                  </m:r>
                </m:sub>
              </m:sSub>
              <m:sSub>
                <m:e>
                  <m:r>
                    <m:t>P</m:t>
                  </m:r>
                </m:e>
                <m:sub>
                  <m:r>
                    <m:t>t</m:t>
                  </m:r>
                </m:sub>
              </m:sSub>
            </m:e>
          </m:d>
          <m:r>
            <m:t> </m:t>
          </m:r>
          <m:r>
            <m:rPr>
              <m:sty m:val="p"/>
            </m:rPr>
            <m:t>+</m:t>
          </m:r>
          <m:r>
            <m:t> </m:t>
          </m:r>
          <m:sSub>
            <m:e>
              <m:r>
                <m:t>α</m:t>
              </m:r>
            </m:e>
            <m:sub>
              <m:r>
                <m:t>i</m:t>
              </m:r>
            </m:sub>
          </m:sSub>
          <m:r>
            <m:t> </m:t>
          </m:r>
          <m:r>
            <m:rPr>
              <m:sty m:val="p"/>
            </m:rPr>
            <m:t>+</m:t>
          </m:r>
          <m:r>
            <m:t> </m:t>
          </m:r>
          <m:sSub>
            <m:e>
              <m:r>
                <m:t>λ</m:t>
              </m:r>
            </m:e>
            <m:sub>
              <m:r>
                <m:t>t</m:t>
              </m:r>
            </m:sub>
          </m:sSub>
          <m:r>
            <m:t> </m:t>
          </m:r>
          <m:r>
            <m:rPr>
              <m:sty m:val="p"/>
            </m:rPr>
            <m:t>+</m:t>
          </m:r>
          <m:r>
            <m:t> </m:t>
          </m:r>
          <m:sSub>
            <m:e>
              <m:r>
                <m:t>ε</m:t>
              </m:r>
            </m:e>
            <m:sub>
              <m:r>
                <m:t>i</m:t>
              </m:r>
              <m:r>
                <m:t>t</m:t>
              </m:r>
            </m:sub>
          </m:sSub>
          <m:r>
            <m:rPr>
              <m:sty m:val="p"/>
            </m:rPr>
            <m:t>,</m:t>
          </m:r>
          <m:r>
            <m:t>  </m:t>
          </m:r>
          <m:r>
            <m:rPr>
              <m:scr m:val="double-struck"/>
              <m:sty m:val="p"/>
            </m:rPr>
            <m:t>E</m:t>
          </m:r>
          <m:r>
            <m:rPr>
              <m:sty m:val="p"/>
            </m:rPr>
            <m:t>[</m:t>
          </m:r>
          <m:sSub>
            <m:e>
              <m:r>
                <m:t>ε</m:t>
              </m:r>
            </m:e>
            <m:sub>
              <m:r>
                <m:t>i</m:t>
              </m:r>
              <m:r>
                <m:t>t</m:t>
              </m:r>
            </m:sub>
          </m:sSub>
          <m:r>
            <m:rPr>
              <m:sty m:val="p"/>
            </m:rPr>
            <m:t>∣</m:t>
          </m:r>
          <m:sSub>
            <m:e>
              <m:r>
                <m:t>θ</m:t>
              </m:r>
            </m:e>
            <m:sub>
              <m:r>
                <m:t>i</m:t>
              </m:r>
            </m:sub>
          </m:sSub>
          <m:r>
            <m:rPr>
              <m:sty m:val="p"/>
            </m:rPr>
            <m:t>,</m:t>
          </m:r>
          <m:sSub>
            <m:e>
              <m:r>
                <m:t>P</m:t>
              </m:r>
            </m:e>
            <m:sub>
              <m:r>
                <m:t>t</m:t>
              </m:r>
            </m:sub>
          </m:sSub>
          <m:r>
            <m:rPr>
              <m:sty m:val="p"/>
            </m:rPr>
            <m:t>]</m:t>
          </m:r>
          <m:r>
            <m:rPr>
              <m:sty m:val="p"/>
            </m:rPr>
            <m:t>=</m:t>
          </m:r>
          <m:r>
            <m:t>0</m:t>
          </m:r>
          <m:r>
            <m:rPr>
              <m:sty m:val="p"/>
            </m:rPr>
            <m:t>,</m:t>
          </m:r>
        </m:oMath>
      </m:oMathPara>
    </w:p>
    <w:p>
      <w:pPr>
        <w:pStyle w:val="FirstParagraph"/>
      </w:pPr>
      <w:r>
        <w:t xml:space="preserve">with firm effects</w:t>
      </w:r>
      <w:r>
        <w:t xml:space="preserve"> </w:t>
      </w:r>
      <m:oMath>
        <m:sSub>
          <m:e>
            <m:r>
              <m:t>α</m:t>
            </m:r>
          </m:e>
          <m:sub>
            <m:r>
              <m:t>i</m:t>
            </m:r>
          </m:sub>
        </m:sSub>
      </m:oMath>
      <w:r>
        <w:t xml:space="preserve"> </w:t>
      </w:r>
      <w:r>
        <w:t xml:space="preserve">and year effects</w:t>
      </w:r>
      <w:r>
        <w:t xml:space="preserve"> </w:t>
      </w:r>
      <m:oMath>
        <m:sSub>
          <m:e>
            <m:r>
              <m:t>λ</m:t>
            </m:r>
          </m:e>
          <m:sub>
            <m:r>
              <m:t>t</m:t>
            </m:r>
          </m:sub>
        </m:sSub>
      </m:oMath>
      <w:r>
        <w:t xml:space="preserve">. If</w:t>
      </w:r>
      <w:r>
        <w:t xml:space="preserve"> </w:t>
      </w:r>
      <m:oMath>
        <m:sSub>
          <m:e>
            <m:r>
              <m:t>θ</m:t>
            </m:r>
          </m:e>
          <m:sub>
            <m:r>
              <m:t>i</m:t>
            </m:r>
          </m:sub>
        </m:sSub>
      </m:oMath>
      <w:r>
        <w:t xml:space="preserve"> </w:t>
      </w:r>
      <w:r>
        <w:t xml:space="preserve">were</w:t>
      </w:r>
      <w:r>
        <w:t xml:space="preserve"> </w:t>
      </w:r>
      <w:r>
        <w:t xml:space="preserve">observed,</w:t>
      </w:r>
      <w:r>
        <w:t xml:space="preserve"> </w:t>
      </w:r>
      <m:oMath>
        <m:r>
          <m:t>β</m:t>
        </m:r>
      </m:oMath>
      <w:r>
        <w:t xml:space="preserve"> </w:t>
      </w:r>
      <w:r>
        <w:t xml:space="preserve">would be identified by the two-way within estimator. The</w:t>
      </w:r>
      <w:r>
        <w:t xml:space="preserve"> </w:t>
      </w:r>
      <w:r>
        <w:t xml:space="preserve">registry literature is, in effect, the case in which</w:t>
      </w:r>
      <w:r>
        <w:t xml:space="preserve"> </w:t>
      </w:r>
      <m:oMath>
        <m:sSub>
          <m:e>
            <m:r>
              <m:t>θ</m:t>
            </m:r>
          </m:e>
          <m:sub>
            <m:r>
              <m:t>i</m:t>
            </m:r>
          </m:sub>
        </m:sSub>
      </m:oMath>
      <w:r>
        <w:t xml:space="preserve"> </w:t>
      </w:r>
      <w:r>
        <w:t xml:space="preserve">is observed.</w:t>
      </w:r>
    </w:p>
    <w:p>
      <w:pPr>
        <w:pStyle w:val="BodyText"/>
      </w:pPr>
      <w:r>
        <w:t xml:space="preserve">Our situation is that</w:t>
      </w:r>
      <w:r>
        <w:t xml:space="preserve"> </w:t>
      </w:r>
      <m:oMath>
        <m:sSub>
          <m:e>
            <m:r>
              <m:t>θ</m:t>
            </m:r>
          </m:e>
          <m:sub>
            <m:r>
              <m:t>i</m:t>
            </m:r>
          </m:sub>
        </m:sSub>
      </m:oMath>
      <w:r>
        <w:t xml:space="preserve"> </w:t>
      </w:r>
      <w:r>
        <w:t xml:space="preserve">is not disclosed. We observe instead a proxy</w:t>
      </w:r>
    </w:p>
    <w:p>
      <w:pPr>
        <w:pStyle w:val="BodyText"/>
      </w:pPr>
      <m:oMathPara>
        <m:oMathParaPr>
          <m:jc m:val="center"/>
        </m:oMathParaPr>
        <m:oMath>
          <m:sSub>
            <m:e>
              <m:acc>
                <m:accPr>
                  <m:chr m:val="̂"/>
                </m:accPr>
                <m:e>
                  <m:r>
                    <m:t>θ</m:t>
                  </m:r>
                </m:e>
              </m:acc>
            </m:e>
            <m:sub>
              <m:r>
                <m:t>i</m:t>
              </m:r>
            </m:sub>
          </m:sSub>
          <m:r>
            <m:t> </m:t>
          </m:r>
          <m:r>
            <m:rPr>
              <m:sty m:val="p"/>
            </m:rPr>
            <m:t>=</m:t>
          </m:r>
          <m:r>
            <m:t> </m:t>
          </m:r>
          <m:sSub>
            <m:e>
              <m:r>
                <m:t>θ</m:t>
              </m:r>
            </m:e>
            <m:sub>
              <m:r>
                <m:t>i</m:t>
              </m:r>
            </m:sub>
          </m:sSub>
          <m:r>
            <m:rPr>
              <m:sty m:val="p"/>
            </m:rPr>
            <m:t>+</m:t>
          </m:r>
          <m:sSub>
            <m:e>
              <m:r>
                <m:t>u</m:t>
              </m:r>
            </m:e>
            <m:sub>
              <m:r>
                <m:t>i</m:t>
              </m:r>
            </m:sub>
          </m:sSub>
          <m:r>
            <m:rPr>
              <m:sty m:val="p"/>
            </m:rPr>
            <m:t>,</m:t>
          </m:r>
          <m:r>
            <m:t>  </m:t>
          </m:r>
          <m:sSub>
            <m:e>
              <m:r>
                <m:t>u</m:t>
              </m:r>
            </m:e>
            <m:sub>
              <m:r>
                <m:t>i</m:t>
              </m:r>
            </m:sub>
          </m:sSub>
          <m:r>
            <m:rPr>
              <m:sty m:val="p"/>
            </m:rPr>
            <m:t>⟂</m:t>
          </m:r>
          <m:r>
            <m:rPr>
              <m:sty m:val="p"/>
            </m:rPr>
            <m:t>(</m:t>
          </m:r>
          <m:sSub>
            <m:e>
              <m:r>
                <m:t>θ</m:t>
              </m:r>
            </m:e>
            <m:sub>
              <m:r>
                <m:t>i</m:t>
              </m:r>
            </m:sub>
          </m:sSub>
          <m:r>
            <m:rPr>
              <m:sty m:val="p"/>
            </m:rPr>
            <m:t>,</m:t>
          </m:r>
          <m:sSub>
            <m:e>
              <m:r>
                <m:t>ε</m:t>
              </m:r>
            </m:e>
            <m:sub>
              <m:r>
                <m:t>i</m:t>
              </m:r>
              <m:r>
                <m:t>t</m:t>
              </m:r>
            </m:sub>
          </m:sSub>
          <m:r>
            <m:rPr>
              <m:sty m:val="p"/>
            </m:rPr>
            <m:t>)</m:t>
          </m:r>
          <m:r>
            <m:rPr>
              <m:sty m:val="p"/>
            </m:rPr>
            <m:t>,</m:t>
          </m:r>
          <m:r>
            <m:t>  </m:t>
          </m:r>
          <m:r>
            <m:rPr>
              <m:sty m:val="p"/>
            </m:rPr>
            <m:t>Var</m:t>
          </m:r>
          <m:r>
            <m:rPr>
              <m:sty m:val="p"/>
            </m:rPr>
            <m:t>(</m:t>
          </m:r>
          <m:sSub>
            <m:e>
              <m:r>
                <m:t>u</m:t>
              </m:r>
            </m:e>
            <m:sub>
              <m:r>
                <m:t>i</m:t>
              </m:r>
            </m:sub>
          </m:sSub>
          <m:r>
            <m:rPr>
              <m:sty m:val="p"/>
            </m:rPr>
            <m:t>)</m:t>
          </m:r>
          <m:r>
            <m:rPr>
              <m:sty m:val="p"/>
            </m:rPr>
            <m:t>=</m:t>
          </m:r>
          <m:sSubSup>
            <m:e>
              <m:r>
                <m:t>σ</m:t>
              </m:r>
            </m:e>
            <m:sub>
              <m:r>
                <m:t>u</m:t>
              </m:r>
            </m:sub>
            <m:sup>
              <m:r>
                <m:t>2</m:t>
              </m:r>
            </m:sup>
          </m:sSubSup>
          <m:r>
            <m:rPr>
              <m:sty m:val="p"/>
            </m:rPr>
            <m:t>,</m:t>
          </m:r>
          <m:r>
            <m:t> </m:t>
          </m:r>
          <m:r>
            <m:t> </m:t>
          </m:r>
          <m:r>
            <m:rPr>
              <m:sty m:val="p"/>
            </m:rPr>
            <m:t>Var</m:t>
          </m:r>
          <m:r>
            <m:rPr>
              <m:sty m:val="p"/>
            </m:rPr>
            <m:t>(</m:t>
          </m:r>
          <m:sSub>
            <m:e>
              <m:r>
                <m:t>θ</m:t>
              </m:r>
            </m:e>
            <m:sub>
              <m:r>
                <m:t>i</m:t>
              </m:r>
            </m:sub>
          </m:sSub>
          <m:r>
            <m:rPr>
              <m:sty m:val="p"/>
            </m:rPr>
            <m:t>)</m:t>
          </m:r>
          <m:r>
            <m:rPr>
              <m:sty m:val="p"/>
            </m:rPr>
            <m:t>=</m:t>
          </m:r>
          <m:sSubSup>
            <m:e>
              <m:r>
                <m:t>σ</m:t>
              </m:r>
            </m:e>
            <m:sub>
              <m:r>
                <m:t>θ</m:t>
              </m:r>
            </m:sub>
            <m:sup>
              <m:r>
                <m:t>2</m:t>
              </m:r>
            </m:sup>
          </m:sSubSup>
          <m:r>
            <m:rPr>
              <m:sty m:val="p"/>
            </m:rPr>
            <m:t>.</m:t>
          </m:r>
        </m:oMath>
      </m:oMathPara>
    </w:p>
    <w:p>
      <w:pPr>
        <w:pStyle w:val="FirstParagraph"/>
      </w:pPr>
      <w:r>
        <w:t xml:space="preserve">Define the</w:t>
      </w:r>
      <w:r>
        <w:t xml:space="preserve"> </w:t>
      </w:r>
      <w:r>
        <w:rPr>
          <w:i/>
          <w:iCs/>
        </w:rPr>
        <w:t xml:space="preserve">reliability ratio</w:t>
      </w:r>
    </w:p>
    <w:p>
      <w:pPr>
        <w:pStyle w:val="BodyText"/>
      </w:pPr>
      <m:oMathPara>
        <m:oMathParaPr>
          <m:jc m:val="center"/>
        </m:oMathParaPr>
        <m:oMath>
          <m:r>
            <m:t>λ</m:t>
          </m:r>
          <m:r>
            <m:t> </m:t>
          </m:r>
          <m:r>
            <m:rPr>
              <m:sty m:val="p"/>
            </m:rPr>
            <m:t>≡</m:t>
          </m:r>
          <m:r>
            <m:t> </m:t>
          </m:r>
          <m:f>
            <m:fPr>
              <m:type m:val="bar"/>
            </m:fPr>
            <m:num>
              <m:sSubSup>
                <m:e>
                  <m:r>
                    <m:t>σ</m:t>
                  </m:r>
                </m:e>
                <m:sub>
                  <m:r>
                    <m:t>θ</m:t>
                  </m:r>
                </m:sub>
                <m:sup>
                  <m:r>
                    <m:t>2</m:t>
                  </m:r>
                </m:sup>
              </m:sSubSup>
            </m:num>
            <m:den>
              <m:sSubSup>
                <m:e>
                  <m:r>
                    <m:t>σ</m:t>
                  </m:r>
                </m:e>
                <m:sub>
                  <m:r>
                    <m:t>θ</m:t>
                  </m:r>
                </m:sub>
                <m:sup>
                  <m:r>
                    <m:t>2</m:t>
                  </m:r>
                </m:sup>
              </m:sSubSup>
              <m:r>
                <m:rPr>
                  <m:sty m:val="p"/>
                </m:rPr>
                <m:t>+</m:t>
              </m:r>
              <m:sSubSup>
                <m:e>
                  <m:r>
                    <m:t>σ</m:t>
                  </m:r>
                </m:e>
                <m:sub>
                  <m:r>
                    <m:t>u</m:t>
                  </m:r>
                </m:sub>
                <m:sup>
                  <m:r>
                    <m:t>2</m:t>
                  </m:r>
                </m:sup>
              </m:sSubSup>
            </m:den>
          </m:f>
          <m:r>
            <m:t> </m:t>
          </m:r>
          <m:r>
            <m:rPr>
              <m:sty m:val="p"/>
            </m:rPr>
            <m:t>∈</m:t>
          </m:r>
          <m:r>
            <m:rPr>
              <m:sty m:val="p"/>
            </m:rPr>
            <m:t>[</m:t>
          </m:r>
          <m:r>
            <m:t>0</m:t>
          </m:r>
          <m:r>
            <m:rPr>
              <m:sty m:val="p"/>
            </m:rPr>
            <m:t>,</m:t>
          </m:r>
          <m:r>
            <m:t>1</m:t>
          </m:r>
          <m:r>
            <m:rPr>
              <m:sty m:val="p"/>
            </m:rPr>
            <m:t>]</m:t>
          </m:r>
          <m:r>
            <m:rPr>
              <m:sty m:val="p"/>
            </m:rPr>
            <m:t>.</m:t>
          </m:r>
        </m:oMath>
      </m:oMathPara>
    </w:p>
    <w:bookmarkEnd w:id="21"/>
    <w:bookmarkStart w:id="22" w:name="attenuation-of-the-treatment-estimand"/>
    <w:p>
      <w:pPr>
        <w:pStyle w:val="Heading3"/>
      </w:pPr>
      <w:r>
        <w:t xml:space="preserve">Attenuation of the treatment estimand</w:t>
      </w:r>
    </w:p>
    <w:p>
      <w:pPr>
        <w:pStyle w:val="FirstParagraph"/>
      </w:pPr>
      <w:r>
        <w:rPr>
          <w:b/>
          <w:bCs/>
        </w:rPr>
        <w:t xml:space="preserve">Proposition 1 (Attenuation).</w:t>
      </w:r>
      <w:r>
        <w:t xml:space="preserve"> </w:t>
      </w:r>
      <w:r>
        <w:t xml:space="preserve">Let</w:t>
      </w:r>
      <w:r>
        <w:t xml:space="preserve"> </w:t>
      </w:r>
      <m:oMath>
        <m:acc>
          <m:accPr>
            <m:chr m:val="̂"/>
          </m:accPr>
          <m:e>
            <m:r>
              <m:t>β</m:t>
            </m:r>
          </m:e>
        </m:acc>
      </m:oMath>
      <w:r>
        <w:t xml:space="preserve"> </w:t>
      </w:r>
      <w:r>
        <w:t xml:space="preserve">be the two-way within estimator of (1)</w:t>
      </w:r>
      <w:r>
        <w:t xml:space="preserve"> </w:t>
      </w:r>
      <w:r>
        <w:t xml:space="preserve">obtained by replacing</w:t>
      </w:r>
      <w:r>
        <w:t xml:space="preserve"> </w:t>
      </w:r>
      <m:oMath>
        <m:sSub>
          <m:e>
            <m:r>
              <m:t>θ</m:t>
            </m:r>
          </m:e>
          <m:sub>
            <m:r>
              <m:t>i</m:t>
            </m:r>
          </m:sub>
        </m:sSub>
      </m:oMath>
      <w:r>
        <w:t xml:space="preserve"> </w:t>
      </w:r>
      <w:r>
        <w:t xml:space="preserve">with</w:t>
      </w:r>
      <w:r>
        <w:t xml:space="preserve"> </w:t>
      </w:r>
      <m:oMath>
        <m:sSub>
          <m:e>
            <m:acc>
              <m:accPr>
                <m:chr m:val="̂"/>
              </m:accPr>
              <m:e>
                <m:r>
                  <m:t>θ</m:t>
                </m:r>
              </m:e>
            </m:acc>
          </m:e>
          <m:sub>
            <m:r>
              <m:t>i</m:t>
            </m:r>
          </m:sub>
        </m:sSub>
      </m:oMath>
      <w:r>
        <w:t xml:space="preserve">. Then</w:t>
      </w:r>
    </w:p>
    <w:p>
      <w:pPr>
        <w:pStyle w:val="BodyText"/>
      </w:pPr>
      <m:oMathPara>
        <m:oMathParaPr>
          <m:jc m:val="center"/>
        </m:oMathParaPr>
        <m:oMath>
          <m:limLow>
            <m:e>
              <m:r>
                <m:rPr>
                  <m:sty m:val="p"/>
                </m:rPr>
                <m:t>plim</m:t>
              </m:r>
            </m:e>
            <m:lim>
              <m:r>
                <m:t>N</m:t>
              </m:r>
              <m:r>
                <m:rPr>
                  <m:sty m:val="p"/>
                </m:rPr>
                <m:t>→</m:t>
              </m:r>
              <m:r>
                <m:rPr>
                  <m:sty m:val="p"/>
                </m:rPr>
                <m:t>∞</m:t>
              </m:r>
            </m:lim>
          </m:limLow>
          <m:r>
            <m:t> </m:t>
          </m:r>
          <m:acc>
            <m:accPr>
              <m:chr m:val="̂"/>
            </m:accPr>
            <m:e>
              <m:r>
                <m:t>β</m:t>
              </m:r>
            </m:e>
          </m:acc>
          <m:r>
            <m:t> </m:t>
          </m:r>
          <m:r>
            <m:rPr>
              <m:sty m:val="p"/>
            </m:rPr>
            <m:t>=</m:t>
          </m:r>
          <m:r>
            <m:t> </m:t>
          </m:r>
          <m:r>
            <m:t>λ</m:t>
          </m:r>
          <m:r>
            <m:t> </m:t>
          </m:r>
          <m:r>
            <m:t>β</m:t>
          </m:r>
          <m:r>
            <m:rPr>
              <m:sty m:val="p"/>
            </m:rPr>
            <m:t>.</m:t>
          </m:r>
        </m:oMath>
      </m:oMathPara>
    </w:p>
    <w:p>
      <w:pPr>
        <w:pStyle w:val="FirstParagraph"/>
      </w:pPr>
      <w:r>
        <w:rPr>
          <w:i/>
          <w:iCs/>
        </w:rPr>
        <w:t xml:space="preserve">Proof.</w:t>
      </w:r>
      <w:r>
        <w:t xml:space="preserve"> </w:t>
      </w:r>
      <w:r>
        <w:t xml:space="preserve">Write the regressor as</w:t>
      </w:r>
      <w:r>
        <w:t xml:space="preserve"> </w:t>
      </w:r>
      <m:oMath>
        <m:sSub>
          <m:e>
            <m:r>
              <m:t>X</m:t>
            </m:r>
          </m:e>
          <m:sub>
            <m:r>
              <m:t>i</m:t>
            </m:r>
            <m:r>
              <m:t>t</m:t>
            </m:r>
          </m:sub>
        </m:sSub>
        <m:r>
          <m:rPr>
            <m:sty m:val="p"/>
          </m:rPr>
          <m:t>=</m:t>
        </m:r>
        <m:sSub>
          <m:e>
            <m:acc>
              <m:accPr>
                <m:chr m:val="̂"/>
              </m:accPr>
              <m:e>
                <m:r>
                  <m:t>θ</m:t>
                </m:r>
              </m:e>
            </m:acc>
          </m:e>
          <m:sub>
            <m:r>
              <m:t>i</m:t>
            </m:r>
          </m:sub>
        </m:sSub>
        <m:sSub>
          <m:e>
            <m:r>
              <m:t>P</m:t>
            </m:r>
          </m:e>
          <m:sub>
            <m:r>
              <m:t>t</m:t>
            </m:r>
          </m:sub>
        </m:sSub>
      </m:oMath>
      <w:r>
        <w:t xml:space="preserve"> </w:t>
      </w:r>
      <w:r>
        <w:t xml:space="preserve">and let</w:t>
      </w:r>
      <w:r>
        <w:t xml:space="preserve"> </w:t>
      </w:r>
      <m:oMath>
        <m:acc>
          <m:accPr>
            <m:chr m:val="̃"/>
          </m:accPr>
          <m:e>
            <m:r>
              <m:t>X</m:t>
            </m:r>
          </m:e>
        </m:acc>
      </m:oMath>
      <w:r>
        <w:t xml:space="preserve"> </w:t>
      </w:r>
      <w:r>
        <w:t xml:space="preserve">denote</w:t>
      </w:r>
      <w:r>
        <w:t xml:space="preserve"> </w:t>
      </w:r>
      <w:r>
        <w:t xml:space="preserve">its residual after projecting out firm and year effects. Because</w:t>
      </w:r>
      <w:r>
        <w:t xml:space="preserve"> </w:t>
      </w:r>
      <m:oMath>
        <m:sSub>
          <m:e>
            <m:r>
              <m:t>P</m:t>
            </m:r>
          </m:e>
          <m:sub>
            <m:r>
              <m:t>t</m:t>
            </m:r>
          </m:sub>
        </m:sSub>
      </m:oMath>
      <w:r>
        <w:t xml:space="preserve"> </w:t>
      </w:r>
      <w:r>
        <w:t xml:space="preserve">varies</w:t>
      </w:r>
      <w:r>
        <w:t xml:space="preserve"> </w:t>
      </w:r>
      <w:r>
        <w:t xml:space="preserve">only over time and</w:t>
      </w:r>
      <w:r>
        <w:t xml:space="preserve"> </w:t>
      </w:r>
      <m:oMath>
        <m:sSub>
          <m:e>
            <m:acc>
              <m:accPr>
                <m:chr m:val="̂"/>
              </m:accPr>
              <m:e>
                <m:r>
                  <m:t>θ</m:t>
                </m:r>
              </m:e>
            </m:acc>
          </m:e>
          <m:sub>
            <m:r>
              <m:t>i</m:t>
            </m:r>
          </m:sub>
        </m:sSub>
      </m:oMath>
      <w:r>
        <w:t xml:space="preserve"> </w:t>
      </w:r>
      <w:r>
        <w:t xml:space="preserve">only across firms, the within</w:t>
      </w:r>
      <w:r>
        <w:t xml:space="preserve"> </w:t>
      </w:r>
      <w:r>
        <w:t xml:space="preserve">transformation yields</w:t>
      </w:r>
      <w:r>
        <w:t xml:space="preserve"> </w:t>
      </w:r>
      <m:oMath>
        <m:sSub>
          <m:e>
            <m:acc>
              <m:accPr>
                <m:chr m:val="̃"/>
              </m:accPr>
              <m:e>
                <m:r>
                  <m:t>X</m:t>
                </m:r>
              </m:e>
            </m:acc>
          </m:e>
          <m:sub>
            <m:r>
              <m:t>i</m:t>
            </m:r>
            <m:r>
              <m:t>t</m:t>
            </m:r>
          </m:sub>
        </m:sSub>
        <m:r>
          <m:rPr>
            <m:sty m:val="p"/>
          </m:rPr>
          <m:t>=</m:t>
        </m:r>
        <m:r>
          <m:rPr>
            <m:sty m:val="p"/>
          </m:rPr>
          <m:t>(</m:t>
        </m:r>
        <m:sSub>
          <m:e>
            <m:acc>
              <m:accPr>
                <m:chr m:val="̂"/>
              </m:accPr>
              <m:e>
                <m:r>
                  <m:t>θ</m:t>
                </m:r>
              </m:e>
            </m:acc>
          </m:e>
          <m:sub>
            <m:r>
              <m:t>i</m:t>
            </m:r>
          </m:sub>
        </m:sSub>
        <m:r>
          <m:rPr>
            <m:sty m:val="p"/>
          </m:rPr>
          <m:t>−</m:t>
        </m:r>
        <m:acc>
          <m:accPr>
            <m:chr m:val="‾"/>
          </m:accPr>
          <m:e>
            <m:r>
              <m:t>θ</m:t>
            </m:r>
          </m:e>
        </m:acc>
        <m:r>
          <m:rPr>
            <m:sty m:val="p"/>
          </m:rPr>
          <m:t>)</m:t>
        </m:r>
        <m:r>
          <m:rPr>
            <m:sty m:val="p"/>
          </m:rPr>
          <m:t>(</m:t>
        </m:r>
        <m:sSub>
          <m:e>
            <m:r>
              <m:t>P</m:t>
            </m:r>
          </m:e>
          <m:sub>
            <m:r>
              <m:t>t</m:t>
            </m:r>
          </m:sub>
        </m:sSub>
        <m:r>
          <m:rPr>
            <m:sty m:val="p"/>
          </m:rPr>
          <m:t>−</m:t>
        </m:r>
        <m:acc>
          <m:accPr>
            <m:chr m:val="‾"/>
          </m:accPr>
          <m:e>
            <m:r>
              <m:t>P</m:t>
            </m:r>
          </m:e>
        </m:acc>
        <m:r>
          <m:rPr>
            <m:sty m:val="p"/>
          </m:rPr>
          <m:t>)</m:t>
        </m:r>
      </m:oMath>
      <w:r>
        <w:t xml:space="preserve">. Using</w:t>
      </w:r>
      <w:r>
        <w:t xml:space="preserve"> </w:t>
      </w:r>
      <w:r>
        <w:t xml:space="preserve">(2) and</w:t>
      </w:r>
      <w:r>
        <w:t xml:space="preserve"> </w:t>
      </w:r>
      <m:oMath>
        <m:sSub>
          <m:e>
            <m:r>
              <m:t>u</m:t>
            </m:r>
          </m:e>
          <m:sub>
            <m:r>
              <m:t>i</m:t>
            </m:r>
          </m:sub>
        </m:sSub>
        <m:r>
          <m:rPr>
            <m:sty m:val="p"/>
          </m:rPr>
          <m:t>⟂</m:t>
        </m:r>
        <m:sSub>
          <m:e>
            <m:r>
              <m:t>θ</m:t>
            </m:r>
          </m:e>
          <m:sub>
            <m:r>
              <m:t>i</m:t>
            </m:r>
          </m:sub>
        </m:sSub>
      </m:oMath>
      <w:r>
        <w:t xml:space="preserve">,</w:t>
      </w:r>
    </w:p>
    <w:p>
      <w:pPr>
        <w:pStyle w:val="BodyText"/>
      </w:pPr>
      <m:oMathPara>
        <m:oMathParaPr>
          <m:jc m:val="center"/>
        </m:oMathParaPr>
        <m:oMath>
          <m:r>
            <m:rPr>
              <m:sty m:val="p"/>
            </m:rPr>
            <m:t>Cov</m:t>
          </m:r>
          <m:r>
            <m:rPr>
              <m:sty m:val="p"/>
            </m:rPr>
            <m:t>(</m:t>
          </m:r>
          <m:acc>
            <m:accPr>
              <m:chr m:val="̃"/>
            </m:accPr>
            <m:e>
              <m:r>
                <m:t>Y</m:t>
              </m:r>
            </m:e>
          </m:acc>
          <m:r>
            <m:rPr>
              <m:sty m:val="p"/>
            </m:rPr>
            <m:t>,</m:t>
          </m:r>
          <m:acc>
            <m:accPr>
              <m:chr m:val="̃"/>
            </m:accPr>
            <m:e>
              <m:r>
                <m:t>X</m:t>
              </m:r>
            </m:e>
          </m:acc>
          <m:r>
            <m:rPr>
              <m:sty m:val="p"/>
            </m:rPr>
            <m:t>)</m:t>
          </m:r>
          <m:r>
            <m:rPr>
              <m:sty m:val="p"/>
            </m:rPr>
            <m:t>=</m:t>
          </m:r>
          <m:r>
            <m:t>β</m:t>
          </m:r>
          <m:r>
            <m:t> </m:t>
          </m:r>
          <m:sSubSup>
            <m:e>
              <m:r>
                <m:t>σ</m:t>
              </m:r>
            </m:e>
            <m:sub>
              <m:r>
                <m:t>θ</m:t>
              </m:r>
            </m:sub>
            <m:sup>
              <m:r>
                <m:t>2</m:t>
              </m:r>
            </m:sup>
          </m:sSubSup>
          <m:r>
            <m:t> </m:t>
          </m:r>
          <m:r>
            <m:rPr>
              <m:sty m:val="p"/>
            </m:rPr>
            <m:t>Var</m:t>
          </m:r>
          <m:r>
            <m:rPr>
              <m:sty m:val="p"/>
            </m:rPr>
            <m:t>(</m:t>
          </m:r>
          <m:r>
            <m:t>P</m:t>
          </m:r>
          <m:r>
            <m:rPr>
              <m:sty m:val="p"/>
            </m:rPr>
            <m:t>)</m:t>
          </m:r>
          <m:r>
            <m:rPr>
              <m:sty m:val="p"/>
            </m:rPr>
            <m:t>,</m:t>
          </m:r>
          <m:r>
            <m:t>  </m:t>
          </m:r>
          <m:r>
            <m:rPr>
              <m:sty m:val="p"/>
            </m:rPr>
            <m:t>Var</m:t>
          </m:r>
          <m:r>
            <m:rPr>
              <m:sty m:val="p"/>
            </m:rPr>
            <m:t>(</m:t>
          </m:r>
          <m:acc>
            <m:accPr>
              <m:chr m:val="̃"/>
            </m:accPr>
            <m:e>
              <m:r>
                <m:t>X</m:t>
              </m:r>
            </m:e>
          </m:acc>
          <m:r>
            <m:rPr>
              <m:sty m:val="p"/>
            </m:rPr>
            <m:t>)</m:t>
          </m:r>
          <m:r>
            <m:rPr>
              <m:sty m:val="p"/>
            </m:rPr>
            <m:t>=</m:t>
          </m:r>
          <m:r>
            <m:rPr>
              <m:sty m:val="p"/>
            </m:rPr>
            <m:t>(</m:t>
          </m:r>
          <m:sSubSup>
            <m:e>
              <m:r>
                <m:t>σ</m:t>
              </m:r>
            </m:e>
            <m:sub>
              <m:r>
                <m:t>θ</m:t>
              </m:r>
            </m:sub>
            <m:sup>
              <m:r>
                <m:t>2</m:t>
              </m:r>
            </m:sup>
          </m:sSubSup>
          <m:r>
            <m:rPr>
              <m:sty m:val="p"/>
            </m:rPr>
            <m:t>+</m:t>
          </m:r>
          <m:sSubSup>
            <m:e>
              <m:r>
                <m:t>σ</m:t>
              </m:r>
            </m:e>
            <m:sub>
              <m:r>
                <m:t>u</m:t>
              </m:r>
            </m:sub>
            <m:sup>
              <m:r>
                <m:t>2</m:t>
              </m:r>
            </m:sup>
          </m:sSubSup>
          <m:r>
            <m:rPr>
              <m:sty m:val="p"/>
            </m:rPr>
            <m:t>)</m:t>
          </m:r>
          <m:r>
            <m:t> </m:t>
          </m:r>
          <m:r>
            <m:rPr>
              <m:sty m:val="p"/>
            </m:rPr>
            <m:t>Var</m:t>
          </m:r>
          <m:r>
            <m:rPr>
              <m:sty m:val="p"/>
            </m:rPr>
            <m:t>(</m:t>
          </m:r>
          <m:r>
            <m:t>P</m:t>
          </m:r>
          <m:r>
            <m:rPr>
              <m:sty m:val="p"/>
            </m:rPr>
            <m:t>)</m:t>
          </m:r>
          <m:r>
            <m:rPr>
              <m:sty m:val="p"/>
            </m:rPr>
            <m:t>.</m:t>
          </m:r>
        </m:oMath>
      </m:oMathPara>
    </w:p>
    <w:p>
      <w:pPr>
        <w:pStyle w:val="FirstParagraph"/>
      </w:pPr>
      <w:r>
        <w:t xml:space="preserve">The ratio is</w:t>
      </w:r>
      <w:r>
        <w:t xml:space="preserve"> </w:t>
      </w:r>
      <m:oMath>
        <m:r>
          <m:t>λ</m:t>
        </m:r>
        <m:r>
          <m:t>β</m:t>
        </m:r>
      </m:oMath>
      <w:r>
        <w:t xml:space="preserve">.</w:t>
      </w:r>
      <w:r>
        <w:t xml:space="preserve"> </w:t>
      </w:r>
      <m:oMath>
        <m:r>
          <m:rPr>
            <m:sty m:val="p"/>
          </m:rPr>
          <m:t>◼</m:t>
        </m:r>
      </m:oMath>
    </w:p>
    <w:p>
      <w:pPr>
        <w:pStyle w:val="BodyText"/>
      </w:pPr>
      <w:r>
        <w:t xml:space="preserve">Proposition 1 is the classical attenuation result</w:t>
      </w:r>
      <w:r>
        <w:t xml:space="preserve"> </w:t>
      </w:r>
      <w:r>
        <w:t xml:space="preserve">(Pagan, 1984)</w:t>
      </w:r>
      <w:r>
        <w:t xml:space="preserve"> </w:t>
      </w:r>
      <w:r>
        <w:t xml:space="preserve">transposed to an interaction term, and it has an</w:t>
      </w:r>
      <w:r>
        <w:t xml:space="preserve"> </w:t>
      </w:r>
      <w:r>
        <w:t xml:space="preserve">uncomfortable implication: a statistically insignificant</w:t>
      </w:r>
      <w:r>
        <w:t xml:space="preserve"> </w:t>
      </w:r>
      <m:oMath>
        <m:acc>
          <m:accPr>
            <m:chr m:val="̂"/>
          </m:accPr>
          <m:e>
            <m:r>
              <m:t>β</m:t>
            </m:r>
          </m:e>
        </m:acc>
      </m:oMath>
      <w:r>
        <w:t xml:space="preserve"> </w:t>
      </w:r>
      <w:r>
        <w:t xml:space="preserve">is</w:t>
      </w:r>
      <w:r>
        <w:t xml:space="preserve"> </w:t>
      </w:r>
      <w:r>
        <w:t xml:space="preserve">consistent with</w:t>
      </w:r>
      <w:r>
        <w:t xml:space="preserve"> </w:t>
      </w:r>
      <w:r>
        <w:rPr>
          <w:i/>
          <w:iCs/>
        </w:rPr>
        <w:t xml:space="preserve">any</w:t>
      </w:r>
      <w:r>
        <w:t xml:space="preserve"> </w:t>
      </w:r>
      <w:r>
        <w:t xml:space="preserve">value of</w:t>
      </w:r>
      <w:r>
        <w:t xml:space="preserve"> </w:t>
      </w:r>
      <m:oMath>
        <m:r>
          <m:t>β</m:t>
        </m:r>
      </m:oMath>
      <w:r>
        <w:t xml:space="preserve"> </w:t>
      </w:r>
      <w:r>
        <w:t xml:space="preserve">once</w:t>
      </w:r>
      <w:r>
        <w:t xml:space="preserve"> </w:t>
      </w:r>
      <m:oMath>
        <m:r>
          <m:t>λ</m:t>
        </m:r>
      </m:oMath>
      <w:r>
        <w:t xml:space="preserve"> </w:t>
      </w:r>
      <w:r>
        <w:t xml:space="preserve">is small. A null is</w:t>
      </w:r>
      <w:r>
        <w:t xml:space="preserve"> </w:t>
      </w:r>
      <w:r>
        <w:t xml:space="preserve">therefore uninterpretable without an estimate of</w:t>
      </w:r>
      <w:r>
        <w:t xml:space="preserve"> </w:t>
      </w:r>
      <m:oMath>
        <m:r>
          <m:t>λ</m:t>
        </m:r>
      </m:oMath>
      <w:r>
        <w:t xml:space="preserve">.</w:t>
      </w:r>
    </w:p>
    <w:bookmarkEnd w:id="22"/>
    <w:bookmarkStart w:id="23" w:name="identifying-the-reliability-ratio"/>
    <w:p>
      <w:pPr>
        <w:pStyle w:val="Heading3"/>
      </w:pPr>
      <w:r>
        <w:t xml:space="preserve">Identifying the reliability ratio</w:t>
      </w:r>
    </w:p>
    <w:p>
      <w:pPr>
        <w:pStyle w:val="FirstParagraph"/>
      </w:pPr>
      <w:r>
        <w:t xml:space="preserve">The natural objection is that</w:t>
      </w:r>
      <w:r>
        <w:t xml:space="preserve"> </w:t>
      </w:r>
      <m:oMath>
        <m:r>
          <m:t>λ</m:t>
        </m:r>
      </m:oMath>
      <w:r>
        <w:t xml:space="preserve"> </w:t>
      </w:r>
      <w:r>
        <w:t xml:space="preserve">is unobservable because</w:t>
      </w:r>
      <w:r>
        <w:t xml:space="preserve"> </w:t>
      </w:r>
      <m:oMath>
        <m:sSub>
          <m:e>
            <m:r>
              <m:t>θ</m:t>
            </m:r>
          </m:e>
          <m:sub>
            <m:r>
              <m:t>i</m:t>
            </m:r>
          </m:sub>
        </m:sSub>
      </m:oMath>
      <w:r>
        <w:t xml:space="preserve"> </w:t>
      </w:r>
      <w:r>
        <w:t xml:space="preserve">is.</w:t>
      </w:r>
      <w:r>
        <w:t xml:space="preserve"> </w:t>
      </w:r>
      <w:r>
        <w:t xml:space="preserve">It is not, provided two independent proxies can be constructed.</w:t>
      </w:r>
    </w:p>
    <w:p>
      <w:pPr>
        <w:pStyle w:val="BodyText"/>
      </w:pPr>
      <w:r>
        <w:rPr>
          <w:b/>
          <w:bCs/>
        </w:rPr>
        <w:t xml:space="preserve">Proposition 2 (Split-half identification).</w:t>
      </w:r>
      <w:r>
        <w:t xml:space="preserve"> </w:t>
      </w:r>
      <w:r>
        <w:t xml:space="preserve">Let</w:t>
      </w:r>
      <w:r>
        <w:t xml:space="preserve"> </w:t>
      </w:r>
      <m:oMath>
        <m:sSubSup>
          <m:e>
            <m:acc>
              <m:accPr>
                <m:chr m:val="̂"/>
              </m:accPr>
              <m:e>
                <m:r>
                  <m:t>θ</m:t>
                </m:r>
              </m:e>
            </m:acc>
          </m:e>
          <m:sub>
            <m:r>
              <m:t>i</m:t>
            </m:r>
          </m:sub>
          <m:sup>
            <m:r>
              <m:rPr>
                <m:sty m:val="p"/>
              </m:rPr>
              <m:t>(</m:t>
            </m:r>
            <m:r>
              <m:t>1</m:t>
            </m:r>
            <m:r>
              <m:rPr>
                <m:sty m:val="p"/>
              </m:rPr>
              <m:t>)</m:t>
            </m:r>
          </m:sup>
        </m:sSubSup>
        <m:r>
          <m:rPr>
            <m:sty m:val="p"/>
          </m:rPr>
          <m:t>=</m:t>
        </m:r>
        <m:sSub>
          <m:e>
            <m:r>
              <m:t>θ</m:t>
            </m:r>
          </m:e>
          <m:sub>
            <m:r>
              <m:t>i</m:t>
            </m:r>
          </m:sub>
        </m:sSub>
        <m:r>
          <m:rPr>
            <m:sty m:val="p"/>
          </m:rPr>
          <m:t>+</m:t>
        </m:r>
        <m:sSubSup>
          <m:e>
            <m:r>
              <m:t>u</m:t>
            </m:r>
          </m:e>
          <m:sub>
            <m:r>
              <m:t>i</m:t>
            </m:r>
          </m:sub>
          <m:sup>
            <m:r>
              <m:rPr>
                <m:sty m:val="p"/>
              </m:rPr>
              <m:t>(</m:t>
            </m:r>
            <m:r>
              <m:t>1</m:t>
            </m:r>
            <m:r>
              <m:rPr>
                <m:sty m:val="p"/>
              </m:rPr>
              <m:t>)</m:t>
            </m:r>
          </m:sup>
        </m:sSubSup>
      </m:oMath>
      <w:r>
        <w:t xml:space="preserve"> </w:t>
      </w:r>
      <w:r>
        <w:t xml:space="preserve">and</w:t>
      </w:r>
      <w:r>
        <w:t xml:space="preserve"> </w:t>
      </w:r>
      <m:oMath>
        <m:sSubSup>
          <m:e>
            <m:acc>
              <m:accPr>
                <m:chr m:val="̂"/>
              </m:accPr>
              <m:e>
                <m:r>
                  <m:t>θ</m:t>
                </m:r>
              </m:e>
            </m:acc>
          </m:e>
          <m:sub>
            <m:r>
              <m:t>i</m:t>
            </m:r>
          </m:sub>
          <m:sup>
            <m:r>
              <m:rPr>
                <m:sty m:val="p"/>
              </m:rPr>
              <m:t>(</m:t>
            </m:r>
            <m:r>
              <m:t>2</m:t>
            </m:r>
            <m:r>
              <m:rPr>
                <m:sty m:val="p"/>
              </m:rPr>
              <m:t>)</m:t>
            </m:r>
          </m:sup>
        </m:sSubSup>
        <m:r>
          <m:rPr>
            <m:sty m:val="p"/>
          </m:rPr>
          <m:t>=</m:t>
        </m:r>
        <m:sSub>
          <m:e>
            <m:r>
              <m:t>θ</m:t>
            </m:r>
          </m:e>
          <m:sub>
            <m:r>
              <m:t>i</m:t>
            </m:r>
          </m:sub>
        </m:sSub>
        <m:r>
          <m:rPr>
            <m:sty m:val="p"/>
          </m:rPr>
          <m:t>+</m:t>
        </m:r>
        <m:sSubSup>
          <m:e>
            <m:r>
              <m:t>u</m:t>
            </m:r>
          </m:e>
          <m:sub>
            <m:r>
              <m:t>i</m:t>
            </m:r>
          </m:sub>
          <m:sup>
            <m:r>
              <m:rPr>
                <m:sty m:val="p"/>
              </m:rPr>
              <m:t>(</m:t>
            </m:r>
            <m:r>
              <m:t>2</m:t>
            </m:r>
            <m:r>
              <m:rPr>
                <m:sty m:val="p"/>
              </m:rPr>
              <m:t>)</m:t>
            </m:r>
          </m:sup>
        </m:sSubSup>
      </m:oMath>
      <w:r>
        <w:t xml:space="preserve"> </w:t>
      </w:r>
      <w:r>
        <w:t xml:space="preserve">be estimated on disjoint</w:t>
      </w:r>
      <w:r>
        <w:t xml:space="preserve"> </w:t>
      </w:r>
      <w:r>
        <w:t xml:space="preserve">subsamples, with</w:t>
      </w:r>
      <w:r>
        <w:t xml:space="preserve"> </w:t>
      </w:r>
      <m:oMath>
        <m:sSup>
          <m:e>
            <m:r>
              <m:t>u</m:t>
            </m:r>
          </m:e>
          <m:sup>
            <m:r>
              <m:rPr>
                <m:sty m:val="p"/>
              </m:rPr>
              <m:t>(</m:t>
            </m:r>
            <m:r>
              <m:t>1</m:t>
            </m:r>
            <m:r>
              <m:rPr>
                <m:sty m:val="p"/>
              </m:rPr>
              <m:t>)</m:t>
            </m:r>
          </m:sup>
        </m:sSup>
        <m:r>
          <m:rPr>
            <m:sty m:val="p"/>
          </m:rPr>
          <m:t>⟂</m:t>
        </m:r>
        <m:sSup>
          <m:e>
            <m:r>
              <m:t>u</m:t>
            </m:r>
          </m:e>
          <m:sup>
            <m:r>
              <m:rPr>
                <m:sty m:val="p"/>
              </m:rPr>
              <m:t>(</m:t>
            </m:r>
            <m:r>
              <m:t>2</m:t>
            </m:r>
            <m:r>
              <m:rPr>
                <m:sty m:val="p"/>
              </m:rPr>
              <m:t>)</m:t>
            </m:r>
          </m:sup>
        </m:sSup>
      </m:oMath>
      <w:r>
        <w:t xml:space="preserve"> </w:t>
      </w:r>
      <w:r>
        <w:t xml:space="preserve">and</w:t>
      </w:r>
      <w:r>
        <w:t xml:space="preserve"> </w:t>
      </w:r>
      <m:oMath>
        <m:r>
          <m:rPr>
            <m:sty m:val="p"/>
          </m:rPr>
          <m:t>Var</m:t>
        </m:r>
        <m:r>
          <m:rPr>
            <m:sty m:val="p"/>
          </m:rPr>
          <m:t>(</m:t>
        </m:r>
        <m:sSup>
          <m:e>
            <m:r>
              <m:t>u</m:t>
            </m:r>
          </m:e>
          <m:sup>
            <m:r>
              <m:rPr>
                <m:sty m:val="p"/>
              </m:rPr>
              <m:t>(</m:t>
            </m:r>
            <m:r>
              <m:t>1</m:t>
            </m:r>
            <m:r>
              <m:rPr>
                <m:sty m:val="p"/>
              </m:rPr>
              <m:t>)</m:t>
            </m:r>
          </m:sup>
        </m:sSup>
        <m:r>
          <m:rPr>
            <m:sty m:val="p"/>
          </m:rPr>
          <m:t>)</m:t>
        </m:r>
        <m:r>
          <m:rPr>
            <m:sty m:val="p"/>
          </m:rPr>
          <m:t>=</m:t>
        </m:r>
        <m:r>
          <m:rPr>
            <m:sty m:val="p"/>
          </m:rPr>
          <m:t>Var</m:t>
        </m:r>
        <m:r>
          <m:rPr>
            <m:sty m:val="p"/>
          </m:rPr>
          <m:t>(</m:t>
        </m:r>
        <m:sSup>
          <m:e>
            <m:r>
              <m:t>u</m:t>
            </m:r>
          </m:e>
          <m:sup>
            <m:r>
              <m:rPr>
                <m:sty m:val="p"/>
              </m:rPr>
              <m:t>(</m:t>
            </m:r>
            <m:r>
              <m:t>2</m:t>
            </m:r>
            <m:r>
              <m:rPr>
                <m:sty m:val="p"/>
              </m:rPr>
              <m:t>)</m:t>
            </m:r>
          </m:sup>
        </m:sSup>
        <m:r>
          <m:rPr>
            <m:sty m:val="p"/>
          </m:rPr>
          <m:t>)</m:t>
        </m:r>
        <m:r>
          <m:rPr>
            <m:sty m:val="p"/>
          </m:rPr>
          <m:t>=</m:t>
        </m:r>
        <m:sSubSup>
          <m:e>
            <m:r>
              <m:t>σ</m:t>
            </m:r>
          </m:e>
          <m:sub>
            <m:r>
              <m:t>u</m:t>
            </m:r>
          </m:sub>
          <m:sup>
            <m:r>
              <m:t>2</m:t>
            </m:r>
          </m:sup>
        </m:sSubSup>
      </m:oMath>
      <w:r>
        <w:t xml:space="preserve">. Then</w:t>
      </w:r>
    </w:p>
    <w:p>
      <w:pPr>
        <w:pStyle w:val="BodyText"/>
      </w:pPr>
      <m:oMathPara>
        <m:oMathParaPr>
          <m:jc m:val="center"/>
        </m:oMathParaPr>
        <m:oMath>
          <m:r>
            <m:rPr>
              <m:sty m:val="p"/>
            </m:rPr>
            <m:t>Corr</m:t>
          </m:r>
          <m:d>
            <m:dPr>
              <m:begChr m:val="("/>
              <m:sepChr m:val=""/>
              <m:endChr m:val=")"/>
              <m:grow/>
            </m:dPr>
            <m:e>
              <m:sSup>
                <m:e>
                  <m:acc>
                    <m:accPr>
                      <m:chr m:val="̂"/>
                    </m:accPr>
                    <m:e>
                      <m:r>
                        <m:t>θ</m:t>
                      </m:r>
                    </m:e>
                  </m:acc>
                </m:e>
                <m:sup>
                  <m:r>
                    <m:rPr>
                      <m:sty m:val="p"/>
                    </m:rPr>
                    <m:t>(</m:t>
                  </m:r>
                  <m:r>
                    <m:t>1</m:t>
                  </m:r>
                  <m:r>
                    <m:rPr>
                      <m:sty m:val="p"/>
                    </m:rPr>
                    <m:t>)</m:t>
                  </m:r>
                </m:sup>
              </m:sSup>
              <m:r>
                <m:rPr>
                  <m:sty m:val="p"/>
                </m:rPr>
                <m:t>,</m:t>
              </m:r>
              <m:sSup>
                <m:e>
                  <m:acc>
                    <m:accPr>
                      <m:chr m:val="̂"/>
                    </m:accPr>
                    <m:e>
                      <m:r>
                        <m:t>θ</m:t>
                      </m:r>
                    </m:e>
                  </m:acc>
                </m:e>
                <m:sup>
                  <m:r>
                    <m:rPr>
                      <m:sty m:val="p"/>
                    </m:rPr>
                    <m:t>(</m:t>
                  </m:r>
                  <m:r>
                    <m:t>2</m:t>
                  </m:r>
                  <m:r>
                    <m:rPr>
                      <m:sty m:val="p"/>
                    </m:rPr>
                    <m:t>)</m:t>
                  </m:r>
                </m:sup>
              </m:sSup>
            </m:e>
          </m:d>
          <m:r>
            <m:t> </m:t>
          </m:r>
          <m:r>
            <m:rPr>
              <m:sty m:val="p"/>
            </m:rPr>
            <m:t>=</m:t>
          </m:r>
          <m:r>
            <m:t> </m:t>
          </m:r>
          <m:f>
            <m:fPr>
              <m:type m:val="bar"/>
            </m:fPr>
            <m:num>
              <m:sSubSup>
                <m:e>
                  <m:r>
                    <m:t>σ</m:t>
                  </m:r>
                </m:e>
                <m:sub>
                  <m:r>
                    <m:t>θ</m:t>
                  </m:r>
                </m:sub>
                <m:sup>
                  <m:r>
                    <m:t>2</m:t>
                  </m:r>
                </m:sup>
              </m:sSubSup>
            </m:num>
            <m:den>
              <m:sSubSup>
                <m:e>
                  <m:r>
                    <m:t>σ</m:t>
                  </m:r>
                </m:e>
                <m:sub>
                  <m:r>
                    <m:t>θ</m:t>
                  </m:r>
                </m:sub>
                <m:sup>
                  <m:r>
                    <m:t>2</m:t>
                  </m:r>
                </m:sup>
              </m:sSubSup>
              <m:r>
                <m:rPr>
                  <m:sty m:val="p"/>
                </m:rPr>
                <m:t>+</m:t>
              </m:r>
              <m:sSubSup>
                <m:e>
                  <m:r>
                    <m:t>σ</m:t>
                  </m:r>
                </m:e>
                <m:sub>
                  <m:r>
                    <m:t>u</m:t>
                  </m:r>
                </m:sub>
                <m:sup>
                  <m:r>
                    <m:t>2</m:t>
                  </m:r>
                </m:sup>
              </m:sSubSup>
            </m:den>
          </m:f>
          <m:r>
            <m:t> </m:t>
          </m:r>
          <m:r>
            <m:rPr>
              <m:sty m:val="p"/>
            </m:rPr>
            <m:t>=</m:t>
          </m:r>
          <m:r>
            <m:t> </m:t>
          </m:r>
          <m:r>
            <m:t>λ</m:t>
          </m:r>
          <m:r>
            <m:rPr>
              <m:sty m:val="p"/>
            </m:rPr>
            <m:t>.</m:t>
          </m:r>
        </m:oMath>
      </m:oMathPara>
    </w:p>
    <w:p>
      <w:pPr>
        <w:pStyle w:val="FirstParagraph"/>
      </w:pPr>
      <w:r>
        <w:rPr>
          <w:i/>
          <w:iCs/>
        </w:rPr>
        <w:t xml:space="preserve">Proof.</w:t>
      </w:r>
      <w:r>
        <w:t xml:space="preserve"> </w:t>
      </w:r>
      <m:oMath>
        <m:r>
          <m:rPr>
            <m:sty m:val="p"/>
          </m:rPr>
          <m:t>Cov</m:t>
        </m:r>
        <m:r>
          <m:rPr>
            <m:sty m:val="p"/>
          </m:rPr>
          <m:t>(</m:t>
        </m:r>
        <m:sSup>
          <m:e>
            <m:acc>
              <m:accPr>
                <m:chr m:val="̂"/>
              </m:accPr>
              <m:e>
                <m:r>
                  <m:t>θ</m:t>
                </m:r>
              </m:e>
            </m:acc>
          </m:e>
          <m:sup>
            <m:r>
              <m:rPr>
                <m:sty m:val="p"/>
              </m:rPr>
              <m:t>(</m:t>
            </m:r>
            <m:r>
              <m:t>1</m:t>
            </m:r>
            <m:r>
              <m:rPr>
                <m:sty m:val="p"/>
              </m:rPr>
              <m:t>)</m:t>
            </m:r>
          </m:sup>
        </m:sSup>
        <m:r>
          <m:rPr>
            <m:sty m:val="p"/>
          </m:rPr>
          <m:t>,</m:t>
        </m:r>
        <m:sSup>
          <m:e>
            <m:acc>
              <m:accPr>
                <m:chr m:val="̂"/>
              </m:accPr>
              <m:e>
                <m:r>
                  <m:t>θ</m:t>
                </m:r>
              </m:e>
            </m:acc>
          </m:e>
          <m:sup>
            <m:r>
              <m:rPr>
                <m:sty m:val="p"/>
              </m:rPr>
              <m:t>(</m:t>
            </m:r>
            <m:r>
              <m:t>2</m:t>
            </m:r>
            <m:r>
              <m:rPr>
                <m:sty m:val="p"/>
              </m:rPr>
              <m:t>)</m:t>
            </m:r>
          </m:sup>
        </m:sSup>
        <m:r>
          <m:rPr>
            <m:sty m:val="p"/>
          </m:rPr>
          <m:t>)</m:t>
        </m:r>
        <m:r>
          <m:rPr>
            <m:sty m:val="p"/>
          </m:rPr>
          <m:t>=</m:t>
        </m:r>
        <m:r>
          <m:rPr>
            <m:sty m:val="p"/>
          </m:rPr>
          <m:t>Var</m:t>
        </m:r>
        <m:r>
          <m:rPr>
            <m:sty m:val="p"/>
          </m:rPr>
          <m:t>(</m:t>
        </m:r>
        <m:r>
          <m:t>θ</m:t>
        </m:r>
        <m:r>
          <m:rPr>
            <m:sty m:val="p"/>
          </m:rPr>
          <m:t>)</m:t>
        </m:r>
        <m:r>
          <m:rPr>
            <m:sty m:val="p"/>
          </m:rPr>
          <m:t>=</m:t>
        </m:r>
        <m:sSubSup>
          <m:e>
            <m:r>
              <m:t>σ</m:t>
            </m:r>
          </m:e>
          <m:sub>
            <m:r>
              <m:t>θ</m:t>
            </m:r>
          </m:sub>
          <m:sup>
            <m:r>
              <m:t>2</m:t>
            </m:r>
          </m:sup>
        </m:sSubSup>
      </m:oMath>
      <w:r>
        <w:t xml:space="preserve"> </w:t>
      </w:r>
      <w:r>
        <w:t xml:space="preserve">since the errors are mutually independent and</w:t>
      </w:r>
      <w:r>
        <w:t xml:space="preserve"> </w:t>
      </w:r>
      <w:r>
        <w:t xml:space="preserve">independent of</w:t>
      </w:r>
      <w:r>
        <w:t xml:space="preserve"> </w:t>
      </w:r>
      <m:oMath>
        <m:r>
          <m:t>θ</m:t>
        </m:r>
      </m:oMath>
      <w:r>
        <w:t xml:space="preserve">. Each variance is</w:t>
      </w:r>
      <w:r>
        <w:t xml:space="preserve"> </w:t>
      </w:r>
      <m:oMath>
        <m:sSubSup>
          <m:e>
            <m:r>
              <m:t>σ</m:t>
            </m:r>
          </m:e>
          <m:sub>
            <m:r>
              <m:t>θ</m:t>
            </m:r>
          </m:sub>
          <m:sup>
            <m:r>
              <m:t>2</m:t>
            </m:r>
          </m:sup>
        </m:sSubSup>
        <m:r>
          <m:rPr>
            <m:sty m:val="p"/>
          </m:rPr>
          <m:t>+</m:t>
        </m:r>
        <m:sSubSup>
          <m:e>
            <m:r>
              <m:t>σ</m:t>
            </m:r>
          </m:e>
          <m:sub>
            <m:r>
              <m:t>u</m:t>
            </m:r>
          </m:sub>
          <m:sup>
            <m:r>
              <m:t>2</m:t>
            </m:r>
          </m:sup>
        </m:sSubSup>
      </m:oMath>
      <w:r>
        <w:t xml:space="preserve">.</w:t>
      </w:r>
      <w:r>
        <w:t xml:space="preserve"> </w:t>
      </w:r>
      <m:oMath>
        <m:r>
          <m:rPr>
            <m:sty m:val="p"/>
          </m:rPr>
          <m:t>◼</m:t>
        </m:r>
      </m:oMath>
    </w:p>
    <w:p>
      <w:pPr>
        <w:pStyle w:val="BodyText"/>
      </w:pPr>
      <w:r>
        <w:rPr>
          <w:b/>
          <w:bCs/>
        </w:rPr>
        <w:t xml:space="preserve">Corollary 3.</w:t>
      </w:r>
      <w:r>
        <w:t xml:space="preserve"> </w:t>
      </w:r>
      <w:r>
        <w:t xml:space="preserve">If the split-half correlation is not bounded away from zero, then</w:t>
      </w:r>
      <w:r>
        <w:t xml:space="preserve"> </w:t>
      </w:r>
      <m:oMath>
        <m:r>
          <m:rPr>
            <m:sty m:val="p"/>
          </m:rPr>
          <m:t>plim</m:t>
        </m:r>
        <m:acc>
          <m:accPr>
            <m:chr m:val="̂"/>
          </m:accPr>
          <m:e>
            <m:r>
              <m:t>β</m:t>
            </m:r>
          </m:e>
        </m:acc>
        <m:r>
          <m:rPr>
            <m:sty m:val="p"/>
          </m:rPr>
          <m:t>=</m:t>
        </m:r>
        <m:r>
          <m:t>0</m:t>
        </m:r>
      </m:oMath>
      <w:r>
        <w:t xml:space="preserve"> </w:t>
      </w:r>
      <w:r>
        <w:t xml:space="preserve">irrespective of</w:t>
      </w:r>
      <w:r>
        <w:t xml:space="preserve"> </w:t>
      </w:r>
      <m:oMath>
        <m:r>
          <m:t>β</m:t>
        </m:r>
      </m:oMath>
      <w:r>
        <w:t xml:space="preserve">, and the estimated treatment</w:t>
      </w:r>
      <w:r>
        <w:t xml:space="preserve"> </w:t>
      </w:r>
      <w:r>
        <w:t xml:space="preserve">effect carries no information about the structural parameter.</w:t>
      </w:r>
    </w:p>
    <w:p>
      <w:pPr>
        <w:pStyle w:val="BodyText"/>
      </w:pPr>
      <w:r>
        <w:t xml:space="preserve">This is, to our knowledge, an underused device. The split-half correlation is</w:t>
      </w:r>
      <w:r>
        <w:t xml:space="preserve"> </w:t>
      </w:r>
      <w:r>
        <w:t xml:space="preserve">trivial to compute whenever exposure is estimated from a time series, and by</w:t>
      </w:r>
      <w:r>
        <w:t xml:space="preserve"> </w:t>
      </w:r>
      <w:r>
        <w:t xml:space="preserve">Proposition 2 it</w:t>
      </w:r>
      <w:r>
        <w:t xml:space="preserve"> </w:t>
      </w:r>
      <w:r>
        <w:rPr>
          <w:i/>
          <w:iCs/>
        </w:rPr>
        <w:t xml:space="preserve">is</w:t>
      </w:r>
      <w:r>
        <w:t xml:space="preserve"> </w:t>
      </w:r>
      <w:r>
        <w:t xml:space="preserve">the attenuation factor rather than</w:t>
      </w:r>
      <w:r>
        <w:t xml:space="preserve"> </w:t>
      </w:r>
      <w:r>
        <w:t xml:space="preserve">merely a diagnostic correlated with it. Section 4.2 reports</w:t>
      </w:r>
      <w:r>
        <w:t xml:space="preserve"> </w:t>
      </w:r>
      <w:r>
        <w:t xml:space="preserve">values of</w:t>
      </w:r>
      <w:r>
        <w:t xml:space="preserve"> </w:t>
      </w:r>
      <m:oMath>
        <m:r>
          <m:rPr>
            <m:sty m:val="p"/>
          </m:rPr>
          <m:t>+</m:t>
        </m:r>
        <m:r>
          <m:t>0.045</m:t>
        </m:r>
      </m:oMath>
      <w:r>
        <w:t xml:space="preserve"> </w:t>
      </w:r>
      <w:r>
        <w:t xml:space="preserve">and</w:t>
      </w:r>
      <w:r>
        <w:t xml:space="preserve"> </w:t>
      </w:r>
      <m:oMath>
        <m:r>
          <m:rPr>
            <m:sty m:val="p"/>
          </m:rPr>
          <m:t>+</m:t>
        </m:r>
        <m:r>
          <m:t>0.054</m:t>
        </m:r>
      </m:oMath>
      <w:r>
        <w:t xml:space="preserve">, with 95% confidence intervals of</w:t>
      </w:r>
      <w:r>
        <w:t xml:space="preserve"> </w:t>
      </w:r>
      <m:oMath>
        <m:r>
          <m:rPr>
            <m:sty m:val="p"/>
          </m:rPr>
          <m:t>[</m:t>
        </m:r>
        <m:r>
          <m:rPr>
            <m:sty m:val="p"/>
          </m:rPr>
          <m:t>−</m:t>
        </m:r>
        <m:r>
          <m:t>0.074</m:t>
        </m:r>
        <m:r>
          <m:rPr>
            <m:sty m:val="p"/>
          </m:rPr>
          <m:t>,</m:t>
        </m:r>
        <m:r>
          <m:t> </m:t>
        </m:r>
        <m:r>
          <m:t>0.164</m:t>
        </m:r>
        <m:r>
          <m:rPr>
            <m:sty m:val="p"/>
          </m:rPr>
          <m:t>]</m:t>
        </m:r>
      </m:oMath>
      <w:r>
        <w:t xml:space="preserve"> </w:t>
      </w:r>
      <w:r>
        <w:t xml:space="preserve">in Türkiye and</w:t>
      </w:r>
      <w:r>
        <w:t xml:space="preserve"> </w:t>
      </w:r>
      <m:oMath>
        <m:r>
          <m:rPr>
            <m:sty m:val="p"/>
          </m:rPr>
          <m:t>[</m:t>
        </m:r>
        <m:r>
          <m:rPr>
            <m:sty m:val="p"/>
          </m:rPr>
          <m:t>−</m:t>
        </m:r>
        <m:r>
          <m:t>0.033</m:t>
        </m:r>
        <m:r>
          <m:rPr>
            <m:sty m:val="p"/>
          </m:rPr>
          <m:t>,</m:t>
        </m:r>
        <m:r>
          <m:t> </m:t>
        </m:r>
        <m:r>
          <m:t>0.142</m:t>
        </m:r>
        <m:r>
          <m:rPr>
            <m:sty m:val="p"/>
          </m:rPr>
          <m:t>]</m:t>
        </m:r>
      </m:oMath>
      <w:r>
        <w:t xml:space="preserve"> </w:t>
      </w:r>
      <w:r>
        <w:t xml:space="preserve">in Vietnam (Fisher</w:t>
      </w:r>
      <w:r>
        <w:t xml:space="preserve"> </w:t>
      </w:r>
      <m:oMath>
        <m:r>
          <m:t>z</m:t>
        </m:r>
      </m:oMath>
      <w:r>
        <w:t xml:space="preserve">-transform, computed from 200 independent random half/half partitions of</w:t>
      </w:r>
      <w:r>
        <w:t xml:space="preserve"> </w:t>
      </w:r>
      <w:r>
        <w:t xml:space="preserve">each firm’s usable years and the median number of firms entering a partition).</w:t>
      </w:r>
    </w:p>
    <w:p>
      <w:pPr>
        <w:pStyle w:val="BodyText"/>
      </w:pPr>
      <w:r>
        <w:rPr>
          <w:b/>
          <w:bCs/>
        </w:rPr>
        <w:t xml:space="preserve">Remark 1 (Corollary 3 as a test).</w:t>
      </w:r>
      <w:r>
        <w:t xml:space="preserve"> </w:t>
      </w:r>
      <w:r>
        <w:t xml:space="preserve">Corollary 3’s condition is testable rather than merely</w:t>
      </w:r>
      <w:r>
        <w:t xml:space="preserve"> </w:t>
      </w:r>
      <w:r>
        <w:t xml:space="preserve">descriptive. Both confidence intervals contain zero, so the null</w:t>
      </w:r>
      <w:r>
        <w:t xml:space="preserve"> </w:t>
      </w:r>
      <m:oMath>
        <m:sSub>
          <m:e>
            <m:r>
              <m:t>H</m:t>
            </m:r>
          </m:e>
          <m:sub>
            <m:r>
              <m:t>0</m:t>
            </m:r>
          </m:sub>
        </m:sSub>
        <m:r>
          <m:rPr>
            <m:sty m:val="p"/>
          </m:rPr>
          <m:t>:</m:t>
        </m:r>
        <m:r>
          <m:t>λ</m:t>
        </m:r>
        <m:r>
          <m:rPr>
            <m:sty m:val="p"/>
          </m:rPr>
          <m:t>=</m:t>
        </m:r>
        <m:r>
          <m:t>0</m:t>
        </m:r>
      </m:oMath>
      <w:r>
        <w:t xml:space="preserve"> </w:t>
      </w:r>
      <w:r>
        <w:t xml:space="preserve">cannot be rejected in either country; more decisively, both</w:t>
      </w:r>
      <w:r>
        <w:t xml:space="preserve"> </w:t>
      </w:r>
      <w:r>
        <w:t xml:space="preserve">intervals’ upper bounds sit far below any conventional reliability threshold</w:t>
      </w:r>
      <w:r>
        <w:t xml:space="preserve"> </w:t>
      </w:r>
      <w:r>
        <w:t xml:space="preserve">(commonly</w:t>
      </w:r>
      <w:r>
        <w:t xml:space="preserve"> </w:t>
      </w:r>
      <m:oMath>
        <m:r>
          <m:t>0.70</m:t>
        </m:r>
      </m:oMath>
      <w:r>
        <w:t xml:space="preserve">–</w:t>
      </w:r>
      <m:oMath>
        <m:r>
          <m:t>0.80</m:t>
        </m:r>
      </m:oMath>
      <w:r>
        <w:t xml:space="preserve"> </w:t>
      </w:r>
      <w:r>
        <w:t xml:space="preserve">in psychometric practice), so</w:t>
      </w:r>
      <w:r>
        <w:t xml:space="preserve"> </w:t>
      </w:r>
      <m:oMath>
        <m:sSub>
          <m:e>
            <m:r>
              <m:t>H</m:t>
            </m:r>
          </m:e>
          <m:sub>
            <m:r>
              <m:t>0</m:t>
            </m:r>
          </m:sub>
        </m:sSub>
        <m:r>
          <m:rPr>
            <m:sty m:val="p"/>
          </m:rPr>
          <m:t>:</m:t>
        </m:r>
        <m:r>
          <m:t>λ</m:t>
        </m:r>
        <m:r>
          <m:rPr>
            <m:sty m:val="p"/>
          </m:rPr>
          <m:t>≥</m:t>
        </m:r>
        <m:r>
          <m:t>0.5</m:t>
        </m:r>
      </m:oMath>
      <w:r>
        <w:t xml:space="preserve"> </w:t>
      </w:r>
      <w:r>
        <w:t xml:space="preserve">is</w:t>
      </w:r>
      <w:r>
        <w:t xml:space="preserve"> </w:t>
      </w:r>
      <w:r>
        <w:t xml:space="preserve">rejected at the 5% level in both countries. The design does not merely fail</w:t>
      </w:r>
      <w:r>
        <w:t xml:space="preserve"> </w:t>
      </w:r>
      <w:r>
        <w:t xml:space="preserve">to demonstrate reliability—it affirmatively rejects it at any level that</w:t>
      </w:r>
      <w:r>
        <w:t xml:space="preserve"> </w:t>
      </w:r>
      <w:r>
        <w:t xml:space="preserve">would license treating</w:t>
      </w:r>
      <w:r>
        <w:t xml:space="preserve"> </w:t>
      </w:r>
      <m:oMath>
        <m:acc>
          <m:accPr>
            <m:chr m:val="̂"/>
          </m:accPr>
          <m:e>
            <m:r>
              <m:t>θ</m:t>
            </m:r>
          </m:e>
        </m:acc>
      </m:oMath>
      <w:r>
        <w:t xml:space="preserve"> </w:t>
      </w:r>
      <w:r>
        <w:t xml:space="preserve">as informative.</w:t>
      </w:r>
    </w:p>
    <w:bookmarkEnd w:id="23"/>
    <w:bookmarkStart w:id="24" w:name="feasibility-how-long-a-panel-is-required"/>
    <w:p>
      <w:pPr>
        <w:pStyle w:val="Heading3"/>
      </w:pPr>
      <w:r>
        <w:t xml:space="preserve">Feasibility: how long a panel is required?</w:t>
      </w:r>
    </w:p>
    <w:p>
      <w:pPr>
        <w:pStyle w:val="FirstParagraph"/>
      </w:pPr>
      <w:r>
        <w:t xml:space="preserve">Corollary 3 raises the question of whether a longer panel</w:t>
      </w:r>
      <w:r>
        <w:t xml:space="preserve"> </w:t>
      </w:r>
      <w:r>
        <w:t xml:space="preserve">would rescue the design. It can be answered analytically.</w:t>
      </w:r>
    </w:p>
    <w:p>
      <w:pPr>
        <w:pStyle w:val="BodyText"/>
      </w:pPr>
      <w:r>
        <w:t xml:space="preserve">Suppose exposure is estimated firm by firm from the first-differenced</w:t>
      </w:r>
      <w:r>
        <w:t xml:space="preserve"> </w:t>
      </w:r>
      <w:r>
        <w:t xml:space="preserve">regression</w:t>
      </w:r>
    </w:p>
    <w:p>
      <w:pPr>
        <w:pStyle w:val="BodyText"/>
      </w:pPr>
      <m:oMathPara>
        <m:oMathParaPr>
          <m:jc m:val="center"/>
        </m:oMathParaPr>
        <m:oMath>
          <m:r>
            <m:rPr>
              <m:sty m:val="p"/>
            </m:rPr>
            <m:t>Δ</m:t>
          </m:r>
          <m:sSub>
            <m:e>
              <m:r>
                <m:t>r</m:t>
              </m:r>
            </m:e>
            <m:sub>
              <m:r>
                <m:t>i</m:t>
              </m:r>
              <m:r>
                <m:t>t</m:t>
              </m:r>
            </m:sub>
          </m:sSub>
          <m:r>
            <m:t> </m:t>
          </m:r>
          <m:r>
            <m:rPr>
              <m:sty m:val="p"/>
            </m:rPr>
            <m:t>=</m:t>
          </m:r>
          <m:r>
            <m:t> </m:t>
          </m:r>
          <m:sSub>
            <m:e>
              <m:r>
                <m:t>a</m:t>
              </m:r>
            </m:e>
            <m:sub>
              <m:r>
                <m:t>i</m:t>
              </m:r>
            </m:sub>
          </m:sSub>
          <m:r>
            <m:t> </m:t>
          </m:r>
          <m:r>
            <m:rPr>
              <m:sty m:val="p"/>
            </m:rPr>
            <m:t>+</m:t>
          </m:r>
          <m:r>
            <m:t> </m:t>
          </m:r>
          <m:sSub>
            <m:e>
              <m:r>
                <m:t>θ</m:t>
              </m:r>
            </m:e>
            <m:sub>
              <m:r>
                <m:t>i</m:t>
              </m:r>
            </m:sub>
          </m:sSub>
          <m:r>
            <m:t> </m:t>
          </m:r>
          <m:r>
            <m:rPr>
              <m:sty m:val="p"/>
            </m:rPr>
            <m:t>Δ</m:t>
          </m:r>
          <m:sSub>
            <m:e>
              <m:r>
                <m:t>π</m:t>
              </m:r>
            </m:e>
            <m:sub>
              <m:r>
                <m:t>t</m:t>
              </m:r>
            </m:sub>
          </m:sSub>
          <m:r>
            <m:t> </m:t>
          </m:r>
          <m:r>
            <m:rPr>
              <m:sty m:val="p"/>
            </m:rPr>
            <m:t>+</m:t>
          </m:r>
          <m:r>
            <m:t> </m:t>
          </m:r>
          <m:sSub>
            <m:e>
              <m:r>
                <m:t>γ</m:t>
              </m:r>
            </m:e>
            <m:sub>
              <m:r>
                <m:t>i</m:t>
              </m:r>
            </m:sub>
          </m:sSub>
          <m:r>
            <m:t> </m:t>
          </m:r>
          <m:r>
            <m:rPr>
              <m:sty m:val="p"/>
            </m:rPr>
            <m:t>Δ</m:t>
          </m:r>
          <m:sSub>
            <m:e>
              <m:r>
                <m:t>f</m:t>
              </m:r>
            </m:e>
            <m:sub>
              <m:r>
                <m:t>t</m:t>
              </m:r>
            </m:sub>
          </m:sSub>
          <m:r>
            <m:t> </m:t>
          </m:r>
          <m:r>
            <m:rPr>
              <m:sty m:val="p"/>
            </m:rPr>
            <m:t>+</m:t>
          </m:r>
          <m:r>
            <m:t> </m:t>
          </m:r>
          <m:sSub>
            <m:e>
              <m:r>
                <m:t>η</m:t>
              </m:r>
            </m:e>
            <m:sub>
              <m:r>
                <m:t>i</m:t>
              </m:r>
              <m:r>
                <m:t>t</m:t>
              </m:r>
            </m:sub>
          </m:sSub>
          <m:r>
            <m:rPr>
              <m:sty m:val="p"/>
            </m:rPr>
            <m:t>,</m:t>
          </m:r>
          <m:r>
            <m:t>  </m:t>
          </m:r>
          <m:r>
            <m:rPr>
              <m:sty m:val="p"/>
            </m:rPr>
            <m:t>Var</m:t>
          </m:r>
          <m:r>
            <m:rPr>
              <m:sty m:val="p"/>
            </m:rPr>
            <m:t>(</m:t>
          </m:r>
          <m:sSub>
            <m:e>
              <m:r>
                <m:t>η</m:t>
              </m:r>
            </m:e>
            <m:sub>
              <m:r>
                <m:t>i</m:t>
              </m:r>
              <m:r>
                <m:t>t</m:t>
              </m:r>
            </m:sub>
          </m:sSub>
          <m:r>
            <m:rPr>
              <m:sty m:val="p"/>
            </m:rPr>
            <m:t>)</m:t>
          </m:r>
          <m:r>
            <m:rPr>
              <m:sty m:val="p"/>
            </m:rPr>
            <m:t>=</m:t>
          </m:r>
          <m:sSubSup>
            <m:e>
              <m:r>
                <m:t>σ</m:t>
              </m:r>
            </m:e>
            <m:sub>
              <m:r>
                <m:t>η</m:t>
              </m:r>
            </m:sub>
            <m:sup>
              <m:r>
                <m:t>2</m:t>
              </m:r>
            </m:sup>
          </m:sSubSup>
          <m:r>
            <m:rPr>
              <m:sty m:val="p"/>
            </m:rPr>
            <m:t>,</m:t>
          </m:r>
        </m:oMath>
      </m:oMathPara>
    </w:p>
    <w:p>
      <w:pPr>
        <w:pStyle w:val="FirstParagraph"/>
      </w:pPr>
      <w:r>
        <w:t xml:space="preserve">where</w:t>
      </w:r>
      <w:r>
        <w:t xml:space="preserve"> </w:t>
      </w:r>
      <m:oMath>
        <m:sSub>
          <m:e>
            <m:r>
              <m:t>r</m:t>
            </m:r>
          </m:e>
          <m:sub>
            <m:r>
              <m:t>i</m:t>
            </m:r>
            <m:r>
              <m:t>t</m:t>
            </m:r>
          </m:sub>
        </m:sSub>
      </m:oMath>
      <w:r>
        <w:t xml:space="preserve"> </w:t>
      </w:r>
      <w:r>
        <w:t xml:space="preserve">is the firm’s realised borrowing cost. With</w:t>
      </w:r>
      <w:r>
        <w:t xml:space="preserve"> </w:t>
      </w:r>
      <m:oMath>
        <m:r>
          <m:t>T</m:t>
        </m:r>
      </m:oMath>
      <w:r>
        <w:t xml:space="preserve"> </w:t>
      </w:r>
      <w:r>
        <w:t xml:space="preserve">usable</w:t>
      </w:r>
      <w:r>
        <w:t xml:space="preserve"> </w:t>
      </w:r>
      <w:r>
        <w:t xml:space="preserve">observations per firm, sample variance</w:t>
      </w:r>
      <w:r>
        <w:t xml:space="preserve"> </w:t>
      </w:r>
      <m:oMath>
        <m:sSubSup>
          <m:e>
            <m:r>
              <m:t>s</m:t>
            </m:r>
          </m:e>
          <m:sub>
            <m:r>
              <m:t>π</m:t>
            </m:r>
          </m:sub>
          <m:sup>
            <m:r>
              <m:t>2</m:t>
            </m:r>
          </m:sup>
        </m:sSubSup>
      </m:oMath>
      <w:r>
        <w:t xml:space="preserve"> </w:t>
      </w:r>
      <w:r>
        <w:t xml:space="preserve">of</w:t>
      </w:r>
      <w:r>
        <w:t xml:space="preserve"> </w:t>
      </w:r>
      <m:oMath>
        <m:r>
          <m:rPr>
            <m:sty m:val="p"/>
          </m:rPr>
          <m:t>Δ</m:t>
        </m:r>
        <m:sSub>
          <m:e>
            <m:r>
              <m:t>π</m:t>
            </m:r>
          </m:e>
          <m:sub>
            <m:r>
              <m:t>t</m:t>
            </m:r>
          </m:sub>
        </m:sSub>
      </m:oMath>
      <w:r>
        <w:t xml:space="preserve">, and</w:t>
      </w:r>
      <w:r>
        <w:t xml:space="preserve"> </w:t>
      </w:r>
      <w:r>
        <w:t xml:space="preserve">correlation</w:t>
      </w:r>
      <w:r>
        <w:t xml:space="preserve"> </w:t>
      </w:r>
      <m:oMath>
        <m:r>
          <m:t>ρ</m:t>
        </m:r>
      </m:oMath>
      <w:r>
        <w:t xml:space="preserve"> </w:t>
      </w:r>
      <w:r>
        <w:t xml:space="preserve">between</w:t>
      </w:r>
      <w:r>
        <w:t xml:space="preserve"> </w:t>
      </w:r>
      <m:oMath>
        <m:r>
          <m:rPr>
            <m:sty m:val="p"/>
          </m:rPr>
          <m:t>Δ</m:t>
        </m:r>
        <m:sSub>
          <m:e>
            <m:r>
              <m:t>π</m:t>
            </m:r>
          </m:e>
          <m:sub>
            <m:r>
              <m:t>t</m:t>
            </m:r>
          </m:sub>
        </m:sSub>
      </m:oMath>
      <w:r>
        <w:t xml:space="preserve"> </w:t>
      </w:r>
      <w:r>
        <w:t xml:space="preserve">and</w:t>
      </w:r>
      <w:r>
        <w:t xml:space="preserve"> </w:t>
      </w:r>
      <m:oMath>
        <m:r>
          <m:rPr>
            <m:sty m:val="p"/>
          </m:rPr>
          <m:t>Δ</m:t>
        </m:r>
        <m:sSub>
          <m:e>
            <m:r>
              <m:t>f</m:t>
            </m:r>
          </m:e>
          <m:sub>
            <m:r>
              <m:t>t</m:t>
            </m:r>
          </m:sub>
        </m:sSub>
      </m:oMath>
      <w:r>
        <w:t xml:space="preserve">, the sampling variance</w:t>
      </w:r>
      <w:r>
        <w:t xml:space="preserve"> </w:t>
      </w:r>
      <w:r>
        <w:t xml:space="preserve">of the OLS estimate is</w:t>
      </w:r>
    </w:p>
    <w:p>
      <w:pPr>
        <w:pStyle w:val="BodyText"/>
      </w:pPr>
      <m:oMathPara>
        <m:oMathParaPr>
          <m:jc m:val="center"/>
        </m:oMathParaPr>
        <m:oMath>
          <m:r>
            <m:rPr>
              <m:sty m:val="p"/>
            </m:rPr>
            <m:t>Var</m:t>
          </m:r>
          <m:r>
            <m:rPr>
              <m:sty m:val="p"/>
            </m:rPr>
            <m:t>(</m:t>
          </m:r>
          <m:sSub>
            <m:e>
              <m:acc>
                <m:accPr>
                  <m:chr m:val="̂"/>
                </m:accPr>
                <m:e>
                  <m:r>
                    <m:t>θ</m:t>
                  </m:r>
                </m:e>
              </m:acc>
            </m:e>
            <m:sub>
              <m:r>
                <m:t>i</m:t>
              </m:r>
            </m:sub>
          </m:sSub>
          <m:r>
            <m:rPr>
              <m:sty m:val="p"/>
            </m:rPr>
            <m:t>)</m:t>
          </m:r>
          <m:r>
            <m:t> </m:t>
          </m:r>
          <m:r>
            <m:rPr>
              <m:sty m:val="p"/>
            </m:rPr>
            <m:t>=</m:t>
          </m:r>
          <m:r>
            <m:t> </m:t>
          </m:r>
          <m:f>
            <m:fPr>
              <m:type m:val="bar"/>
            </m:fPr>
            <m:num>
              <m:sSubSup>
                <m:e>
                  <m:r>
                    <m:t>σ</m:t>
                  </m:r>
                </m:e>
                <m:sub>
                  <m:r>
                    <m:t>η</m:t>
                  </m:r>
                </m:sub>
                <m:sup>
                  <m:r>
                    <m:t>2</m:t>
                  </m:r>
                </m:sup>
              </m:sSubSup>
            </m:num>
            <m:den>
              <m:r>
                <m:t>T</m:t>
              </m:r>
              <m:r>
                <m:t> </m:t>
              </m:r>
              <m:sSubSup>
                <m:e>
                  <m:r>
                    <m:t>s</m:t>
                  </m:r>
                </m:e>
                <m:sub>
                  <m:r>
                    <m:t>π</m:t>
                  </m:r>
                </m:sub>
                <m:sup>
                  <m:r>
                    <m:t>2</m:t>
                  </m:r>
                </m:sup>
              </m:sSubSup>
              <m:r>
                <m:t> </m:t>
              </m:r>
              <m:r>
                <m:rPr>
                  <m:sty m:val="p"/>
                </m:rPr>
                <m:t>(</m:t>
              </m:r>
              <m:r>
                <m:t>1</m:t>
              </m:r>
              <m:r>
                <m:rPr>
                  <m:sty m:val="p"/>
                </m:rPr>
                <m:t>−</m:t>
              </m:r>
              <m:sSup>
                <m:e>
                  <m:r>
                    <m:t>ρ</m:t>
                  </m:r>
                </m:e>
                <m:sup>
                  <m:r>
                    <m:t>2</m:t>
                  </m:r>
                </m:sup>
              </m:sSup>
              <m:r>
                <m:rPr>
                  <m:sty m:val="p"/>
                </m:rPr>
                <m:t>)</m:t>
              </m:r>
            </m:den>
          </m:f>
          <m:r>
            <m:t> </m:t>
          </m:r>
          <m:r>
            <m:rPr>
              <m:sty m:val="p"/>
            </m:rPr>
            <m:t>≡</m:t>
          </m:r>
          <m:r>
            <m:t> </m:t>
          </m:r>
          <m:sSubSup>
            <m:e>
              <m:r>
                <m:t>σ</m:t>
              </m:r>
            </m:e>
            <m:sub>
              <m:r>
                <m:t>u</m:t>
              </m:r>
            </m:sub>
            <m:sup>
              <m:r>
                <m:t>2</m:t>
              </m:r>
            </m:sup>
          </m:sSubSup>
          <m:r>
            <m:rPr>
              <m:sty m:val="p"/>
            </m:rPr>
            <m:t>.</m:t>
          </m:r>
        </m:oMath>
      </m:oMathPara>
    </w:p>
    <w:p>
      <w:pPr>
        <w:pStyle w:val="FirstParagraph"/>
      </w:pPr>
      <w:r>
        <w:rPr>
          <w:b/>
          <w:bCs/>
        </w:rPr>
        <w:t xml:space="preserve">Proposition 4 (Feasibility condition).</w:t>
      </w:r>
      <w:r>
        <w:t xml:space="preserve"> </w:t>
      </w:r>
      <w:r>
        <w:t xml:space="preserve">Attaining reliability</w:t>
      </w:r>
      <w:r>
        <w:t xml:space="preserve"> </w:t>
      </w:r>
      <m:oMath>
        <m:r>
          <m:t>λ</m:t>
        </m:r>
        <m:r>
          <m:rPr>
            <m:sty m:val="p"/>
          </m:rPr>
          <m:t>≥</m:t>
        </m:r>
        <m:sSup>
          <m:e>
            <m:r>
              <m:t>λ</m:t>
            </m:r>
          </m:e>
          <m:sup>
            <m:r>
              <m:rPr>
                <m:sty m:val="p"/>
              </m:rPr>
              <m:t>*</m:t>
            </m:r>
          </m:sup>
        </m:sSup>
      </m:oMath>
      <w:r>
        <w:t xml:space="preserve"> </w:t>
      </w:r>
      <w:r>
        <w:t xml:space="preserve">requires</w:t>
      </w:r>
    </w:p>
    <w:p>
      <w:pPr>
        <w:pStyle w:val="BodyText"/>
      </w:pPr>
      <m:oMathPara>
        <m:oMathParaPr>
          <m:jc m:val="center"/>
        </m:oMathParaPr>
        <m:oMath>
          <m:r>
            <m:t>T</m:t>
          </m:r>
          <m:r>
            <m:t> </m:t>
          </m:r>
          <m:r>
            <m:rPr>
              <m:sty m:val="p"/>
            </m:rPr>
            <m:t>≥</m:t>
          </m:r>
          <m:r>
            <m:t> </m:t>
          </m:r>
          <m:f>
            <m:fPr>
              <m:type m:val="bar"/>
            </m:fPr>
            <m:num>
              <m:sSup>
                <m:e>
                  <m:r>
                    <m:t>λ</m:t>
                  </m:r>
                </m:e>
                <m:sup>
                  <m:r>
                    <m:rPr>
                      <m:sty m:val="p"/>
                    </m:rPr>
                    <m:t>*</m:t>
                  </m:r>
                </m:sup>
              </m:sSup>
            </m:num>
            <m:den>
              <m:r>
                <m:t>1</m:t>
              </m:r>
              <m:r>
                <m:rPr>
                  <m:sty m:val="p"/>
                </m:rPr>
                <m:t>−</m:t>
              </m:r>
              <m:sSup>
                <m:e>
                  <m:r>
                    <m:t>λ</m:t>
                  </m:r>
                </m:e>
                <m:sup>
                  <m:r>
                    <m:rPr>
                      <m:sty m:val="p"/>
                    </m:rPr>
                    <m:t>*</m:t>
                  </m:r>
                </m:sup>
              </m:sSup>
            </m:den>
          </m:f>
          <m:r>
            <m:t> </m:t>
          </m:r>
          <m:r>
            <m:rPr>
              <m:sty m:val="p"/>
            </m:rPr>
            <m:t>⋅</m:t>
          </m:r>
          <m:r>
            <m:t> </m:t>
          </m:r>
          <m:f>
            <m:fPr>
              <m:type m:val="bar"/>
            </m:fPr>
            <m:num>
              <m:sSubSup>
                <m:e>
                  <m:r>
                    <m:t>σ</m:t>
                  </m:r>
                </m:e>
                <m:sub>
                  <m:r>
                    <m:t>η</m:t>
                  </m:r>
                </m:sub>
                <m:sup>
                  <m:r>
                    <m:t>2</m:t>
                  </m:r>
                </m:sup>
              </m:sSubSup>
            </m:num>
            <m:den>
              <m:sSubSup>
                <m:e>
                  <m:r>
                    <m:t>s</m:t>
                  </m:r>
                </m:e>
                <m:sub>
                  <m:r>
                    <m:t>π</m:t>
                  </m:r>
                </m:sub>
                <m:sup>
                  <m:r>
                    <m:t>2</m:t>
                  </m:r>
                </m:sup>
              </m:sSubSup>
              <m:r>
                <m:t> </m:t>
              </m:r>
              <m:r>
                <m:rPr>
                  <m:sty m:val="p"/>
                </m:rPr>
                <m:t>(</m:t>
              </m:r>
              <m:r>
                <m:t>1</m:t>
              </m:r>
              <m:r>
                <m:rPr>
                  <m:sty m:val="p"/>
                </m:rPr>
                <m:t>−</m:t>
              </m:r>
              <m:sSup>
                <m:e>
                  <m:r>
                    <m:t>ρ</m:t>
                  </m:r>
                </m:e>
                <m:sup>
                  <m:r>
                    <m:t>2</m:t>
                  </m:r>
                </m:sup>
              </m:sSup>
              <m:r>
                <m:rPr>
                  <m:sty m:val="p"/>
                </m:rPr>
                <m:t>)</m:t>
              </m:r>
              <m:r>
                <m:t> </m:t>
              </m:r>
              <m:sSubSup>
                <m:e>
                  <m:r>
                    <m:t>σ</m:t>
                  </m:r>
                </m:e>
                <m:sub>
                  <m:r>
                    <m:t>θ</m:t>
                  </m:r>
                </m:sub>
                <m:sup>
                  <m:r>
                    <m:t>2</m:t>
                  </m:r>
                </m:sup>
              </m:sSubSup>
            </m:den>
          </m:f>
          <m:r>
            <m:rPr>
              <m:sty m:val="p"/>
            </m:rPr>
            <m:t>.</m:t>
          </m:r>
        </m:oMath>
      </m:oMathPara>
    </w:p>
    <w:p>
      <w:pPr>
        <w:pStyle w:val="FirstParagraph"/>
      </w:pPr>
      <w:r>
        <w:rPr>
          <w:i/>
          <w:iCs/>
        </w:rPr>
        <w:t xml:space="preserve">Proof.</w:t>
      </w:r>
      <w:r>
        <w:t xml:space="preserve"> </w:t>
      </w:r>
      <w:r>
        <w:t xml:space="preserve">Substitute (7) into (3) and solve the inequality</w:t>
      </w:r>
      <w:r>
        <w:t xml:space="preserve"> </w:t>
      </w:r>
      <m:oMath>
        <m:sSubSup>
          <m:e>
            <m:r>
              <m:t>σ</m:t>
            </m:r>
          </m:e>
          <m:sub>
            <m:r>
              <m:t>θ</m:t>
            </m:r>
          </m:sub>
          <m:sup>
            <m:r>
              <m:t>2</m:t>
            </m:r>
          </m:sup>
        </m:sSubSup>
        <m:r>
          <m:rPr>
            <m:sty m:val="p"/>
          </m:rPr>
          <m:t>/</m:t>
        </m:r>
        <m:r>
          <m:rPr>
            <m:sty m:val="p"/>
          </m:rPr>
          <m:t>(</m:t>
        </m:r>
        <m:sSubSup>
          <m:e>
            <m:r>
              <m:t>σ</m:t>
            </m:r>
          </m:e>
          <m:sub>
            <m:r>
              <m:t>θ</m:t>
            </m:r>
          </m:sub>
          <m:sup>
            <m:r>
              <m:t>2</m:t>
            </m:r>
          </m:sup>
        </m:sSubSup>
        <m:r>
          <m:rPr>
            <m:sty m:val="p"/>
          </m:rPr>
          <m:t>+</m:t>
        </m:r>
        <m:sSubSup>
          <m:e>
            <m:r>
              <m:t>σ</m:t>
            </m:r>
          </m:e>
          <m:sub>
            <m:r>
              <m:t>u</m:t>
            </m:r>
          </m:sub>
          <m:sup>
            <m:r>
              <m:t>2</m:t>
            </m:r>
          </m:sup>
        </m:sSubSup>
        <m:r>
          <m:rPr>
            <m:sty m:val="p"/>
          </m:rPr>
          <m:t>)</m:t>
        </m:r>
        <m:r>
          <m:rPr>
            <m:sty m:val="p"/>
          </m:rPr>
          <m:t>≥</m:t>
        </m:r>
        <m:sSup>
          <m:e>
            <m:r>
              <m:t>λ</m:t>
            </m:r>
          </m:e>
          <m:sup>
            <m:r>
              <m:rPr>
                <m:sty m:val="p"/>
              </m:rPr>
              <m:t>*</m:t>
            </m:r>
          </m:sup>
        </m:sSup>
      </m:oMath>
      <w:r>
        <w:t xml:space="preserve"> </w:t>
      </w:r>
      <w:r>
        <w:t xml:space="preserve">for</w:t>
      </w:r>
      <w:r>
        <w:t xml:space="preserve"> </w:t>
      </w:r>
      <m:oMath>
        <m:r>
          <m:t>T</m:t>
        </m:r>
      </m:oMath>
      <w:r>
        <w:t xml:space="preserve">.</w:t>
      </w:r>
      <w:r>
        <w:t xml:space="preserve"> </w:t>
      </w:r>
      <m:oMath>
        <m:r>
          <m:rPr>
            <m:sty m:val="p"/>
          </m:rPr>
          <m:t>◼</m:t>
        </m:r>
      </m:oMath>
    </w:p>
    <w:p>
      <w:pPr>
        <w:pStyle w:val="BodyText"/>
      </w:pPr>
      <w:r>
        <w:t xml:space="preserve">Every quantity on the right is estimable, so (8) can be taken to</w:t>
      </w:r>
      <w:r>
        <w:t xml:space="preserve"> </w:t>
      </w:r>
      <w:r>
        <w:t xml:space="preserve">data. When we do so in Section 4.2 the condition looks</w:t>
      </w:r>
      <w:r>
        <w:t xml:space="preserve"> </w:t>
      </w:r>
      <w:r>
        <w:t xml:space="preserve">satisfied: sampling noise implies</w:t>
      </w:r>
      <w:r>
        <w:t xml:space="preserve"> </w:t>
      </w:r>
      <m:oMath>
        <m:r>
          <m:t>λ</m:t>
        </m:r>
        <m:r>
          <m:rPr>
            <m:sty m:val="p"/>
          </m:rPr>
          <m:t>≈</m:t>
        </m:r>
        <m:r>
          <m:t>0.923</m:t>
        </m:r>
      </m:oMath>
      <w:r>
        <w:t xml:space="preserve"> </w:t>
      </w:r>
      <w:r>
        <w:t xml:space="preserve">in Vietnam, comfortably</w:t>
      </w:r>
      <w:r>
        <w:t xml:space="preserve"> </w:t>
      </w:r>
      <w:r>
        <w:t xml:space="preserve">above conventional reliability thresholds, and</w:t>
      </w:r>
      <w:r>
        <w:t xml:space="preserve"> </w:t>
      </w:r>
      <m:oMath>
        <m:r>
          <m:t>0.664</m:t>
        </m:r>
      </m:oMath>
      <w:r>
        <w:t xml:space="preserve"> </w:t>
      </w:r>
      <w:r>
        <w:t xml:space="preserve">in Türkiye, at or</w:t>
      </w:r>
      <w:r>
        <w:t xml:space="preserve"> </w:t>
      </w:r>
      <w:r>
        <w:t xml:space="preserve">above the more permissive end of them—so a conventional power calculation</w:t>
      </w:r>
      <w:r>
        <w:t xml:space="preserve"> </w:t>
      </w:r>
      <w:r>
        <w:t xml:space="preserve">would have judged the design feasible, or close to it, at the available panel</w:t>
      </w:r>
      <w:r>
        <w:t xml:space="preserve"> </w:t>
      </w:r>
      <w:r>
        <w:t xml:space="preserve">length.</w:t>
      </w:r>
    </w:p>
    <w:p>
      <w:pPr>
        <w:pStyle w:val="BodyText"/>
      </w:pPr>
      <w:r>
        <w:t xml:space="preserve">That verdict is contradicted by the split-half correlations, which are close to</w:t>
      </w:r>
      <w:r>
        <w:t xml:space="preserve"> </w:t>
      </w:r>
      <w:r>
        <w:t xml:space="preserve">zero (Section 4.2 reports</w:t>
      </w:r>
      <w:r>
        <w:t xml:space="preserve"> </w:t>
      </w:r>
      <m:oMath>
        <m:r>
          <m:rPr>
            <m:sty m:val="p"/>
          </m:rPr>
          <m:t>+</m:t>
        </m:r>
        <m:r>
          <m:t>0.054</m:t>
        </m:r>
      </m:oMath>
      <w:r>
        <w:t xml:space="preserve"> </w:t>
      </w:r>
      <w:r>
        <w:t xml:space="preserve">and</w:t>
      </w:r>
      <w:r>
        <w:t xml:space="preserve"> </w:t>
      </w:r>
      <m:oMath>
        <m:r>
          <m:rPr>
            <m:sty m:val="p"/>
          </m:rPr>
          <m:t>+</m:t>
        </m:r>
        <m:r>
          <m:t>0.045</m:t>
        </m:r>
      </m:oMath>
      <w:r>
        <w:t xml:space="preserve">). The</w:t>
      </w:r>
      <w:r>
        <w:t xml:space="preserve"> </w:t>
      </w:r>
      <w:r>
        <w:t xml:space="preserve">contradiction is informative, and resolving it requires enriching</w:t>
      </w:r>
      <w:r>
        <w:t xml:space="preserve"> </w:t>
      </w:r>
      <w:r>
        <w:t xml:space="preserve">(2).</w:t>
      </w:r>
    </w:p>
    <w:bookmarkEnd w:id="24"/>
    <w:bookmarkStart w:id="25" w:name="Xb14acc493c78f4c3981a8c2a49d834f482ba711"/>
    <w:p>
      <w:pPr>
        <w:pStyle w:val="Heading3"/>
      </w:pPr>
      <w:r>
        <w:t xml:space="preserve">Permanent, transitory and sampling components</w:t>
      </w:r>
    </w:p>
    <w:p>
      <w:pPr>
        <w:pStyle w:val="FirstParagraph"/>
      </w:pPr>
      <w:r>
        <w:t xml:space="preserve">Suppose the quantity a firm-level regression recovers is not a fixed trait but a</w:t>
      </w:r>
      <w:r>
        <w:t xml:space="preserve"> </w:t>
      </w:r>
      <w:r>
        <w:t xml:space="preserve">window-specific realisation,</w:t>
      </w:r>
    </w:p>
    <w:p>
      <w:pPr>
        <w:pStyle w:val="BodyText"/>
      </w:pPr>
      <m:oMathPara>
        <m:oMathParaPr>
          <m:jc m:val="center"/>
        </m:oMathParaPr>
        <m:oMath>
          <m:sSubSup>
            <m:e>
              <m:r>
                <m:t>θ</m:t>
              </m:r>
            </m:e>
            <m:sub>
              <m:r>
                <m:t>i</m:t>
              </m:r>
            </m:sub>
            <m:sup>
              <m:r>
                <m:rPr>
                  <m:sty m:val="p"/>
                </m:rPr>
                <m:t>(</m:t>
              </m:r>
              <m:r>
                <m:t>w</m:t>
              </m:r>
              <m:r>
                <m:rPr>
                  <m:sty m:val="p"/>
                </m:rPr>
                <m:t>)</m:t>
              </m:r>
            </m:sup>
          </m:sSubSup>
          <m:r>
            <m:t> </m:t>
          </m:r>
          <m:r>
            <m:rPr>
              <m:sty m:val="p"/>
            </m:rPr>
            <m:t>=</m:t>
          </m:r>
          <m:r>
            <m:t> </m:t>
          </m:r>
          <m:sSub>
            <m:e>
              <m:r>
                <m:t>θ</m:t>
              </m:r>
            </m:e>
            <m:sub>
              <m:r>
                <m:t>i</m:t>
              </m:r>
            </m:sub>
          </m:sSub>
          <m:r>
            <m:t> </m:t>
          </m:r>
          <m:r>
            <m:rPr>
              <m:sty m:val="p"/>
            </m:rPr>
            <m:t>+</m:t>
          </m:r>
          <m:r>
            <m:t> </m:t>
          </m:r>
          <m:sSubSup>
            <m:e>
              <m:r>
                <m:t>ν</m:t>
              </m:r>
            </m:e>
            <m:sub>
              <m:r>
                <m:t>i</m:t>
              </m:r>
            </m:sub>
            <m:sup>
              <m:r>
                <m:rPr>
                  <m:sty m:val="p"/>
                </m:rPr>
                <m:t>(</m:t>
              </m:r>
              <m:r>
                <m:t>w</m:t>
              </m:r>
              <m:r>
                <m:rPr>
                  <m:sty m:val="p"/>
                </m:rPr>
                <m:t>)</m:t>
              </m:r>
            </m:sup>
          </m:sSubSup>
          <m:r>
            <m:rPr>
              <m:sty m:val="p"/>
            </m:rPr>
            <m:t>,</m:t>
          </m:r>
          <m:r>
            <m:t>  </m:t>
          </m:r>
          <m:r>
            <m:rPr>
              <m:sty m:val="p"/>
            </m:rPr>
            <m:t>Var</m:t>
          </m:r>
          <m:r>
            <m:rPr>
              <m:sty m:val="p"/>
            </m:rPr>
            <m:t>(</m:t>
          </m:r>
          <m:sSubSup>
            <m:e>
              <m:r>
                <m:t>ν</m:t>
              </m:r>
            </m:e>
            <m:sub>
              <m:r>
                <m:t>i</m:t>
              </m:r>
            </m:sub>
            <m:sup>
              <m:r>
                <m:rPr>
                  <m:sty m:val="p"/>
                </m:rPr>
                <m:t>(</m:t>
              </m:r>
              <m:r>
                <m:t>w</m:t>
              </m:r>
              <m:r>
                <m:rPr>
                  <m:sty m:val="p"/>
                </m:rPr>
                <m:t>)</m:t>
              </m:r>
            </m:sup>
          </m:sSubSup>
          <m:r>
            <m:rPr>
              <m:sty m:val="p"/>
            </m:rPr>
            <m:t>)</m:t>
          </m:r>
          <m:r>
            <m:rPr>
              <m:sty m:val="p"/>
            </m:rPr>
            <m:t>=</m:t>
          </m:r>
          <m:sSubSup>
            <m:e>
              <m:r>
                <m:t>σ</m:t>
              </m:r>
            </m:e>
            <m:sub>
              <m:r>
                <m:t>ν</m:t>
              </m:r>
            </m:sub>
            <m:sup>
              <m:r>
                <m:t>2</m:t>
              </m:r>
            </m:sup>
          </m:sSubSup>
          <m:r>
            <m:rPr>
              <m:sty m:val="p"/>
            </m:rPr>
            <m:t>,</m:t>
          </m:r>
        </m:oMath>
      </m:oMathPara>
    </w:p>
    <w:p>
      <w:pPr>
        <w:pStyle w:val="FirstParagraph"/>
      </w:pPr>
      <w:r>
        <w:t xml:space="preserve">where</w:t>
      </w:r>
      <w:r>
        <w:t xml:space="preserve"> </w:t>
      </w:r>
      <m:oMath>
        <m:sSub>
          <m:e>
            <m:r>
              <m:t>θ</m:t>
            </m:r>
          </m:e>
          <m:sub>
            <m:r>
              <m:t>i</m:t>
            </m:r>
          </m:sub>
        </m:sSub>
      </m:oMath>
      <w:r>
        <w:t xml:space="preserve"> </w:t>
      </w:r>
      <w:r>
        <w:t xml:space="preserve">is a persistent characteristic and</w:t>
      </w:r>
      <w:r>
        <w:t xml:space="preserve"> </w:t>
      </w:r>
      <m:oMath>
        <m:sSubSup>
          <m:e>
            <m:r>
              <m:t>ν</m:t>
            </m:r>
          </m:e>
          <m:sub>
            <m:r>
              <m:t>i</m:t>
            </m:r>
          </m:sub>
          <m:sup>
            <m:r>
              <m:rPr>
                <m:sty m:val="p"/>
              </m:rPr>
              <m:t>(</m:t>
            </m:r>
            <m:r>
              <m:t>w</m:t>
            </m:r>
            <m:r>
              <m:rPr>
                <m:sty m:val="p"/>
              </m:rPr>
              <m:t>)</m:t>
            </m:r>
          </m:sup>
        </m:sSubSup>
      </m:oMath>
      <w:r>
        <w:t xml:space="preserve"> </w:t>
      </w:r>
      <w:r>
        <w:t xml:space="preserve">a transitory</w:t>
      </w:r>
      <w:r>
        <w:t xml:space="preserve"> </w:t>
      </w:r>
      <w:r>
        <w:t xml:space="preserve">component that is real within window</w:t>
      </w:r>
      <w:r>
        <w:t xml:space="preserve"> </w:t>
      </w:r>
      <m:oMath>
        <m:r>
          <m:t>w</m:t>
        </m:r>
      </m:oMath>
      <w:r>
        <w:t xml:space="preserve">—the firm genuinely did reprice that</w:t>
      </w:r>
      <w:r>
        <w:t xml:space="preserve"> </w:t>
      </w:r>
      <w:r>
        <w:t xml:space="preserve">way over those years—but does not carry across windows. The estimated slope is</w:t>
      </w:r>
      <w:r>
        <w:t xml:space="preserve"> </w:t>
      </w:r>
      <w:r>
        <w:t xml:space="preserve">then</w:t>
      </w:r>
      <w:r>
        <w:t xml:space="preserve"> </w:t>
      </w:r>
      <m:oMath>
        <m:sSubSup>
          <m:e>
            <m:acc>
              <m:accPr>
                <m:chr m:val="̂"/>
              </m:accPr>
              <m:e>
                <m:r>
                  <m:t>θ</m:t>
                </m:r>
              </m:e>
            </m:acc>
          </m:e>
          <m:sub>
            <m:r>
              <m:t>i</m:t>
            </m:r>
          </m:sub>
          <m:sup>
            <m:r>
              <m:rPr>
                <m:sty m:val="p"/>
              </m:rPr>
              <m:t>(</m:t>
            </m:r>
            <m:r>
              <m:t>w</m:t>
            </m:r>
            <m:r>
              <m:rPr>
                <m:sty m:val="p"/>
              </m:rPr>
              <m:t>)</m:t>
            </m:r>
          </m:sup>
        </m:sSubSup>
        <m:r>
          <m:rPr>
            <m:sty m:val="p"/>
          </m:rPr>
          <m:t>=</m:t>
        </m:r>
        <m:sSub>
          <m:e>
            <m:r>
              <m:t>θ</m:t>
            </m:r>
          </m:e>
          <m:sub>
            <m:r>
              <m:t>i</m:t>
            </m:r>
          </m:sub>
        </m:sSub>
        <m:r>
          <m:rPr>
            <m:sty m:val="p"/>
          </m:rPr>
          <m:t>+</m:t>
        </m:r>
        <m:sSubSup>
          <m:e>
            <m:r>
              <m:t>ν</m:t>
            </m:r>
          </m:e>
          <m:sub>
            <m:r>
              <m:t>i</m:t>
            </m:r>
          </m:sub>
          <m:sup>
            <m:r>
              <m:rPr>
                <m:sty m:val="p"/>
              </m:rPr>
              <m:t>(</m:t>
            </m:r>
            <m:r>
              <m:t>w</m:t>
            </m:r>
            <m:r>
              <m:rPr>
                <m:sty m:val="p"/>
              </m:rPr>
              <m:t>)</m:t>
            </m:r>
          </m:sup>
        </m:sSubSup>
        <m:r>
          <m:rPr>
            <m:sty m:val="p"/>
          </m:rPr>
          <m:t>+</m:t>
        </m:r>
        <m:sSubSup>
          <m:e>
            <m:r>
              <m:t>u</m:t>
            </m:r>
          </m:e>
          <m:sub>
            <m:r>
              <m:t>i</m:t>
            </m:r>
          </m:sub>
          <m:sup>
            <m:r>
              <m:rPr>
                <m:sty m:val="p"/>
              </m:rPr>
              <m:t>(</m:t>
            </m:r>
            <m:r>
              <m:t>w</m:t>
            </m:r>
            <m:r>
              <m:rPr>
                <m:sty m:val="p"/>
              </m:rPr>
              <m:t>)</m:t>
            </m:r>
          </m:sup>
        </m:sSubSup>
      </m:oMath>
      <w:r>
        <w:t xml:space="preserve">.</w:t>
      </w:r>
    </w:p>
    <w:p>
      <w:pPr>
        <w:pStyle w:val="BodyText"/>
      </w:pPr>
      <w:r>
        <w:rPr>
          <w:b/>
          <w:bCs/>
        </w:rPr>
        <w:t xml:space="preserve">Proposition 5 (Three-way decomposition).</w:t>
      </w:r>
      <w:r>
        <w:t xml:space="preserve"> </w:t>
      </w:r>
      <w:r>
        <w:t xml:space="preserve">Under (9) with</w:t>
      </w:r>
      <w:r>
        <w:t xml:space="preserve"> </w:t>
      </w:r>
      <m:oMath>
        <m:r>
          <m:t>ν</m:t>
        </m:r>
      </m:oMath>
      <w:r>
        <w:t xml:space="preserve">,</w:t>
      </w:r>
      <w:r>
        <w:t xml:space="preserve"> </w:t>
      </w:r>
      <m:oMath>
        <m:r>
          <m:t>u</m:t>
        </m:r>
      </m:oMath>
      <w:r>
        <w:t xml:space="preserve"> </w:t>
      </w:r>
      <w:r>
        <w:t xml:space="preserve">mutually independent and</w:t>
      </w:r>
      <w:r>
        <w:t xml:space="preserve"> </w:t>
      </w:r>
      <w:r>
        <w:t xml:space="preserve">independent of</w:t>
      </w:r>
      <w:r>
        <w:t xml:space="preserve"> </w:t>
      </w:r>
      <m:oMath>
        <m:r>
          <m:t>θ</m:t>
        </m:r>
      </m:oMath>
      <w:r>
        <w:t xml:space="preserve">,</w:t>
      </w:r>
    </w:p>
    <w:p>
      <w:pPr>
        <w:pStyle w:val="BodyText"/>
      </w:pPr>
      <m:oMathPara>
        <m:oMathParaPr>
          <m:jc m:val="center"/>
        </m:oMathParaPr>
        <m:oMath>
          <m:r>
            <m:rPr>
              <m:sty m:val="p"/>
            </m:rPr>
            <m:t>Var</m:t>
          </m:r>
          <m:r>
            <m:rPr>
              <m:sty m:val="p"/>
            </m:rPr>
            <m:t>(</m:t>
          </m:r>
          <m:sSubSup>
            <m:e>
              <m:acc>
                <m:accPr>
                  <m:chr m:val="̂"/>
                </m:accPr>
                <m:e>
                  <m:r>
                    <m:t>θ</m:t>
                  </m:r>
                </m:e>
              </m:acc>
            </m:e>
            <m:sub>
              <m:r>
                <m:t>i</m:t>
              </m:r>
            </m:sub>
            <m:sup>
              <m:r>
                <m:rPr>
                  <m:sty m:val="p"/>
                </m:rPr>
                <m:t>(</m:t>
              </m:r>
              <m:r>
                <m:t>w</m:t>
              </m:r>
              <m:r>
                <m:rPr>
                  <m:sty m:val="p"/>
                </m:rPr>
                <m:t>)</m:t>
              </m:r>
            </m:sup>
          </m:sSubSup>
          <m:r>
            <m:rPr>
              <m:sty m:val="p"/>
            </m:rPr>
            <m:t>)</m:t>
          </m:r>
          <m:r>
            <m:rPr>
              <m:sty m:val="p"/>
            </m:rPr>
            <m:t>=</m:t>
          </m:r>
          <m:sSubSup>
            <m:e>
              <m:r>
                <m:t>σ</m:t>
              </m:r>
            </m:e>
            <m:sub>
              <m:r>
                <m:t>θ</m:t>
              </m:r>
            </m:sub>
            <m:sup>
              <m:r>
                <m:t>2</m:t>
              </m:r>
            </m:sup>
          </m:sSubSup>
          <m:r>
            <m:rPr>
              <m:sty m:val="p"/>
            </m:rPr>
            <m:t>+</m:t>
          </m:r>
          <m:sSubSup>
            <m:e>
              <m:r>
                <m:t>σ</m:t>
              </m:r>
            </m:e>
            <m:sub>
              <m:r>
                <m:t>ν</m:t>
              </m:r>
            </m:sub>
            <m:sup>
              <m:r>
                <m:t>2</m:t>
              </m:r>
            </m:sup>
          </m:sSubSup>
          <m:r>
            <m:rPr>
              <m:sty m:val="p"/>
            </m:rPr>
            <m:t>+</m:t>
          </m:r>
          <m:sSubSup>
            <m:e>
              <m:r>
                <m:t>σ</m:t>
              </m:r>
            </m:e>
            <m:sub>
              <m:r>
                <m:t>u</m:t>
              </m:r>
            </m:sub>
            <m:sup>
              <m:r>
                <m:t>2</m:t>
              </m:r>
            </m:sup>
          </m:sSubSup>
          <m:r>
            <m:rPr>
              <m:sty m:val="p"/>
            </m:rPr>
            <m:t>,</m:t>
          </m:r>
          <m:r>
            <m:t>  </m:t>
          </m:r>
          <m:r>
            <m:rPr>
              <m:sty m:val="p"/>
            </m:rPr>
            <m:t>Corr</m:t>
          </m:r>
          <m:d>
            <m:dPr>
              <m:begChr m:val="("/>
              <m:sepChr m:val=""/>
              <m:endChr m:val=")"/>
              <m:grow/>
            </m:dPr>
            <m:e>
              <m:sSup>
                <m:e>
                  <m:acc>
                    <m:accPr>
                      <m:chr m:val="̂"/>
                    </m:accPr>
                    <m:e>
                      <m:r>
                        <m:t>θ</m:t>
                      </m:r>
                    </m:e>
                  </m:acc>
                </m:e>
                <m:sup>
                  <m:r>
                    <m:rPr>
                      <m:sty m:val="p"/>
                    </m:rPr>
                    <m:t>(</m:t>
                  </m:r>
                  <m:r>
                    <m:t>1</m:t>
                  </m:r>
                  <m:r>
                    <m:rPr>
                      <m:sty m:val="p"/>
                    </m:rPr>
                    <m:t>)</m:t>
                  </m:r>
                </m:sup>
              </m:sSup>
              <m:r>
                <m:rPr>
                  <m:sty m:val="p"/>
                </m:rPr>
                <m:t>,</m:t>
              </m:r>
              <m:sSup>
                <m:e>
                  <m:acc>
                    <m:accPr>
                      <m:chr m:val="̂"/>
                    </m:accPr>
                    <m:e>
                      <m:r>
                        <m:t>θ</m:t>
                      </m:r>
                    </m:e>
                  </m:acc>
                </m:e>
                <m:sup>
                  <m:r>
                    <m:rPr>
                      <m:sty m:val="p"/>
                    </m:rPr>
                    <m:t>(</m:t>
                  </m:r>
                  <m:r>
                    <m:t>2</m:t>
                  </m:r>
                  <m:r>
                    <m:rPr>
                      <m:sty m:val="p"/>
                    </m:rPr>
                    <m:t>)</m:t>
                  </m:r>
                </m:sup>
              </m:sSup>
            </m:e>
          </m:d>
          <m:r>
            <m:rPr>
              <m:sty m:val="p"/>
            </m:rPr>
            <m:t>=</m:t>
          </m:r>
          <m:f>
            <m:fPr>
              <m:type m:val="bar"/>
            </m:fPr>
            <m:num>
              <m:sSubSup>
                <m:e>
                  <m:r>
                    <m:t>σ</m:t>
                  </m:r>
                </m:e>
                <m:sub>
                  <m:r>
                    <m:t>θ</m:t>
                  </m:r>
                </m:sub>
                <m:sup>
                  <m:r>
                    <m:t>2</m:t>
                  </m:r>
                </m:sup>
              </m:sSubSup>
            </m:num>
            <m:den>
              <m:sSubSup>
                <m:e>
                  <m:r>
                    <m:t>σ</m:t>
                  </m:r>
                </m:e>
                <m:sub>
                  <m:r>
                    <m:t>θ</m:t>
                  </m:r>
                </m:sub>
                <m:sup>
                  <m:r>
                    <m:t>2</m:t>
                  </m:r>
                </m:sup>
              </m:sSubSup>
              <m:r>
                <m:rPr>
                  <m:sty m:val="p"/>
                </m:rPr>
                <m:t>+</m:t>
              </m:r>
              <m:sSubSup>
                <m:e>
                  <m:r>
                    <m:t>σ</m:t>
                  </m:r>
                </m:e>
                <m:sub>
                  <m:r>
                    <m:t>ν</m:t>
                  </m:r>
                </m:sub>
                <m:sup>
                  <m:r>
                    <m:t>2</m:t>
                  </m:r>
                </m:sup>
              </m:sSubSup>
              <m:r>
                <m:rPr>
                  <m:sty m:val="p"/>
                </m:rPr>
                <m:t>+</m:t>
              </m:r>
              <m:sSubSup>
                <m:e>
                  <m:r>
                    <m:t>σ</m:t>
                  </m:r>
                </m:e>
                <m:sub>
                  <m:r>
                    <m:t>u</m:t>
                  </m:r>
                </m:sub>
                <m:sup>
                  <m:r>
                    <m:t>2</m:t>
                  </m:r>
                </m:sup>
              </m:sSubSup>
            </m:den>
          </m:f>
          <m:r>
            <m:rPr>
              <m:sty m:val="p"/>
            </m:rPr>
            <m:t>,</m:t>
          </m:r>
        </m:oMath>
      </m:oMathPara>
    </w:p>
    <w:p>
      <w:pPr>
        <w:pStyle w:val="FirstParagraph"/>
      </w:pPr>
      <w:r>
        <w:t xml:space="preserve">so the split-half correlation identifies the</w:t>
      </w:r>
      <w:r>
        <w:t xml:space="preserve"> </w:t>
      </w:r>
      <w:r>
        <w:rPr>
          <w:i/>
          <w:iCs/>
        </w:rPr>
        <w:t xml:space="preserve">permanent</w:t>
      </w:r>
      <w:r>
        <w:t xml:space="preserve"> </w:t>
      </w:r>
      <w:r>
        <w:t xml:space="preserve">share alone, and</w:t>
      </w:r>
    </w:p>
    <w:p>
      <w:pPr>
        <w:pStyle w:val="BodyText"/>
      </w:pPr>
      <m:oMathPara>
        <m:oMathParaPr>
          <m:jc m:val="center"/>
        </m:oMathParaPr>
        <m:oMath>
          <m:sSubSup>
            <m:e>
              <m:r>
                <m:t>σ</m:t>
              </m:r>
            </m:e>
            <m:sub>
              <m:r>
                <m:t>ν</m:t>
              </m:r>
            </m:sub>
            <m:sup>
              <m:r>
                <m:t>2</m:t>
              </m:r>
            </m:sup>
          </m:sSubSup>
          <m:r>
            <m:t> </m:t>
          </m:r>
          <m:r>
            <m:rPr>
              <m:sty m:val="p"/>
            </m:rPr>
            <m:t>=</m:t>
          </m:r>
          <m:r>
            <m:t> </m:t>
          </m:r>
          <m:r>
            <m:rPr>
              <m:sty m:val="p"/>
            </m:rPr>
            <m:t>Var</m:t>
          </m:r>
          <m:r>
            <m:rPr>
              <m:sty m:val="p"/>
            </m:rPr>
            <m:t>(</m:t>
          </m:r>
          <m:acc>
            <m:accPr>
              <m:chr m:val="̂"/>
            </m:accPr>
            <m:e>
              <m:r>
                <m:t>θ</m:t>
              </m:r>
            </m:e>
          </m:acc>
          <m:r>
            <m:rPr>
              <m:sty m:val="p"/>
            </m:rPr>
            <m:t>)</m:t>
          </m:r>
          <m:d>
            <m:dPr>
              <m:begChr m:val="("/>
              <m:sepChr m:val=""/>
              <m:endChr m:val=")"/>
              <m:grow/>
            </m:dPr>
            <m:e>
              <m:r>
                <m:t>1</m:t>
              </m:r>
              <m:r>
                <m:rPr>
                  <m:sty m:val="p"/>
                </m:rPr>
                <m:t>−</m:t>
              </m:r>
              <m:r>
                <m:rPr>
                  <m:sty m:val="p"/>
                </m:rPr>
                <m:t>Corr</m:t>
              </m:r>
            </m:e>
          </m:d>
          <m:r>
            <m:t> </m:t>
          </m:r>
          <m:r>
            <m:rPr>
              <m:sty m:val="p"/>
            </m:rPr>
            <m:t>−</m:t>
          </m:r>
          <m:r>
            <m:t> </m:t>
          </m:r>
          <m:sSubSup>
            <m:e>
              <m:r>
                <m:t>σ</m:t>
              </m:r>
            </m:e>
            <m:sub>
              <m:r>
                <m:t>u</m:t>
              </m:r>
            </m:sub>
            <m:sup>
              <m:r>
                <m:t>2</m:t>
              </m:r>
            </m:sup>
          </m:sSubSup>
          <m:r>
            <m:rPr>
              <m:sty m:val="p"/>
            </m:rPr>
            <m:t>.</m:t>
          </m:r>
        </m:oMath>
      </m:oMathPara>
    </w:p>
    <w:p>
      <w:pPr>
        <w:pStyle w:val="FirstParagraph"/>
      </w:pPr>
      <w:r>
        <w:t xml:space="preserve">Moreover, Proposition 1 continues to hold with</w:t>
      </w:r>
      <w:r>
        <w:t xml:space="preserve"> </w:t>
      </w:r>
      <m:oMath>
        <m:r>
          <m:t>λ</m:t>
        </m:r>
      </m:oMath>
      <w:r>
        <w:t xml:space="preserve"> </w:t>
      </w:r>
      <w:r>
        <w:t xml:space="preserve">equal to</w:t>
      </w:r>
      <w:r>
        <w:t xml:space="preserve"> </w:t>
      </w:r>
      <w:r>
        <w:t xml:space="preserve">this permanent share, since only</w:t>
      </w:r>
      <w:r>
        <w:t xml:space="preserve"> </w:t>
      </w:r>
      <m:oMath>
        <m:sSub>
          <m:e>
            <m:r>
              <m:t>θ</m:t>
            </m:r>
          </m:e>
          <m:sub>
            <m:r>
              <m:t>i</m:t>
            </m:r>
          </m:sub>
        </m:sSub>
      </m:oMath>
      <w:r>
        <w:t xml:space="preserve"> </w:t>
      </w:r>
      <w:r>
        <w:t xml:space="preserve">is stable enough to interact with a</w:t>
      </w:r>
      <w:r>
        <w:t xml:space="preserve"> </w:t>
      </w:r>
      <w:r>
        <w:t xml:space="preserve">treatment occurring after the estimation window.</w:t>
      </w:r>
    </w:p>
    <w:p>
      <w:pPr>
        <w:pStyle w:val="BodyText"/>
      </w:pPr>
      <w:r>
        <w:rPr>
          <w:i/>
          <w:iCs/>
        </w:rPr>
        <w:t xml:space="preserve">Proof.</w:t>
      </w:r>
      <w:r>
        <w:t xml:space="preserve"> </w:t>
      </w:r>
      <w:r>
        <w:t xml:space="preserve">The variance decomposition is immediate from independence. The covariance across</w:t>
      </w:r>
      <w:r>
        <w:t xml:space="preserve"> </w:t>
      </w:r>
      <w:r>
        <w:t xml:space="preserve">windows is</w:t>
      </w:r>
      <w:r>
        <w:t xml:space="preserve"> </w:t>
      </w:r>
      <m:oMath>
        <m:r>
          <m:rPr>
            <m:sty m:val="p"/>
          </m:rPr>
          <m:t>Var</m:t>
        </m:r>
        <m:r>
          <m:rPr>
            <m:sty m:val="p"/>
          </m:rPr>
          <m:t>(</m:t>
        </m:r>
        <m:r>
          <m:t>θ</m:t>
        </m:r>
        <m:r>
          <m:rPr>
            <m:sty m:val="p"/>
          </m:rPr>
          <m:t>)</m:t>
        </m:r>
        <m:r>
          <m:rPr>
            <m:sty m:val="p"/>
          </m:rPr>
          <m:t>=</m:t>
        </m:r>
        <m:sSubSup>
          <m:e>
            <m:r>
              <m:t>σ</m:t>
            </m:r>
          </m:e>
          <m:sub>
            <m:r>
              <m:t>θ</m:t>
            </m:r>
          </m:sub>
          <m:sup>
            <m:r>
              <m:t>2</m:t>
            </m:r>
          </m:sup>
        </m:sSubSup>
      </m:oMath>
      <w:r>
        <w:t xml:space="preserve"> </w:t>
      </w:r>
      <w:r>
        <w:t xml:space="preserve">because both</w:t>
      </w:r>
      <w:r>
        <w:t xml:space="preserve"> </w:t>
      </w:r>
      <m:oMath>
        <m:r>
          <m:t>ν</m:t>
        </m:r>
      </m:oMath>
      <w:r>
        <w:t xml:space="preserve"> </w:t>
      </w:r>
      <w:r>
        <w:t xml:space="preserve">and</w:t>
      </w:r>
      <w:r>
        <w:t xml:space="preserve"> </w:t>
      </w:r>
      <m:oMath>
        <m:r>
          <m:t>u</m:t>
        </m:r>
      </m:oMath>
      <w:r>
        <w:t xml:space="preserve"> </w:t>
      </w:r>
      <w:r>
        <w:t xml:space="preserve">are</w:t>
      </w:r>
      <w:r>
        <w:t xml:space="preserve"> </w:t>
      </w:r>
      <w:r>
        <w:t xml:space="preserve">window-specific. Rearranging gives</w:t>
      </w:r>
      <w:r>
        <w:t xml:space="preserve"> </w:t>
      </w:r>
      <m:oMath>
        <m:sSubSup>
          <m:e>
            <m:r>
              <m:t>σ</m:t>
            </m:r>
          </m:e>
          <m:sub>
            <m:r>
              <m:t>ν</m:t>
            </m:r>
          </m:sub>
          <m:sup>
            <m:r>
              <m:t>2</m:t>
            </m:r>
          </m:sup>
        </m:sSubSup>
      </m:oMath>
      <w:r>
        <w:t xml:space="preserve">.</w:t>
      </w:r>
      <w:r>
        <w:t xml:space="preserve"> </w:t>
      </w:r>
      <m:oMath>
        <m:r>
          <m:rPr>
            <m:sty m:val="p"/>
          </m:rPr>
          <m:t>◼</m:t>
        </m:r>
      </m:oMath>
    </w:p>
    <w:p>
      <w:pPr>
        <w:pStyle w:val="BodyText"/>
      </w:pPr>
      <w:r>
        <w:t xml:space="preserve">Proposition 5 separates two failure modes that are easily</w:t>
      </w:r>
      <w:r>
        <w:t xml:space="preserve"> </w:t>
      </w:r>
      <w:r>
        <w:t xml:space="preserve">conflated.</w:t>
      </w:r>
      <w:r>
        <w:t xml:space="preserve"> </w:t>
      </w:r>
      <w:r>
        <w:rPr>
          <w:i/>
          <w:iCs/>
        </w:rPr>
        <w:t xml:space="preserve">Imprecision</w:t>
      </w:r>
      <w:r>
        <w:t xml:space="preserve"> </w:t>
      </w:r>
      <w:r>
        <w:t xml:space="preserve">(</w:t>
      </w:r>
      <m:oMath>
        <m:sSubSup>
          <m:e>
            <m:r>
              <m:t>σ</m:t>
            </m:r>
          </m:e>
          <m:sub>
            <m:r>
              <m:t>u</m:t>
            </m:r>
          </m:sub>
          <m:sup>
            <m:r>
              <m:t>2</m:t>
            </m:r>
          </m:sup>
        </m:sSubSup>
      </m:oMath>
      <w:r>
        <w:t xml:space="preserve"> </w:t>
      </w:r>
      <w:r>
        <w:t xml:space="preserve">large) is remediable by more data.</w:t>
      </w:r>
      <w:r>
        <w:t xml:space="preserve"> </w:t>
      </w:r>
      <w:r>
        <w:rPr>
          <w:i/>
          <w:iCs/>
        </w:rPr>
        <w:t xml:space="preserve">Impermanence</w:t>
      </w:r>
      <w:r>
        <w:t xml:space="preserve"> </w:t>
      </w:r>
      <w:r>
        <w:t xml:space="preserve">(</w:t>
      </w:r>
      <m:oMath>
        <m:sSubSup>
          <m:e>
            <m:r>
              <m:t>σ</m:t>
            </m:r>
          </m:e>
          <m:sub>
            <m:r>
              <m:t>ν</m:t>
            </m:r>
          </m:sub>
          <m:sup>
            <m:r>
              <m:t>2</m:t>
            </m:r>
          </m:sup>
        </m:sSubSup>
      </m:oMath>
      <w:r>
        <w:t xml:space="preserve"> </w:t>
      </w:r>
      <w:r>
        <w:t xml:space="preserve">large) is not: no amount of additional data</w:t>
      </w:r>
      <w:r>
        <w:t xml:space="preserve"> </w:t>
      </w:r>
      <w:r>
        <w:t xml:space="preserve">makes a transitory quantity a usable pre-determined regressor. The empirical</w:t>
      </w:r>
      <w:r>
        <w:t xml:space="preserve"> </w:t>
      </w:r>
      <w:r>
        <w:t xml:space="preserve">decomposition in Section 4.2 attributes 94.6% of Vietnamese and</w:t>
      </w:r>
      <w:r>
        <w:t xml:space="preserve"> </w:t>
      </w:r>
      <w:r>
        <w:t xml:space="preserve">95.5% of Turkish dispersion in estimated slopes to the transitory component and</w:t>
      </w:r>
      <w:r>
        <w:t xml:space="preserve"> </w:t>
      </w:r>
      <w:r>
        <w:t xml:space="preserve">only a small remainder to the permanent one—so the binding problem is</w:t>
      </w:r>
      <w:r>
        <w:t xml:space="preserve"> </w:t>
      </w:r>
      <w:r>
        <w:t xml:space="preserve">impermanence, and quarterly estimation would not solve it.</w:t>
      </w:r>
    </w:p>
    <w:bookmarkEnd w:id="25"/>
    <w:bookmarkStart w:id="26" w:name="in-sample-fit-is-not-evidence"/>
    <w:p>
      <w:pPr>
        <w:pStyle w:val="Heading3"/>
      </w:pPr>
      <w:r>
        <w:t xml:space="preserve">In-sample fit is not evidence</w:t>
      </w:r>
    </w:p>
    <w:p>
      <w:pPr>
        <w:pStyle w:val="FirstParagraph"/>
      </w:pPr>
      <w:r>
        <w:t xml:space="preserve">A researcher inspecting (6) would observe a respectable</w:t>
      </w:r>
      <w:r>
        <w:t xml:space="preserve"> </w:t>
      </w:r>
      <m:oMath>
        <m:sSup>
          <m:e>
            <m:r>
              <m:t>R</m:t>
            </m:r>
          </m:e>
          <m:sup>
            <m:r>
              <m:t>2</m:t>
            </m:r>
          </m:sup>
        </m:sSup>
      </m:oMath>
      <w:r>
        <w:t xml:space="preserve"> </w:t>
      </w:r>
      <w:r>
        <w:t xml:space="preserve">and</w:t>
      </w:r>
      <w:r>
        <w:t xml:space="preserve"> </w:t>
      </w:r>
      <w:r>
        <w:t xml:space="preserve">might conclude the specification has content. It does not.</w:t>
      </w:r>
    </w:p>
    <w:p>
      <w:pPr>
        <w:pStyle w:val="BodyText"/>
      </w:pPr>
      <w:r>
        <w:rPr>
          <w:b/>
          <w:bCs/>
        </w:rPr>
        <w:t xml:space="preserve">Proposition 6 (Null benchmark for fit).</w:t>
      </w:r>
      <w:r>
        <w:t xml:space="preserve"> </w:t>
      </w:r>
      <w:r>
        <w:t xml:space="preserve">Under the null that neither regressor enters (6), with</w:t>
      </w:r>
      <w:r>
        <w:t xml:space="preserve"> </w:t>
      </w:r>
      <m:oMath>
        <m:r>
          <m:t>k</m:t>
        </m:r>
      </m:oMath>
      <w:r>
        <w:t xml:space="preserve"> </w:t>
      </w:r>
      <w:r>
        <w:t xml:space="preserve">regressors excluding the intercept and</w:t>
      </w:r>
      <w:r>
        <w:t xml:space="preserve"> </w:t>
      </w:r>
      <m:oMath>
        <m:r>
          <m:t>T</m:t>
        </m:r>
      </m:oMath>
      <w:r>
        <w:t xml:space="preserve"> </w:t>
      </w:r>
      <w:r>
        <w:t xml:space="preserve">observations, the coefficient of</w:t>
      </w:r>
      <w:r>
        <w:t xml:space="preserve"> </w:t>
      </w:r>
      <w:r>
        <w:t xml:space="preserve">determination satisfies</w:t>
      </w:r>
    </w:p>
    <w:p>
      <w:pPr>
        <w:pStyle w:val="BodyText"/>
      </w:pPr>
      <m:oMathPara>
        <m:oMathParaPr>
          <m:jc m:val="center"/>
        </m:oMathParaPr>
        <m:oMath>
          <m:sSup>
            <m:e>
              <m:r>
                <m:t>R</m:t>
              </m:r>
            </m:e>
            <m:sup>
              <m:r>
                <m:t>2</m:t>
              </m:r>
            </m:sup>
          </m:sSup>
          <m:r>
            <m:rPr>
              <m:sty m:val="p"/>
            </m:rPr>
            <m:t>∼</m:t>
          </m:r>
          <m:r>
            <m:rPr>
              <m:sty m:val="p"/>
            </m:rPr>
            <m:t>B</m:t>
          </m:r>
          <m:r>
            <m:rPr>
              <m:sty m:val="p"/>
            </m:rPr>
            <m:t>e</m:t>
          </m:r>
          <m:r>
            <m:rPr>
              <m:sty m:val="p"/>
            </m:rPr>
            <m:t>t</m:t>
          </m:r>
          <m:r>
            <m:rPr>
              <m:sty m:val="p"/>
            </m:rPr>
            <m:t>a</m:t>
          </m:r>
          <m:r>
            <m:t>​</m:t>
          </m:r>
          <m:d>
            <m:dPr>
              <m:begChr m:val="("/>
              <m:sepChr m:val=""/>
              <m:endChr m:val=")"/>
              <m:grow/>
            </m:dPr>
            <m:e>
              <m:f>
                <m:fPr>
                  <m:type m:val="lin"/>
                </m:fPr>
                <m:num>
                  <m:r>
                    <m:t>k</m:t>
                  </m:r>
                </m:num>
                <m:den>
                  <m:r>
                    <m:t>2</m:t>
                  </m:r>
                </m:den>
              </m:f>
              <m:r>
                <m:rPr>
                  <m:sty m:val="p"/>
                </m:rPr>
                <m:t>,</m:t>
              </m:r>
              <m:r>
                <m:t> </m:t>
              </m:r>
              <m:f>
                <m:fPr>
                  <m:type m:val="lin"/>
                </m:fPr>
                <m:num>
                  <m:r>
                    <m:t>T</m:t>
                  </m:r>
                  <m:r>
                    <m:rPr>
                      <m:sty m:val="p"/>
                    </m:rPr>
                    <m:t>−</m:t>
                  </m:r>
                  <m:r>
                    <m:t>k</m:t>
                  </m:r>
                  <m:r>
                    <m:rPr>
                      <m:sty m:val="p"/>
                    </m:rPr>
                    <m:t>−</m:t>
                  </m:r>
                  <m:r>
                    <m:t>1</m:t>
                  </m:r>
                </m:num>
                <m:den>
                  <m:r>
                    <m:t>2</m:t>
                  </m:r>
                </m:den>
              </m:f>
            </m:e>
          </m:d>
          <m:r>
            <m:rPr>
              <m:sty m:val="p"/>
            </m:rPr>
            <m:t>,</m:t>
          </m:r>
          <m:r>
            <m:t>  </m:t>
          </m:r>
          <m:r>
            <m:rPr>
              <m:scr m:val="double-struck"/>
              <m:sty m:val="p"/>
            </m:rPr>
            <m:t>E</m:t>
          </m:r>
          <m:d>
            <m:dPr>
              <m:begChr m:val="["/>
              <m:sepChr m:val=""/>
              <m:endChr m:val="]"/>
              <m:grow/>
            </m:dPr>
            <m:e>
              <m:sSup>
                <m:e>
                  <m:r>
                    <m:t>R</m:t>
                  </m:r>
                </m:e>
                <m:sup>
                  <m:r>
                    <m:t>2</m:t>
                  </m:r>
                </m:sup>
              </m:sSup>
            </m:e>
          </m:d>
          <m:r>
            <m:t> </m:t>
          </m:r>
          <m:r>
            <m:rPr>
              <m:sty m:val="p"/>
            </m:rPr>
            <m:t>=</m:t>
          </m:r>
          <m:r>
            <m:t> </m:t>
          </m:r>
          <m:f>
            <m:fPr>
              <m:type m:val="bar"/>
            </m:fPr>
            <m:num>
              <m:r>
                <m:t>k</m:t>
              </m:r>
            </m:num>
            <m:den>
              <m:r>
                <m:t>T</m:t>
              </m:r>
              <m:r>
                <m:rPr>
                  <m:sty m:val="p"/>
                </m:rPr>
                <m:t>−</m:t>
              </m:r>
              <m:r>
                <m:t>1</m:t>
              </m:r>
            </m:den>
          </m:f>
          <m:r>
            <m:rPr>
              <m:sty m:val="p"/>
            </m:rPr>
            <m:t>.</m:t>
          </m:r>
        </m:oMath>
      </m:oMathPara>
    </w:p>
    <w:p>
      <w:pPr>
        <w:pStyle w:val="FirstParagraph"/>
      </w:pPr>
      <w:r>
        <w:rPr>
          <w:i/>
          <w:iCs/>
        </w:rPr>
        <w:t xml:space="preserve">Proof.</w:t>
      </w:r>
      <w:r>
        <w:t xml:space="preserve"> </w:t>
      </w:r>
      <w:r>
        <w:t xml:space="preserve">Standard: under the null the explained and residual sums of squares are</w:t>
      </w:r>
      <w:r>
        <w:t xml:space="preserve"> </w:t>
      </w:r>
      <w:r>
        <w:t xml:space="preserve">independent</w:t>
      </w:r>
      <w:r>
        <w:t xml:space="preserve"> </w:t>
      </w:r>
      <m:oMath>
        <m:sSup>
          <m:e>
            <m:r>
              <m:t>χ</m:t>
            </m:r>
          </m:e>
          <m:sup>
            <m:r>
              <m:t>2</m:t>
            </m:r>
          </m:sup>
        </m:sSup>
      </m:oMath>
      <w:r>
        <w:t xml:space="preserve"> </w:t>
      </w:r>
      <w:r>
        <w:t xml:space="preserve">variates with</w:t>
      </w:r>
      <w:r>
        <w:t xml:space="preserve"> </w:t>
      </w:r>
      <m:oMath>
        <m:r>
          <m:t>k</m:t>
        </m:r>
      </m:oMath>
      <w:r>
        <w:t xml:space="preserve"> </w:t>
      </w:r>
      <w:r>
        <w:t xml:space="preserve">and</w:t>
      </w:r>
      <w:r>
        <w:t xml:space="preserve"> </w:t>
      </w:r>
      <m:oMath>
        <m:r>
          <m:t>T</m:t>
        </m:r>
        <m:r>
          <m:rPr>
            <m:sty m:val="p"/>
          </m:rPr>
          <m:t>−</m:t>
        </m:r>
        <m:r>
          <m:t>k</m:t>
        </m:r>
        <m:r>
          <m:rPr>
            <m:sty m:val="p"/>
          </m:rPr>
          <m:t>−</m:t>
        </m:r>
        <m:r>
          <m:t>1</m:t>
        </m:r>
      </m:oMath>
      <w:r>
        <w:t xml:space="preserve"> </w:t>
      </w:r>
      <w:r>
        <w:t xml:space="preserve">degrees of freedom, so their</w:t>
      </w:r>
      <w:r>
        <w:t xml:space="preserve"> </w:t>
      </w:r>
      <w:r>
        <w:t xml:space="preserve">normalised ratio is Beta distributed with the stated parameters, whose mean is</w:t>
      </w:r>
      <w:r>
        <w:t xml:space="preserve"> </w:t>
      </w:r>
      <m:oMath>
        <m:r>
          <m:t>k</m:t>
        </m:r>
        <m:r>
          <m:rPr>
            <m:sty m:val="p"/>
          </m:rPr>
          <m:t>/</m:t>
        </m:r>
        <m:r>
          <m:rPr>
            <m:sty m:val="p"/>
          </m:rPr>
          <m:t>(</m:t>
        </m:r>
        <m:r>
          <m:t>T</m:t>
        </m:r>
        <m:r>
          <m:rPr>
            <m:sty m:val="p"/>
          </m:rPr>
          <m:t>−</m:t>
        </m:r>
        <m:r>
          <m:t>1</m:t>
        </m:r>
        <m:r>
          <m:rPr>
            <m:sty m:val="p"/>
          </m:rPr>
          <m:t>)</m:t>
        </m:r>
      </m:oMath>
      <w:r>
        <w:t xml:space="preserve">.</w:t>
      </w:r>
      <w:r>
        <w:t xml:space="preserve"> </w:t>
      </w:r>
      <m:oMath>
        <m:r>
          <m:rPr>
            <m:sty m:val="p"/>
          </m:rPr>
          <m:t>◼</m:t>
        </m:r>
      </m:oMath>
    </w:p>
    <w:p>
      <w:pPr>
        <w:pStyle w:val="BodyText"/>
      </w:pPr>
      <w:r>
        <w:t xml:space="preserve">With</w:t>
      </w:r>
      <w:r>
        <w:t xml:space="preserve"> </w:t>
      </w:r>
      <m:oMath>
        <m:r>
          <m:t>k</m:t>
        </m:r>
        <m:r>
          <m:rPr>
            <m:sty m:val="p"/>
          </m:rPr>
          <m:t>=</m:t>
        </m:r>
        <m:r>
          <m:t>2</m:t>
        </m:r>
      </m:oMath>
      <w:r>
        <w:t xml:space="preserve"> </w:t>
      </w:r>
      <w:r>
        <w:t xml:space="preserve">and a median of</w:t>
      </w:r>
      <w:r>
        <w:t xml:space="preserve"> </w:t>
      </w:r>
      <m:oMath>
        <m:r>
          <m:t>T</m:t>
        </m:r>
        <m:r>
          <m:rPr>
            <m:sty m:val="p"/>
          </m:rPr>
          <m:t>=</m:t>
        </m:r>
        <m:r>
          <m:t>5</m:t>
        </m:r>
      </m:oMath>
      <w:r>
        <w:t xml:space="preserve"> </w:t>
      </w:r>
      <w:r>
        <w:t xml:space="preserve">usable observations on the split-half windows</w:t>
      </w:r>
      <w:r>
        <w:t xml:space="preserve"> </w:t>
      </w:r>
      <w:r>
        <w:t xml:space="preserve">this benchmark defines,</w:t>
      </w:r>
      <w:r>
        <w:t xml:space="preserve"> </w:t>
      </w:r>
      <m:oMath>
        <m:r>
          <m:rPr>
            <m:scr m:val="double-struck"/>
            <m:sty m:val="p"/>
          </m:rPr>
          <m:t>E</m:t>
        </m:r>
        <m:r>
          <m:rPr>
            <m:sty m:val="p"/>
          </m:rPr>
          <m:t>[</m:t>
        </m:r>
        <m:sSup>
          <m:e>
            <m:r>
              <m:t>R</m:t>
            </m:r>
          </m:e>
          <m:sup>
            <m:r>
              <m:t>2</m:t>
            </m:r>
          </m:sup>
        </m:sSup>
        <m:r>
          <m:rPr>
            <m:sty m:val="p"/>
          </m:rPr>
          <m:t>]</m:t>
        </m:r>
        <m:r>
          <m:rPr>
            <m:sty m:val="p"/>
          </m:rPr>
          <m:t>=</m:t>
        </m:r>
        <m:r>
          <m:t>0.50</m:t>
        </m:r>
      </m:oMath>
      <w:r>
        <w:t xml:space="preserve">. Any reported fit near this value is</w:t>
      </w:r>
      <w:r>
        <w:t xml:space="preserve"> </w:t>
      </w:r>
      <w:r>
        <w:t xml:space="preserve">uninformative. Section 4.2 reports observed medians of</w:t>
      </w:r>
      <w:r>
        <w:t xml:space="preserve"> </w:t>
      </w:r>
      <m:oMath>
        <m:r>
          <m:t>0.66</m:t>
        </m:r>
      </m:oMath>
      <w:r>
        <w:t xml:space="preserve"> </w:t>
      </w:r>
      <w:r>
        <w:t xml:space="preserve">in</w:t>
      </w:r>
      <w:r>
        <w:t xml:space="preserve"> </w:t>
      </w:r>
      <w:r>
        <w:t xml:space="preserve">Vietnam and</w:t>
      </w:r>
      <w:r>
        <w:t xml:space="preserve"> </w:t>
      </w:r>
      <m:oMath>
        <m:r>
          <m:t>0.71</m:t>
        </m:r>
      </m:oMath>
      <w:r>
        <w:t xml:space="preserve"> </w:t>
      </w:r>
      <w:r>
        <w:t xml:space="preserve">in Türkiye.</w:t>
      </w:r>
    </w:p>
    <w:bookmarkEnd w:id="26"/>
    <w:bookmarkStart w:id="27" w:name="X9bb6bed83b1469bc8b8ba3c6f74c1da19415640"/>
    <w:p>
      <w:pPr>
        <w:pStyle w:val="Heading3"/>
      </w:pPr>
      <w:r>
        <w:t xml:space="preserve">Inflation restatement as an exposure-by-post confound</w:t>
      </w:r>
    </w:p>
    <w:p>
      <w:pPr>
        <w:pStyle w:val="FirstParagraph"/>
      </w:pPr>
      <w:r>
        <w:t xml:space="preserve">We now formalise the accounting problem described in</w:t>
      </w:r>
      <w:r>
        <w:t xml:space="preserve"> </w:t>
      </w:r>
      <w:r>
        <w:t xml:space="preserve">Section 3.1. Let</w:t>
      </w:r>
      <w:r>
        <w:t xml:space="preserve"> </w:t>
      </w:r>
      <m:oMath>
        <m:sSub>
          <m:e>
            <m:r>
              <m:t>A</m:t>
            </m:r>
          </m:e>
          <m:sub>
            <m:r>
              <m:t>i</m:t>
            </m:r>
            <m:r>
              <m:t>t</m:t>
            </m:r>
          </m:sub>
        </m:sSub>
      </m:oMath>
      <w:r>
        <w:t xml:space="preserve"> </w:t>
      </w:r>
      <w:r>
        <w:t xml:space="preserve">denote true non-monetary assets and</w:t>
      </w:r>
      <w:r>
        <w:t xml:space="preserve"> </w:t>
      </w:r>
      <m:oMath>
        <m:sSub>
          <m:e>
            <m:r>
              <m:t>D</m:t>
            </m:r>
          </m:e>
          <m:sub>
            <m:r>
              <m:t>i</m:t>
            </m:r>
            <m:r>
              <m:t>t</m:t>
            </m:r>
          </m:sub>
        </m:sSub>
      </m:oMath>
      <w:r>
        <w:t xml:space="preserve"> </w:t>
      </w:r>
      <w:r>
        <w:t xml:space="preserve">monetary debt. Under a general price-level restatement beginning at</w:t>
      </w:r>
      <w:r>
        <w:t xml:space="preserve"> </w:t>
      </w:r>
      <m:oMath>
        <m:sSub>
          <m:e>
            <m:r>
              <m:t>t</m:t>
            </m:r>
          </m:e>
          <m:sub>
            <m:r>
              <m:t>0</m:t>
            </m:r>
          </m:sub>
        </m:sSub>
      </m:oMath>
      <w:r>
        <w:t xml:space="preserve">, non-monetary items are indexed by a factor depending on their</w:t>
      </w:r>
      <w:r>
        <w:t xml:space="preserve"> </w:t>
      </w:r>
      <w:r>
        <w:rPr>
          <w:i/>
          <w:iCs/>
        </w:rPr>
        <w:t xml:space="preserve">vintage</w:t>
      </w:r>
      <w:r>
        <w:t xml:space="preserve">, while monetary items are not:</w:t>
      </w:r>
    </w:p>
    <w:p>
      <w:pPr>
        <w:pStyle w:val="BodyText"/>
      </w:pPr>
      <m:oMathPara>
        <m:oMathParaPr>
          <m:jc m:val="center"/>
        </m:oMathParaPr>
        <m:oMath>
          <m:sSubSup>
            <m:e>
              <m:r>
                <m:t>A</m:t>
              </m:r>
            </m:e>
            <m:sub>
              <m:r>
                <m:t>i</m:t>
              </m:r>
              <m:r>
                <m:t>t</m:t>
              </m:r>
            </m:sub>
            <m:sup>
              <m:r>
                <m:rPr>
                  <m:sty m:val="p"/>
                </m:rPr>
                <m:t>*</m:t>
              </m:r>
            </m:sup>
          </m:sSubSup>
          <m:r>
            <m:t> </m:t>
          </m:r>
          <m:r>
            <m:rPr>
              <m:sty m:val="p"/>
            </m:rPr>
            <m:t>=</m:t>
          </m:r>
          <m:r>
            <m:t> </m:t>
          </m:r>
          <m:sSub>
            <m:e>
              <m:r>
                <m:rPr>
                  <m:sty m:val="p"/>
                </m:rPr>
                <m:t>Φ</m:t>
              </m:r>
            </m:e>
            <m:sub>
              <m:r>
                <m:t>i</m:t>
              </m:r>
              <m:r>
                <m:t>t</m:t>
              </m:r>
            </m:sub>
          </m:sSub>
          <m:r>
            <m:t> </m:t>
          </m:r>
          <m:sSub>
            <m:e>
              <m:r>
                <m:t>A</m:t>
              </m:r>
            </m:e>
            <m:sub>
              <m:r>
                <m:t>i</m:t>
              </m:r>
              <m:r>
                <m:t>t</m:t>
              </m:r>
            </m:sub>
          </m:sSub>
          <m:r>
            <m:rPr>
              <m:sty m:val="p"/>
            </m:rPr>
            <m:t>,</m:t>
          </m:r>
          <m:r>
            <m:t>  </m:t>
          </m:r>
          <m:sSubSup>
            <m:e>
              <m:r>
                <m:t>D</m:t>
              </m:r>
            </m:e>
            <m:sub>
              <m:r>
                <m:t>i</m:t>
              </m:r>
              <m:r>
                <m:t>t</m:t>
              </m:r>
            </m:sub>
            <m:sup>
              <m:r>
                <m:rPr>
                  <m:sty m:val="p"/>
                </m:rPr>
                <m:t>*</m:t>
              </m:r>
            </m:sup>
          </m:sSubSup>
          <m:r>
            <m:t> </m:t>
          </m:r>
          <m:r>
            <m:rPr>
              <m:sty m:val="p"/>
            </m:rPr>
            <m:t>=</m:t>
          </m:r>
          <m:r>
            <m:t> </m:t>
          </m:r>
          <m:sSub>
            <m:e>
              <m:r>
                <m:t>D</m:t>
              </m:r>
            </m:e>
            <m:sub>
              <m:r>
                <m:t>i</m:t>
              </m:r>
              <m:r>
                <m:t>t</m:t>
              </m:r>
            </m:sub>
          </m:sSub>
          <m:r>
            <m:rPr>
              <m:sty m:val="p"/>
            </m:rPr>
            <m:t>,</m:t>
          </m:r>
          <m:r>
            <m:t>  </m:t>
          </m:r>
          <m:r>
            <m:rPr>
              <m:sty m:val="p"/>
            </m:rPr>
            <m:t>log</m:t>
          </m:r>
          <m:sSub>
            <m:e>
              <m:r>
                <m:rPr>
                  <m:sty m:val="p"/>
                </m:rPr>
                <m:t>Φ</m:t>
              </m:r>
            </m:e>
            <m:sub>
              <m:r>
                <m:t>i</m:t>
              </m:r>
              <m:r>
                <m:t>t</m:t>
              </m:r>
            </m:sub>
          </m:sSub>
          <m:r>
            <m:t> </m:t>
          </m:r>
          <m:r>
            <m:rPr>
              <m:sty m:val="p"/>
            </m:rPr>
            <m:t>=</m:t>
          </m:r>
          <m:r>
            <m:t> </m:t>
          </m:r>
          <m:d>
            <m:dPr>
              <m:begChr m:val="("/>
              <m:sepChr m:val=""/>
              <m:endChr m:val=")"/>
              <m:grow/>
            </m:dPr>
            <m:e>
              <m:r>
                <m:t>1</m:t>
              </m:r>
              <m:r>
                <m:rPr>
                  <m:sty m:val="p"/>
                </m:rPr>
                <m:t>+</m:t>
              </m:r>
              <m:sSub>
                <m:e>
                  <m:r>
                    <m:t>δ</m:t>
                  </m:r>
                </m:e>
                <m:sub>
                  <m:r>
                    <m:t>i</m:t>
                  </m:r>
                </m:sub>
              </m:sSub>
            </m:e>
          </m:d>
          <m:r>
            <m:t> </m:t>
          </m:r>
          <m:sSub>
            <m:e>
              <m:r>
                <m:t>c</m:t>
              </m:r>
            </m:e>
            <m:sub>
              <m:r>
                <m:t>t</m:t>
              </m:r>
            </m:sub>
          </m:sSub>
          <m:r>
            <m:t> </m:t>
          </m:r>
          <m:r>
            <m:rPr>
              <m:sty m:val="b"/>
            </m:rPr>
            <m:t>1</m:t>
          </m:r>
          <m:r>
            <m:rPr>
              <m:sty m:val="p"/>
            </m:rPr>
            <m:t>{</m:t>
          </m:r>
          <m:r>
            <m:t>t</m:t>
          </m:r>
          <m:r>
            <m:rPr>
              <m:sty m:val="p"/>
            </m:rPr>
            <m:t>≥</m:t>
          </m:r>
          <m:sSub>
            <m:e>
              <m:r>
                <m:t>t</m:t>
              </m:r>
            </m:e>
            <m:sub>
              <m:r>
                <m:t>0</m:t>
              </m:r>
            </m:sub>
          </m:sSub>
          <m:r>
            <m:rPr>
              <m:sty m:val="p"/>
            </m:rPr>
            <m:t>}</m:t>
          </m:r>
          <m:r>
            <m:rPr>
              <m:sty m:val="p"/>
            </m:rPr>
            <m:t>,</m:t>
          </m:r>
        </m:oMath>
      </m:oMathPara>
    </w:p>
    <w:p>
      <w:pPr>
        <w:pStyle w:val="FirstParagraph"/>
      </w:pPr>
      <w:r>
        <w:t xml:space="preserve">where</w:t>
      </w:r>
      <w:r>
        <w:t xml:space="preserve"> </w:t>
      </w:r>
      <m:oMath>
        <m:sSub>
          <m:e>
            <m:r>
              <m:t>c</m:t>
            </m:r>
          </m:e>
          <m:sub>
            <m:r>
              <m:t>t</m:t>
            </m:r>
          </m:sub>
        </m:sSub>
      </m:oMath>
      <w:r>
        <w:t xml:space="preserve"> </w:t>
      </w:r>
      <w:r>
        <w:t xml:space="preserve">is the common cumulative price-index component and</w:t>
      </w:r>
      <w:r>
        <w:t xml:space="preserve"> </w:t>
      </w:r>
      <m:oMath>
        <m:sSub>
          <m:e>
            <m:r>
              <m:t>δ</m:t>
            </m:r>
          </m:e>
          <m:sub>
            <m:r>
              <m:t>i</m:t>
            </m:r>
          </m:sub>
        </m:sSub>
      </m:oMath>
      <w:r>
        <w:t xml:space="preserve"> </w:t>
      </w:r>
      <w:r>
        <w:t xml:space="preserve">is a</w:t>
      </w:r>
      <w:r>
        <w:t xml:space="preserve"> </w:t>
      </w:r>
      <w:r>
        <w:t xml:space="preserve">firm-specific loading determined by the vintage profile of the firm’s asset</w:t>
      </w:r>
      <w:r>
        <w:t xml:space="preserve"> </w:t>
      </w:r>
      <w:r>
        <w:t xml:space="preserve">base, normalised so that</w:t>
      </w:r>
      <w:r>
        <w:t xml:space="preserve"> </w:t>
      </w:r>
      <m:oMath>
        <m:r>
          <m:rPr>
            <m:scr m:val="double-struck"/>
            <m:sty m:val="p"/>
          </m:rPr>
          <m:t>E</m:t>
        </m:r>
        <m:r>
          <m:rPr>
            <m:sty m:val="p"/>
          </m:rPr>
          <m:t>[</m:t>
        </m:r>
        <m:sSub>
          <m:e>
            <m:r>
              <m:t>δ</m:t>
            </m:r>
          </m:e>
          <m:sub>
            <m:r>
              <m:t>i</m:t>
            </m:r>
          </m:sub>
        </m:sSub>
        <m:r>
          <m:rPr>
            <m:sty m:val="p"/>
          </m:rPr>
          <m:t>]</m:t>
        </m:r>
        <m:r>
          <m:rPr>
            <m:sty m:val="p"/>
          </m:rPr>
          <m:t>=</m:t>
        </m:r>
        <m:r>
          <m:t>0</m:t>
        </m:r>
      </m:oMath>
      <w:r>
        <w:t xml:space="preserve">.</w:t>
      </w:r>
    </w:p>
    <w:p>
      <w:pPr>
        <w:pStyle w:val="BodyText"/>
      </w:pPr>
      <w:r>
        <w:rPr>
          <w:b/>
          <w:bCs/>
        </w:rPr>
        <w:t xml:space="preserve">Proposition 7 (Non-absorbability).</w:t>
      </w:r>
      <w:r>
        <w:t xml:space="preserve"> </w:t>
      </w:r>
      <w:r>
        <w:t xml:space="preserve">Let reported log leverage be</w:t>
      </w:r>
      <w:r>
        <w:t xml:space="preserve"> </w:t>
      </w:r>
      <m:oMath>
        <m:sSubSup>
          <m:e>
            <m:r>
              <m:t>ℓ</m:t>
            </m:r>
          </m:e>
          <m:sub>
            <m:r>
              <m:t>i</m:t>
            </m:r>
            <m:r>
              <m:t>t</m:t>
            </m:r>
          </m:sub>
          <m:sup>
            <m:r>
              <m:rPr>
                <m:sty m:val="p"/>
              </m:rPr>
              <m:t>*</m:t>
            </m:r>
          </m:sup>
        </m:sSubSup>
        <m:r>
          <m:rPr>
            <m:sty m:val="p"/>
          </m:rPr>
          <m:t>=</m:t>
        </m:r>
        <m:r>
          <m:rPr>
            <m:sty m:val="p"/>
          </m:rPr>
          <m:t>log</m:t>
        </m:r>
        <m:sSubSup>
          <m:e>
            <m:r>
              <m:t>D</m:t>
            </m:r>
          </m:e>
          <m:sub>
            <m:r>
              <m:t>i</m:t>
            </m:r>
            <m:r>
              <m:t>t</m:t>
            </m:r>
          </m:sub>
          <m:sup>
            <m:r>
              <m:rPr>
                <m:sty m:val="p"/>
              </m:rPr>
              <m:t>*</m:t>
            </m:r>
          </m:sup>
        </m:sSubSup>
        <m:r>
          <m:rPr>
            <m:sty m:val="p"/>
          </m:rPr>
          <m:t>−</m:t>
        </m:r>
        <m:r>
          <m:rPr>
            <m:sty m:val="p"/>
          </m:rPr>
          <m:t>log</m:t>
        </m:r>
        <m:sSubSup>
          <m:e>
            <m:r>
              <m:t>A</m:t>
            </m:r>
          </m:e>
          <m:sub>
            <m:r>
              <m:t>i</m:t>
            </m:r>
            <m:r>
              <m:t>t</m:t>
            </m:r>
          </m:sub>
          <m:sup>
            <m:r>
              <m:rPr>
                <m:sty m:val="p"/>
              </m:rPr>
              <m:t>*</m:t>
            </m:r>
          </m:sup>
        </m:sSubSup>
      </m:oMath>
      <w:r>
        <w:t xml:space="preserve"> </w:t>
      </w:r>
      <w:r>
        <w:t xml:space="preserve">and</w:t>
      </w:r>
      <w:r>
        <w:t xml:space="preserve"> </w:t>
      </w:r>
      <w:r>
        <w:t xml:space="preserve">consider the two-way within regression of</w:t>
      </w:r>
      <w:r>
        <w:t xml:space="preserve"> </w:t>
      </w:r>
      <m:oMath>
        <m:sSubSup>
          <m:e>
            <m:r>
              <m:t>ℓ</m:t>
            </m:r>
          </m:e>
          <m:sub>
            <m:r>
              <m:t>i</m:t>
            </m:r>
            <m:r>
              <m:t>t</m:t>
            </m:r>
          </m:sub>
          <m:sup>
            <m:r>
              <m:rPr>
                <m:sty m:val="p"/>
              </m:rPr>
              <m:t>*</m:t>
            </m:r>
          </m:sup>
        </m:sSubSup>
      </m:oMath>
      <w:r>
        <w:t xml:space="preserve"> </w:t>
      </w:r>
      <w:r>
        <w:t xml:space="preserve">on</w:t>
      </w:r>
      <w:r>
        <w:t xml:space="preserve"> </w:t>
      </w:r>
      <m:oMath>
        <m:sSub>
          <m:e>
            <m:r>
              <m:t>θ</m:t>
            </m:r>
          </m:e>
          <m:sub>
            <m:r>
              <m:t>i</m:t>
            </m:r>
          </m:sub>
        </m:sSub>
        <m:sSub>
          <m:e>
            <m:r>
              <m:t>P</m:t>
            </m:r>
          </m:e>
          <m:sub>
            <m:r>
              <m:t>t</m:t>
            </m:r>
          </m:sub>
        </m:sSub>
      </m:oMath>
      <w:r>
        <w:t xml:space="preserve"> </w:t>
      </w:r>
      <w:r>
        <w:t xml:space="preserve">with</w:t>
      </w:r>
      <w:r>
        <w:t xml:space="preserve"> </w:t>
      </w:r>
      <m:oMath>
        <m:sSub>
          <m:e>
            <m:r>
              <m:t>P</m:t>
            </m:r>
          </m:e>
          <m:sub>
            <m:r>
              <m:t>t</m:t>
            </m:r>
          </m:sub>
        </m:sSub>
        <m:r>
          <m:rPr>
            <m:sty m:val="p"/>
          </m:rPr>
          <m:t>=</m:t>
        </m:r>
        <m:r>
          <m:rPr>
            <m:sty m:val="b"/>
          </m:rPr>
          <m:t>1</m:t>
        </m:r>
        <m:r>
          <m:rPr>
            <m:sty m:val="p"/>
          </m:rPr>
          <m:t>{</m:t>
        </m:r>
        <m:r>
          <m:t>t</m:t>
        </m:r>
        <m:r>
          <m:rPr>
            <m:sty m:val="p"/>
          </m:rPr>
          <m:t>≥</m:t>
        </m:r>
        <m:sSub>
          <m:e>
            <m:r>
              <m:t>t</m:t>
            </m:r>
          </m:e>
          <m:sub>
            <m:r>
              <m:t>0</m:t>
            </m:r>
          </m:sub>
        </m:sSub>
        <m:r>
          <m:rPr>
            <m:sty m:val="p"/>
          </m:rPr>
          <m:t>}</m:t>
        </m:r>
      </m:oMath>
      <w:r>
        <w:t xml:space="preserve">. Then</w:t>
      </w:r>
    </w:p>
    <w:p>
      <w:pPr>
        <w:pStyle w:val="BodyText"/>
      </w:pPr>
      <m:oMathPara>
        <m:oMathParaPr>
          <m:jc m:val="center"/>
        </m:oMathParaPr>
        <m:oMath>
          <m:r>
            <m:rPr>
              <m:sty m:val="p"/>
            </m:rPr>
            <m:t>plim</m:t>
          </m:r>
          <m:r>
            <m:t> </m:t>
          </m:r>
          <m:acc>
            <m:accPr>
              <m:chr m:val="̂"/>
            </m:accPr>
            <m:e>
              <m:r>
                <m:t>β</m:t>
              </m:r>
            </m:e>
          </m:acc>
          <m:r>
            <m:t> </m:t>
          </m:r>
          <m:r>
            <m:rPr>
              <m:sty m:val="p"/>
            </m:rPr>
            <m:t>=</m:t>
          </m:r>
          <m:r>
            <m:t> </m:t>
          </m:r>
          <m:r>
            <m:t>β</m:t>
          </m:r>
          <m:r>
            <m:t> </m:t>
          </m:r>
          <m:r>
            <m:rPr>
              <m:sty m:val="p"/>
            </m:rPr>
            <m:t>−</m:t>
          </m:r>
          <m:r>
            <m:t> </m:t>
          </m:r>
          <m:acc>
            <m:accPr>
              <m:chr m:val="‾"/>
            </m:accPr>
            <m:e>
              <m:r>
                <m:t>c</m:t>
              </m:r>
            </m:e>
          </m:acc>
          <m:r>
            <m:t> </m:t>
          </m:r>
          <m:f>
            <m:fPr>
              <m:type m:val="bar"/>
            </m:fPr>
            <m:num>
              <m:r>
                <m:rPr>
                  <m:sty m:val="p"/>
                </m:rPr>
                <m:t>Cov</m:t>
              </m:r>
              <m:r>
                <m:rPr>
                  <m:sty m:val="p"/>
                </m:rPr>
                <m:t>(</m:t>
              </m:r>
              <m:sSub>
                <m:e>
                  <m:r>
                    <m:t>θ</m:t>
                  </m:r>
                </m:e>
                <m:sub>
                  <m:r>
                    <m:t>i</m:t>
                  </m:r>
                </m:sub>
              </m:sSub>
              <m:r>
                <m:rPr>
                  <m:sty m:val="p"/>
                </m:rPr>
                <m:t>,</m:t>
              </m:r>
              <m:sSub>
                <m:e>
                  <m:r>
                    <m:t>δ</m:t>
                  </m:r>
                </m:e>
                <m:sub>
                  <m:r>
                    <m:t>i</m:t>
                  </m:r>
                </m:sub>
              </m:sSub>
              <m:r>
                <m:rPr>
                  <m:sty m:val="p"/>
                </m:rPr>
                <m:t>)</m:t>
              </m:r>
            </m:num>
            <m:den>
              <m:r>
                <m:rPr>
                  <m:sty m:val="p"/>
                </m:rPr>
                <m:t>Var</m:t>
              </m:r>
              <m:r>
                <m:rPr>
                  <m:sty m:val="p"/>
                </m:rPr>
                <m:t>(</m:t>
              </m:r>
              <m:sSub>
                <m:e>
                  <m:r>
                    <m:t>θ</m:t>
                  </m:r>
                </m:e>
                <m:sub>
                  <m:r>
                    <m:t>i</m:t>
                  </m:r>
                </m:sub>
              </m:sSub>
              <m:r>
                <m:rPr>
                  <m:sty m:val="p"/>
                </m:rPr>
                <m:t>)</m:t>
              </m:r>
            </m:den>
          </m:f>
          <m:r>
            <m:rPr>
              <m:sty m:val="p"/>
            </m:rPr>
            <m:t>,</m:t>
          </m:r>
          <m:r>
            <m:t>  </m:t>
          </m:r>
          <m:acc>
            <m:accPr>
              <m:chr m:val="‾"/>
            </m:accPr>
            <m:e>
              <m:r>
                <m:t>c</m:t>
              </m:r>
            </m:e>
          </m:acc>
          <m:r>
            <m:rPr>
              <m:sty m:val="p"/>
            </m:rPr>
            <m:t>≡</m:t>
          </m:r>
          <m:r>
            <m:rPr>
              <m:scr m:val="double-struck"/>
              <m:sty m:val="p"/>
            </m:rPr>
            <m:t>E</m:t>
          </m:r>
          <m:d>
            <m:dPr>
              <m:begChr m:val="["/>
              <m:sepChr m:val=""/>
              <m:endChr m:val="]"/>
              <m:grow/>
            </m:dPr>
            <m:e>
              <m:sSub>
                <m:e>
                  <m:r>
                    <m:t>c</m:t>
                  </m:r>
                </m:e>
                <m:sub>
                  <m:r>
                    <m:t>t</m:t>
                  </m:r>
                </m:sub>
              </m:sSub>
              <m:r>
                <m:rPr>
                  <m:sty m:val="p"/>
                </m:rPr>
                <m:t>∣</m:t>
              </m:r>
              <m:r>
                <m:t>t</m:t>
              </m:r>
              <m:r>
                <m:rPr>
                  <m:sty m:val="p"/>
                </m:rPr>
                <m:t>≥</m:t>
              </m:r>
              <m:sSub>
                <m:e>
                  <m:r>
                    <m:t>t</m:t>
                  </m:r>
                </m:e>
                <m:sub>
                  <m:r>
                    <m:t>0</m:t>
                  </m:r>
                </m:sub>
              </m:sSub>
            </m:e>
          </m:d>
          <m:r>
            <m:rPr>
              <m:sty m:val="p"/>
            </m:rPr>
            <m:t>,</m:t>
          </m:r>
        </m:oMath>
      </m:oMathPara>
    </w:p>
    <w:p>
      <w:pPr>
        <w:pStyle w:val="FirstParagraph"/>
      </w:pPr>
      <w:r>
        <w:t xml:space="preserve">so the estimator is inconsistent whenever</w:t>
      </w:r>
      <w:r>
        <w:t xml:space="preserve"> </w:t>
      </w:r>
      <m:oMath>
        <m:r>
          <m:rPr>
            <m:sty m:val="p"/>
          </m:rPr>
          <m:t>Cov</m:t>
        </m:r>
        <m:r>
          <m:rPr>
            <m:sty m:val="p"/>
          </m:rPr>
          <m:t>(</m:t>
        </m:r>
        <m:sSub>
          <m:e>
            <m:r>
              <m:t>θ</m:t>
            </m:r>
          </m:e>
          <m:sub>
            <m:r>
              <m:t>i</m:t>
            </m:r>
          </m:sub>
        </m:sSub>
        <m:r>
          <m:rPr>
            <m:sty m:val="p"/>
          </m:rPr>
          <m:t>,</m:t>
        </m:r>
        <m:sSub>
          <m:e>
            <m:r>
              <m:t>δ</m:t>
            </m:r>
          </m:e>
          <m:sub>
            <m:r>
              <m:t>i</m:t>
            </m:r>
          </m:sub>
        </m:sSub>
        <m:r>
          <m:rPr>
            <m:sty m:val="p"/>
          </m:rPr>
          <m:t>)</m:t>
        </m:r>
        <m:r>
          <m:rPr>
            <m:sty m:val="p"/>
          </m:rPr>
          <m:t>≠</m:t>
        </m:r>
        <m:r>
          <m:t>0</m:t>
        </m:r>
      </m:oMath>
      <w:r>
        <w:t xml:space="preserve">, and</w:t>
      </w:r>
      <w:r>
        <w:t xml:space="preserve"> </w:t>
      </w:r>
      <w:r>
        <w:t xml:space="preserve">the bias is not removed by firm or year effects.</w:t>
      </w:r>
    </w:p>
    <w:p>
      <w:pPr>
        <w:pStyle w:val="BodyText"/>
      </w:pPr>
      <w:r>
        <w:rPr>
          <w:i/>
          <w:iCs/>
        </w:rPr>
        <w:t xml:space="preserve">Proof.</w:t>
      </w:r>
      <w:r>
        <w:t xml:space="preserve"> </w:t>
      </w:r>
      <w:r>
        <w:t xml:space="preserve">Substituting (13),</w:t>
      </w:r>
      <w:r>
        <w:t xml:space="preserve"> </w:t>
      </w:r>
      <m:oMath>
        <m:sSubSup>
          <m:e>
            <m:r>
              <m:t>ℓ</m:t>
            </m:r>
          </m:e>
          <m:sub>
            <m:r>
              <m:t>i</m:t>
            </m:r>
            <m:r>
              <m:t>t</m:t>
            </m:r>
          </m:sub>
          <m:sup>
            <m:r>
              <m:rPr>
                <m:sty m:val="p"/>
              </m:rPr>
              <m:t>*</m:t>
            </m:r>
          </m:sup>
        </m:sSubSup>
        <m:r>
          <m:rPr>
            <m:sty m:val="p"/>
          </m:rPr>
          <m:t>=</m:t>
        </m:r>
        <m:sSub>
          <m:e>
            <m:r>
              <m:t>ℓ</m:t>
            </m:r>
          </m:e>
          <m:sub>
            <m:r>
              <m:t>i</m:t>
            </m:r>
            <m:r>
              <m:t>t</m:t>
            </m:r>
          </m:sub>
        </m:sSub>
        <m:r>
          <m:rPr>
            <m:sty m:val="p"/>
          </m:rPr>
          <m:t>−</m:t>
        </m:r>
        <m:sSub>
          <m:e>
            <m:r>
              <m:t>c</m:t>
            </m:r>
          </m:e>
          <m:sub>
            <m:r>
              <m:t>t</m:t>
            </m:r>
          </m:sub>
        </m:sSub>
        <m:r>
          <m:rPr>
            <m:sty m:val="b"/>
          </m:rPr>
          <m:t>1</m:t>
        </m:r>
        <m:r>
          <m:rPr>
            <m:sty m:val="p"/>
          </m:rPr>
          <m:t>{</m:t>
        </m:r>
        <m:r>
          <m:t>t</m:t>
        </m:r>
        <m:r>
          <m:rPr>
            <m:sty m:val="p"/>
          </m:rPr>
          <m:t>≥</m:t>
        </m:r>
        <m:sSub>
          <m:e>
            <m:r>
              <m:t>t</m:t>
            </m:r>
          </m:e>
          <m:sub>
            <m:r>
              <m:t>0</m:t>
            </m:r>
          </m:sub>
        </m:sSub>
        <m:r>
          <m:rPr>
            <m:sty m:val="p"/>
          </m:rPr>
          <m:t>}</m:t>
        </m:r>
        <m:r>
          <m:rPr>
            <m:sty m:val="p"/>
          </m:rPr>
          <m:t>−</m:t>
        </m:r>
        <m:sSub>
          <m:e>
            <m:r>
              <m:t>δ</m:t>
            </m:r>
          </m:e>
          <m:sub>
            <m:r>
              <m:t>i</m:t>
            </m:r>
          </m:sub>
        </m:sSub>
        <m:sSub>
          <m:e>
            <m:r>
              <m:t>c</m:t>
            </m:r>
          </m:e>
          <m:sub>
            <m:r>
              <m:t>t</m:t>
            </m:r>
          </m:sub>
        </m:sSub>
        <m:r>
          <m:rPr>
            <m:sty m:val="b"/>
          </m:rPr>
          <m:t>1</m:t>
        </m:r>
        <m:r>
          <m:rPr>
            <m:sty m:val="p"/>
          </m:rPr>
          <m:t>{</m:t>
        </m:r>
        <m:r>
          <m:t>t</m:t>
        </m:r>
        <m:r>
          <m:rPr>
            <m:sty m:val="p"/>
          </m:rPr>
          <m:t>≥</m:t>
        </m:r>
        <m:sSub>
          <m:e>
            <m:r>
              <m:t>t</m:t>
            </m:r>
          </m:e>
          <m:sub>
            <m:r>
              <m:t>0</m:t>
            </m:r>
          </m:sub>
        </m:sSub>
        <m:r>
          <m:rPr>
            <m:sty m:val="p"/>
          </m:rPr>
          <m:t>}</m:t>
        </m:r>
      </m:oMath>
      <w:r>
        <w:t xml:space="preserve">. The</w:t>
      </w:r>
      <w:r>
        <w:t xml:space="preserve"> </w:t>
      </w:r>
      <w:r>
        <w:t xml:space="preserve">second term varies only with</w:t>
      </w:r>
      <w:r>
        <w:t xml:space="preserve"> </w:t>
      </w:r>
      <m:oMath>
        <m:r>
          <m:t>t</m:t>
        </m:r>
      </m:oMath>
      <w:r>
        <w:t xml:space="preserve"> </w:t>
      </w:r>
      <w:r>
        <w:t xml:space="preserve">and is absorbed by</w:t>
      </w:r>
      <w:r>
        <w:t xml:space="preserve"> </w:t>
      </w:r>
      <m:oMath>
        <m:sSub>
          <m:e>
            <m:r>
              <m:t>λ</m:t>
            </m:r>
          </m:e>
          <m:sub>
            <m:r>
              <m:t>t</m:t>
            </m:r>
          </m:sub>
        </m:sSub>
      </m:oMath>
      <w:r>
        <w:t xml:space="preserve">. The third term</w:t>
      </w:r>
      <w:r>
        <w:t xml:space="preserve"> </w:t>
      </w:r>
      <w:r>
        <w:t xml:space="preserve">varies across firms and only after</w:t>
      </w:r>
      <w:r>
        <w:t xml:space="preserve"> </w:t>
      </w:r>
      <m:oMath>
        <m:sSub>
          <m:e>
            <m:r>
              <m:t>t</m:t>
            </m:r>
          </m:e>
          <m:sub>
            <m:r>
              <m:t>0</m:t>
            </m:r>
          </m:sub>
        </m:sSub>
      </m:oMath>
      <w:r>
        <w:t xml:space="preserve">; it is therefore collinear with the</w:t>
      </w:r>
      <w:r>
        <w:t xml:space="preserve"> </w:t>
      </w:r>
      <w:r>
        <w:t xml:space="preserve">regressor</w:t>
      </w:r>
      <w:r>
        <w:t xml:space="preserve"> </w:t>
      </w:r>
      <m:oMath>
        <m:sSub>
          <m:e>
            <m:r>
              <m:t>θ</m:t>
            </m:r>
          </m:e>
          <m:sub>
            <m:r>
              <m:t>i</m:t>
            </m:r>
          </m:sub>
        </m:sSub>
        <m:sSub>
          <m:e>
            <m:r>
              <m:t>P</m:t>
            </m:r>
          </m:e>
          <m:sub>
            <m:r>
              <m:t>t</m:t>
            </m:r>
          </m:sub>
        </m:sSub>
      </m:oMath>
      <w:r>
        <w:t xml:space="preserve"> </w:t>
      </w:r>
      <w:r>
        <w:t xml:space="preserve">to the extent that</w:t>
      </w:r>
      <w:r>
        <w:t xml:space="preserve"> </w:t>
      </w:r>
      <m:oMath>
        <m:sSub>
          <m:e>
            <m:r>
              <m:t>δ</m:t>
            </m:r>
          </m:e>
          <m:sub>
            <m:r>
              <m:t>i</m:t>
            </m:r>
          </m:sub>
        </m:sSub>
      </m:oMath>
      <w:r>
        <w:t xml:space="preserve"> </w:t>
      </w:r>
      <w:r>
        <w:t xml:space="preserve">covaries with</w:t>
      </w:r>
      <w:r>
        <w:t xml:space="preserve"> </w:t>
      </w:r>
      <m:oMath>
        <m:sSub>
          <m:e>
            <m:r>
              <m:t>θ</m:t>
            </m:r>
          </m:e>
          <m:sub>
            <m:r>
              <m:t>i</m:t>
            </m:r>
          </m:sub>
        </m:sSub>
      </m:oMath>
      <w:r>
        <w:t xml:space="preserve">,</w:t>
      </w:r>
      <w:r>
        <w:t xml:space="preserve"> </w:t>
      </w:r>
      <w:r>
        <w:t xml:space="preserve">and projecting it onto</w:t>
      </w:r>
      <w:r>
        <w:t xml:space="preserve"> </w:t>
      </w:r>
      <m:oMath>
        <m:sSub>
          <m:e>
            <m:r>
              <m:t>θ</m:t>
            </m:r>
          </m:e>
          <m:sub>
            <m:r>
              <m:t>i</m:t>
            </m:r>
          </m:sub>
        </m:sSub>
        <m:sSub>
          <m:e>
            <m:r>
              <m:t>P</m:t>
            </m:r>
          </m:e>
          <m:sub>
            <m:r>
              <m:t>t</m:t>
            </m:r>
          </m:sub>
        </m:sSub>
      </m:oMath>
      <w:r>
        <w:t xml:space="preserve"> </w:t>
      </w:r>
      <w:r>
        <w:t xml:space="preserve">yields the stated bias. Firm effects</w:t>
      </w:r>
      <w:r>
        <w:t xml:space="preserve"> </w:t>
      </w:r>
      <m:oMath>
        <m:sSub>
          <m:e>
            <m:r>
              <m:t>α</m:t>
            </m:r>
          </m:e>
          <m:sub>
            <m:r>
              <m:t>i</m:t>
            </m:r>
          </m:sub>
        </m:sSub>
      </m:oMath>
      <w:r>
        <w:t xml:space="preserve"> </w:t>
      </w:r>
      <w:r>
        <w:t xml:space="preserve">cannot absorb it because it is zero before</w:t>
      </w:r>
      <w:r>
        <w:t xml:space="preserve"> </w:t>
      </w:r>
      <m:oMath>
        <m:sSub>
          <m:e>
            <m:r>
              <m:t>t</m:t>
            </m:r>
          </m:e>
          <m:sub>
            <m:r>
              <m:t>0</m:t>
            </m:r>
          </m:sub>
        </m:sSub>
      </m:oMath>
      <w:r>
        <w:t xml:space="preserve"> </w:t>
      </w:r>
      <w:r>
        <w:t xml:space="preserve">and non-zero after.</w:t>
      </w:r>
      <w:r>
        <w:t xml:space="preserve"> </w:t>
      </w:r>
      <m:oMath>
        <m:r>
          <m:rPr>
            <m:sty m:val="p"/>
          </m:rPr>
          <m:t>◼</m:t>
        </m:r>
      </m:oMath>
    </w:p>
    <w:p>
      <w:pPr>
        <w:pStyle w:val="BodyText"/>
      </w:pPr>
      <w:r>
        <w:t xml:space="preserve">Proposition 7 is the paper’s central identification result and</w:t>
      </w:r>
      <w:r>
        <w:t xml:space="preserve"> </w:t>
      </w:r>
      <w:r>
        <w:t xml:space="preserve">the reason we regard the Turkish post-2022 window as hazardous. The condition</w:t>
      </w:r>
      <w:r>
        <w:t xml:space="preserve"> </w:t>
      </w:r>
      <m:oMath>
        <m:r>
          <m:rPr>
            <m:sty m:val="p"/>
          </m:rPr>
          <m:t>Cov</m:t>
        </m:r>
        <m:r>
          <m:rPr>
            <m:sty m:val="p"/>
          </m:rPr>
          <m:t>(</m:t>
        </m:r>
        <m:sSub>
          <m:e>
            <m:r>
              <m:t>θ</m:t>
            </m:r>
          </m:e>
          <m:sub>
            <m:r>
              <m:t>i</m:t>
            </m:r>
          </m:sub>
        </m:sSub>
        <m:r>
          <m:rPr>
            <m:sty m:val="p"/>
          </m:rPr>
          <m:t>,</m:t>
        </m:r>
        <m:sSub>
          <m:e>
            <m:r>
              <m:t>δ</m:t>
            </m:r>
          </m:e>
          <m:sub>
            <m:r>
              <m:t>i</m:t>
            </m:r>
          </m:sub>
        </m:sSub>
        <m:r>
          <m:rPr>
            <m:sty m:val="p"/>
          </m:rPr>
          <m:t>)</m:t>
        </m:r>
        <m:r>
          <m:rPr>
            <m:sty m:val="p"/>
          </m:rPr>
          <m:t>≠</m:t>
        </m:r>
        <m:r>
          <m:t>0</m:t>
        </m:r>
      </m:oMath>
      <w:r>
        <w:t xml:space="preserve"> </w:t>
      </w:r>
      <w:r>
        <w:t xml:space="preserve">is not a knife-edge case:</w:t>
      </w:r>
      <w:r>
        <w:t xml:space="preserve"> </w:t>
      </w:r>
      <m:oMath>
        <m:sSub>
          <m:e>
            <m:r>
              <m:t>δ</m:t>
            </m:r>
          </m:e>
          <m:sub>
            <m:r>
              <m:t>i</m:t>
            </m:r>
          </m:sub>
        </m:sSub>
      </m:oMath>
      <w:r>
        <w:t xml:space="preserve"> </w:t>
      </w:r>
      <w:r>
        <w:t xml:space="preserve">depends on</w:t>
      </w:r>
      <w:r>
        <w:t xml:space="preserve"> </w:t>
      </w:r>
      <w:r>
        <w:t xml:space="preserve">asset vintage, which correlates with capital intensity, sector and firm age,</w:t>
      </w:r>
      <w:r>
        <w:t xml:space="preserve"> </w:t>
      </w:r>
      <w:r>
        <w:t xml:space="preserve">each of which correlates with financing structure and hence with any</w:t>
      </w:r>
      <w:r>
        <w:t xml:space="preserve"> </w:t>
      </w:r>
      <w:r>
        <w:t xml:space="preserve">balance-sheet exposure measure. The usual defence—country-by-year fixed</w:t>
      </w:r>
      <w:r>
        <w:t xml:space="preserve"> </w:t>
      </w:r>
      <w:r>
        <w:t xml:space="preserve">effects—absorbs</w:t>
      </w:r>
      <w:r>
        <w:t xml:space="preserve"> </w:t>
      </w:r>
      <m:oMath>
        <m:sSub>
          <m:e>
            <m:r>
              <m:t>c</m:t>
            </m:r>
          </m:e>
          <m:sub>
            <m:r>
              <m:t>t</m:t>
            </m:r>
          </m:sub>
        </m:sSub>
      </m:oMath>
      <w:r>
        <w:t xml:space="preserve"> </w:t>
      </w:r>
      <w:r>
        <w:t xml:space="preserve">exactly and</w:t>
      </w:r>
      <w:r>
        <w:t xml:space="preserve"> </w:t>
      </w:r>
      <m:oMath>
        <m:sSub>
          <m:e>
            <m:r>
              <m:t>δ</m:t>
            </m:r>
          </m:e>
          <m:sub>
            <m:r>
              <m:t>i</m:t>
            </m:r>
          </m:sub>
        </m:sSub>
        <m:sSub>
          <m:e>
            <m:r>
              <m:t>c</m:t>
            </m:r>
          </m:e>
          <m:sub>
            <m:r>
              <m:t>t</m:t>
            </m:r>
          </m:sub>
        </m:sSub>
      </m:oMath>
      <w:r>
        <w:t xml:space="preserve"> </w:t>
      </w:r>
      <w:r>
        <w:t xml:space="preserve">not at all.</w:t>
      </w:r>
    </w:p>
    <w:bookmarkEnd w:id="27"/>
    <w:bookmarkStart w:id="28" w:name="flow-ratios-are-invariant"/>
    <w:p>
      <w:pPr>
        <w:pStyle w:val="Heading3"/>
      </w:pPr>
      <w:r>
        <w:t xml:space="preserve">Flow ratios are invariant</w:t>
      </w:r>
    </w:p>
    <w:p>
      <w:pPr>
        <w:pStyle w:val="FirstParagraph"/>
      </w:pPr>
      <w:r>
        <w:t xml:space="preserve">The corresponding positive result identifies what survives.</w:t>
      </w:r>
    </w:p>
    <w:p>
      <w:pPr>
        <w:pStyle w:val="BodyText"/>
      </w:pPr>
      <w:r>
        <w:rPr>
          <w:b/>
          <w:bCs/>
        </w:rPr>
        <w:t xml:space="preserve">Proposition 8 (Flow invariance).</w:t>
      </w:r>
      <w:r>
        <w:t xml:space="preserve"> </w:t>
      </w:r>
      <w:r>
        <w:t xml:space="preserve">Suppose income-statement items accruing within period</w:t>
      </w:r>
      <w:r>
        <w:t xml:space="preserve"> </w:t>
      </w:r>
      <m:oMath>
        <m:r>
          <m:t>t</m:t>
        </m:r>
      </m:oMath>
      <w:r>
        <w:t xml:space="preserve"> </w:t>
      </w:r>
      <w:r>
        <w:t xml:space="preserve">are restated by a</w:t>
      </w:r>
      <w:r>
        <w:t xml:space="preserve"> </w:t>
      </w:r>
      <w:r>
        <w:t xml:space="preserve">common factor</w:t>
      </w:r>
      <w:r>
        <w:t xml:space="preserve"> </w:t>
      </w:r>
      <m:oMath>
        <m:sSub>
          <m:e>
            <m:r>
              <m:t>ψ</m:t>
            </m:r>
          </m:e>
          <m:sub>
            <m:r>
              <m:t>t</m:t>
            </m:r>
          </m:sub>
        </m:sSub>
      </m:oMath>
      <w:r>
        <w:t xml:space="preserve"> </w:t>
      </w:r>
      <w:r>
        <w:t xml:space="preserve">that does not depend on</w:t>
      </w:r>
      <w:r>
        <w:t xml:space="preserve"> </w:t>
      </w:r>
      <m:oMath>
        <m:r>
          <m:t>i</m:t>
        </m:r>
      </m:oMath>
      <w:r>
        <w:t xml:space="preserve">. Then for any two flows</w:t>
      </w:r>
      <w:r>
        <w:t xml:space="preserve"> </w:t>
      </w:r>
      <m:oMath>
        <m:sSub>
          <m:e>
            <m:r>
              <m:t>X</m:t>
            </m:r>
          </m:e>
          <m:sub>
            <m:r>
              <m:t>i</m:t>
            </m:r>
            <m:r>
              <m:t>t</m:t>
            </m:r>
          </m:sub>
        </m:sSub>
        <m:r>
          <m:rPr>
            <m:sty m:val="p"/>
          </m:rPr>
          <m:t>,</m:t>
        </m:r>
        <m:sSub>
          <m:e>
            <m:r>
              <m:t>Z</m:t>
            </m:r>
          </m:e>
          <m:sub>
            <m:r>
              <m:t>i</m:t>
            </m:r>
            <m:r>
              <m:t>t</m:t>
            </m:r>
          </m:sub>
        </m:sSub>
      </m:oMath>
      <w:r>
        <w:t xml:space="preserve"> </w:t>
      </w:r>
      <w:r>
        <w:t xml:space="preserve">the reported ratio is exactly invariant,</w:t>
      </w:r>
      <w:r>
        <w:t xml:space="preserve"> </w:t>
      </w:r>
      <m:oMath>
        <m:sSubSup>
          <m:e>
            <m:r>
              <m:t>X</m:t>
            </m:r>
          </m:e>
          <m:sub>
            <m:r>
              <m:t>i</m:t>
            </m:r>
            <m:r>
              <m:t>t</m:t>
            </m:r>
          </m:sub>
          <m:sup>
            <m:r>
              <m:rPr>
                <m:sty m:val="p"/>
              </m:rPr>
              <m:t>*</m:t>
            </m:r>
          </m:sup>
        </m:sSubSup>
        <m:r>
          <m:rPr>
            <m:sty m:val="p"/>
          </m:rPr>
          <m:t>/</m:t>
        </m:r>
        <m:sSubSup>
          <m:e>
            <m:r>
              <m:t>Z</m:t>
            </m:r>
          </m:e>
          <m:sub>
            <m:r>
              <m:t>i</m:t>
            </m:r>
            <m:r>
              <m:t>t</m:t>
            </m:r>
          </m:sub>
          <m:sup>
            <m:r>
              <m:rPr>
                <m:sty m:val="p"/>
              </m:rPr>
              <m:t>*</m:t>
            </m:r>
          </m:sup>
        </m:sSubSup>
        <m:r>
          <m:rPr>
            <m:sty m:val="p"/>
          </m:rPr>
          <m:t>=</m:t>
        </m:r>
        <m:sSub>
          <m:e>
            <m:r>
              <m:t>X</m:t>
            </m:r>
          </m:e>
          <m:sub>
            <m:r>
              <m:t>i</m:t>
            </m:r>
            <m:r>
              <m:t>t</m:t>
            </m:r>
          </m:sub>
        </m:sSub>
        <m:r>
          <m:rPr>
            <m:sty m:val="p"/>
          </m:rPr>
          <m:t>/</m:t>
        </m:r>
        <m:sSub>
          <m:e>
            <m:r>
              <m:t>Z</m:t>
            </m:r>
          </m:e>
          <m:sub>
            <m:r>
              <m:t>i</m:t>
            </m:r>
            <m:r>
              <m:t>t</m:t>
            </m:r>
          </m:sub>
        </m:sSub>
      </m:oMath>
      <w:r>
        <w:t xml:space="preserve">; and for the implied borrowing cost</w:t>
      </w:r>
      <w:r>
        <w:t xml:space="preserve"> </w:t>
      </w:r>
      <m:oMath>
        <m:sSub>
          <m:e>
            <m:r>
              <m:t>r</m:t>
            </m:r>
          </m:e>
          <m:sub>
            <m:r>
              <m:t>i</m:t>
            </m:r>
            <m:r>
              <m:t>t</m:t>
            </m:r>
          </m:sub>
        </m:sSub>
        <m:r>
          <m:rPr>
            <m:sty m:val="p"/>
          </m:rPr>
          <m:t>=</m:t>
        </m:r>
        <m:r>
          <m:rPr>
            <m:sty m:val="p"/>
          </m:rPr>
          <m:t>|</m:t>
        </m:r>
        <m:sSub>
          <m:e>
            <m:r>
              <m:rPr>
                <m:sty m:val="p"/>
              </m:rPr>
              <m:t>I</m:t>
            </m:r>
            <m:r>
              <m:rPr>
                <m:sty m:val="p"/>
              </m:rPr>
              <m:t>n</m:t>
            </m:r>
            <m:r>
              <m:rPr>
                <m:sty m:val="p"/>
              </m:rPr>
              <m:t>t</m:t>
            </m:r>
          </m:e>
          <m:sub>
            <m:r>
              <m:t>i</m:t>
            </m:r>
            <m:r>
              <m:t>t</m:t>
            </m:r>
          </m:sub>
        </m:sSub>
        <m:r>
          <m:rPr>
            <m:sty m:val="p"/>
          </m:rPr>
          <m:t>|</m:t>
        </m:r>
        <m:r>
          <m:rPr>
            <m:sty m:val="p"/>
          </m:rPr>
          <m:t>/</m:t>
        </m:r>
        <m:sSub>
          <m:e>
            <m:acc>
              <m:accPr>
                <m:chr m:val="‾"/>
              </m:accPr>
              <m:e>
                <m:r>
                  <m:t>D</m:t>
                </m:r>
              </m:e>
            </m:acc>
          </m:e>
          <m:sub>
            <m:r>
              <m:t>i</m:t>
            </m:r>
            <m:r>
              <m:t>t</m:t>
            </m:r>
          </m:sub>
        </m:sSub>
      </m:oMath>
      <w:r>
        <w:t xml:space="preserve">, which divides a restated flow by an</w:t>
      </w:r>
      <w:r>
        <w:t xml:space="preserve"> </w:t>
      </w:r>
      <w:r>
        <w:t xml:space="preserve">unrestated monetary stock,</w:t>
      </w:r>
    </w:p>
    <w:p>
      <w:pPr>
        <w:pStyle w:val="BodyText"/>
      </w:pPr>
      <m:oMathPara>
        <m:oMathParaPr>
          <m:jc m:val="center"/>
        </m:oMathParaPr>
        <m:oMath>
          <m:r>
            <m:rPr>
              <m:sty m:val="p"/>
            </m:rPr>
            <m:t>log</m:t>
          </m:r>
          <m:sSubSup>
            <m:e>
              <m:r>
                <m:t>r</m:t>
              </m:r>
            </m:e>
            <m:sub>
              <m:r>
                <m:t>i</m:t>
              </m:r>
              <m:r>
                <m:t>t</m:t>
              </m:r>
            </m:sub>
            <m:sup>
              <m:r>
                <m:rPr>
                  <m:sty m:val="p"/>
                </m:rPr>
                <m:t>*</m:t>
              </m:r>
            </m:sup>
          </m:sSubSup>
          <m:r>
            <m:t> </m:t>
          </m:r>
          <m:r>
            <m:rPr>
              <m:sty m:val="p"/>
            </m:rPr>
            <m:t>=</m:t>
          </m:r>
          <m:r>
            <m:t> </m:t>
          </m:r>
          <m:r>
            <m:rPr>
              <m:sty m:val="p"/>
            </m:rPr>
            <m:t>log</m:t>
          </m:r>
          <m:sSub>
            <m:e>
              <m:r>
                <m:t>ψ</m:t>
              </m:r>
            </m:e>
            <m:sub>
              <m:r>
                <m:t>t</m:t>
              </m:r>
            </m:sub>
          </m:sSub>
          <m:r>
            <m:t> </m:t>
          </m:r>
          <m:r>
            <m:rPr>
              <m:sty m:val="p"/>
            </m:rPr>
            <m:t>+</m:t>
          </m:r>
          <m:r>
            <m:t> </m:t>
          </m:r>
          <m:r>
            <m:rPr>
              <m:sty m:val="p"/>
            </m:rPr>
            <m:t>log</m:t>
          </m:r>
          <m:sSub>
            <m:e>
              <m:r>
                <m:t>r</m:t>
              </m:r>
            </m:e>
            <m:sub>
              <m:r>
                <m:t>i</m:t>
              </m:r>
              <m:r>
                <m:t>t</m:t>
              </m:r>
            </m:sub>
          </m:sSub>
          <m:r>
            <m:rPr>
              <m:sty m:val="p"/>
            </m:rPr>
            <m:t>,</m:t>
          </m:r>
        </m:oMath>
      </m:oMathPara>
    </w:p>
    <w:p>
      <w:pPr>
        <w:pStyle w:val="FirstParagraph"/>
      </w:pPr>
      <w:r>
        <w:t xml:space="preserve">so that</w:t>
      </w:r>
      <w:r>
        <w:t xml:space="preserve"> </w:t>
      </w:r>
      <m:oMath>
        <m:r>
          <m:rPr>
            <m:sty m:val="p"/>
          </m:rPr>
          <m:t>log</m:t>
        </m:r>
        <m:sSubSup>
          <m:e>
            <m:r>
              <m:t>r</m:t>
            </m:r>
          </m:e>
          <m:sub>
            <m:r>
              <m:t>i</m:t>
            </m:r>
            <m:r>
              <m:t>t</m:t>
            </m:r>
          </m:sub>
          <m:sup>
            <m:r>
              <m:rPr>
                <m:sty m:val="p"/>
              </m:rPr>
              <m:t>*</m:t>
            </m:r>
          </m:sup>
        </m:sSubSup>
      </m:oMath>
      <w:r>
        <w:t xml:space="preserve"> </w:t>
      </w:r>
      <w:r>
        <w:t xml:space="preserve">is contaminated only by an additive time effect, fully</w:t>
      </w:r>
      <w:r>
        <w:t xml:space="preserve"> </w:t>
      </w:r>
      <w:r>
        <w:t xml:space="preserve">absorbed by</w:t>
      </w:r>
      <w:r>
        <w:t xml:space="preserve"> </w:t>
      </w:r>
      <m:oMath>
        <m:sSub>
          <m:e>
            <m:r>
              <m:t>λ</m:t>
            </m:r>
          </m:e>
          <m:sub>
            <m:r>
              <m:t>t</m:t>
            </m:r>
          </m:sub>
        </m:sSub>
      </m:oMath>
      <w:r>
        <w:t xml:space="preserve">.</w:t>
      </w:r>
    </w:p>
    <w:p>
      <w:pPr>
        <w:pStyle w:val="BodyText"/>
      </w:pPr>
      <w:r>
        <w:rPr>
          <w:i/>
          <w:iCs/>
        </w:rPr>
        <w:t xml:space="preserve">Proof.</w:t>
      </w:r>
      <w:r>
        <w:t xml:space="preserve"> </w:t>
      </w:r>
      <w:r>
        <w:t xml:space="preserve">Immediate from</w:t>
      </w:r>
      <w:r>
        <w:t xml:space="preserve"> </w:t>
      </w:r>
      <m:oMath>
        <m:sSup>
          <m:e>
            <m:r>
              <m:t>X</m:t>
            </m:r>
          </m:e>
          <m:sup>
            <m:r>
              <m:rPr>
                <m:sty m:val="p"/>
              </m:rPr>
              <m:t>*</m:t>
            </m:r>
          </m:sup>
        </m:sSup>
        <m:r>
          <m:rPr>
            <m:sty m:val="p"/>
          </m:rPr>
          <m:t>=</m:t>
        </m:r>
        <m:sSub>
          <m:e>
            <m:r>
              <m:t>ψ</m:t>
            </m:r>
          </m:e>
          <m:sub>
            <m:r>
              <m:t>t</m:t>
            </m:r>
          </m:sub>
        </m:sSub>
        <m:r>
          <m:t>X</m:t>
        </m:r>
      </m:oMath>
      <w:r>
        <w:t xml:space="preserve">,</w:t>
      </w:r>
      <w:r>
        <w:t xml:space="preserve"> </w:t>
      </w:r>
      <m:oMath>
        <m:sSup>
          <m:e>
            <m:r>
              <m:t>Z</m:t>
            </m:r>
          </m:e>
          <m:sup>
            <m:r>
              <m:rPr>
                <m:sty m:val="p"/>
              </m:rPr>
              <m:t>*</m:t>
            </m:r>
          </m:sup>
        </m:sSup>
        <m:r>
          <m:rPr>
            <m:sty m:val="p"/>
          </m:rPr>
          <m:t>=</m:t>
        </m:r>
        <m:sSub>
          <m:e>
            <m:r>
              <m:t>ψ</m:t>
            </m:r>
          </m:e>
          <m:sub>
            <m:r>
              <m:t>t</m:t>
            </m:r>
          </m:sub>
        </m:sSub>
        <m:r>
          <m:t>Z</m:t>
        </m:r>
      </m:oMath>
      <w:r>
        <w:t xml:space="preserve"> </w:t>
      </w:r>
      <w:r>
        <w:t xml:space="preserve">and</w:t>
      </w:r>
      <w:r>
        <w:t xml:space="preserve"> </w:t>
      </w:r>
      <m:oMath>
        <m:sSup>
          <m:e>
            <m:r>
              <m:t>D</m:t>
            </m:r>
          </m:e>
          <m:sup>
            <m:r>
              <m:rPr>
                <m:sty m:val="p"/>
              </m:rPr>
              <m:t>*</m:t>
            </m:r>
          </m:sup>
        </m:sSup>
        <m:r>
          <m:rPr>
            <m:sty m:val="p"/>
          </m:rPr>
          <m:t>=</m:t>
        </m:r>
        <m:r>
          <m:t>D</m:t>
        </m:r>
      </m:oMath>
      <w:r>
        <w:t xml:space="preserve">.</w:t>
      </w:r>
      <w:r>
        <w:t xml:space="preserve"> </w:t>
      </w:r>
      <m:oMath>
        <m:r>
          <m:rPr>
            <m:sty m:val="p"/>
          </m:rPr>
          <m:t>◼</m:t>
        </m:r>
      </m:oMath>
    </w:p>
    <w:p>
      <w:pPr>
        <w:pStyle w:val="BodyText"/>
      </w:pPr>
      <w:r>
        <w:rPr>
          <w:b/>
          <w:bCs/>
        </w:rPr>
        <w:t xml:space="preserve">Remark 2.</w:t>
      </w:r>
      <w:r>
        <w:t xml:space="preserve"> </w:t>
      </w:r>
      <w:r>
        <w:t xml:space="preserve">Proposition 8 is why our outcome set is restricted to the EBIT</w:t>
      </w:r>
      <w:r>
        <w:t xml:space="preserve"> </w:t>
      </w:r>
      <w:r>
        <w:t xml:space="preserve">margin, interest coverage, the log implied rate and log debt growth, and why the</w:t>
      </w:r>
      <w:r>
        <w:t xml:space="preserve"> </w:t>
      </w:r>
      <w:r>
        <w:t xml:space="preserve">Altman</w:t>
      </w:r>
      <w:r>
        <w:t xml:space="preserve"> </w:t>
      </w:r>
      <m:oMath>
        <m:sSup>
          <m:e>
            <m:r>
              <m:t>Z</m:t>
            </m:r>
          </m:e>
          <m:sup>
            <m:r>
              <m:rPr>
                <m:sty m:val="p"/>
              </m:rPr>
              <m:t>″</m:t>
            </m:r>
          </m:sup>
        </m:sSup>
      </m:oMath>
      <w:r>
        <w:t xml:space="preserve"> </w:t>
      </w:r>
      <w:r>
        <w:t xml:space="preserve">score, leverage, equity ratios and return on assets are discarded:</w:t>
      </w:r>
      <w:r>
        <w:t xml:space="preserve"> </w:t>
      </w:r>
      <w:r>
        <w:t xml:space="preserve">each of the latter contains a non-monetary stock and is exposed to</w:t>
      </w:r>
      <w:r>
        <w:t xml:space="preserve"> </w:t>
      </w:r>
      <w:r>
        <w:t xml:space="preserve">Proposition 7. It also refines the specification: the implied</w:t>
      </w:r>
      <w:r>
        <w:t xml:space="preserve"> </w:t>
      </w:r>
      <w:r>
        <w:t xml:space="preserve">rate is invariant</w:t>
      </w:r>
      <w:r>
        <w:t xml:space="preserve"> </w:t>
      </w:r>
      <w:r>
        <w:rPr>
          <w:i/>
          <w:iCs/>
        </w:rPr>
        <w:t xml:space="preserve">in logs</w:t>
      </w:r>
      <w:r>
        <w:t xml:space="preserve">, not in levels, and we use it accordingly.</w:t>
      </w:r>
    </w:p>
    <w:p>
      <w:pPr>
        <w:pStyle w:val="BodyText"/>
      </w:pPr>
      <w:r>
        <w:rPr>
          <w:b/>
          <w:bCs/>
        </w:rPr>
        <w:t xml:space="preserve">Remark 3 (A limit of the invariance argument).</w:t>
      </w:r>
      <w:r>
        <w:t xml:space="preserve"> </w:t>
      </w:r>
      <w:r>
        <w:t xml:space="preserve">Proposition 8 assumes every flow is restated by the same</w:t>
      </w:r>
      <w:r>
        <w:t xml:space="preserve"> </w:t>
      </w:r>
      <w:r>
        <w:t xml:space="preserve">firm-invariant factor</w:t>
      </w:r>
      <w:r>
        <w:t xml:space="preserve"> </w:t>
      </w:r>
      <m:oMath>
        <m:sSub>
          <m:e>
            <m:r>
              <m:t>ψ</m:t>
            </m:r>
          </m:e>
          <m:sub>
            <m:r>
              <m:t>t</m:t>
            </m:r>
          </m:sub>
        </m:sSub>
      </m:oMath>
      <w:r>
        <w:t xml:space="preserve">. IAS 29/TMS 29 restatement introduces one</w:t>
      </w:r>
      <w:r>
        <w:t xml:space="preserve"> </w:t>
      </w:r>
      <w:r>
        <w:t xml:space="preserve">further line that does not fit this template: a net monetary gain or loss,</w:t>
      </w:r>
      <w:r>
        <w:t xml:space="preserve"> </w:t>
      </w:r>
      <w:r>
        <w:t xml:space="preserve">recognised in income and equal to the erosion or accretion of purchasing</w:t>
      </w:r>
      <w:r>
        <w:t xml:space="preserve"> </w:t>
      </w:r>
      <w:r>
        <w:t xml:space="preserve">power on the firm’s net monetary position (monetary assets less monetary</w:t>
      </w:r>
      <w:r>
        <w:t xml:space="preserve"> </w:t>
      </w:r>
      <w:r>
        <w:t xml:space="preserve">liabilities) over the period. This gain or loss is a function of each firm’s</w:t>
      </w:r>
      <w:r>
        <w:t xml:space="preserve"> </w:t>
      </w:r>
      <w:r>
        <w:t xml:space="preserve">own net monetary position, not a common multiplicative factor, so a flow</w:t>
      </w:r>
      <w:r>
        <w:t xml:space="preserve"> </w:t>
      </w:r>
      <w:r>
        <w:t xml:space="preserve">measure that includes it—as EBIT can, depending on where the vendor’s</w:t>
      </w:r>
      <w:r>
        <w:t xml:space="preserve"> </w:t>
      </w:r>
      <w:r>
        <w:t xml:space="preserve">statement places the line—is not covered by the proof above. We do not</w:t>
      </w:r>
      <w:r>
        <w:t xml:space="preserve"> </w:t>
      </w:r>
      <w:r>
        <w:t xml:space="preserve">observe the net monetary position separately in our data and cannot rule out</w:t>
      </w:r>
      <w:r>
        <w:t xml:space="preserve"> </w:t>
      </w:r>
      <w:r>
        <w:t xml:space="preserve">some residual contamination of the Turkish EBIT margin on this channel; the</w:t>
      </w:r>
      <w:r>
        <w:t xml:space="preserve"> </w:t>
      </w:r>
      <w:r>
        <w:t xml:space="preserve">implied borrowing cost is unaffected, since interest expense and average debt</w:t>
      </w:r>
      <w:r>
        <w:t xml:space="preserve"> </w:t>
      </w:r>
      <w:r>
        <w:t xml:space="preserve">are both defined independently of the net monetary position.</w:t>
      </w:r>
    </w:p>
    <w:bookmarkEnd w:id="28"/>
    <w:bookmarkStart w:id="29" w:name="reading-pass-through-structurally"/>
    <w:p>
      <w:pPr>
        <w:pStyle w:val="Heading3"/>
      </w:pPr>
      <w:r>
        <w:t xml:space="preserve">Reading pass-through structurally</w:t>
      </w:r>
    </w:p>
    <w:p>
      <w:pPr>
        <w:pStyle w:val="FirstParagraph"/>
      </w:pPr>
      <w:r>
        <w:t xml:space="preserve">Finally, the framework gives the aggregate pass-through estimate an</w:t>
      </w:r>
      <w:r>
        <w:t xml:space="preserve"> </w:t>
      </w:r>
      <w:r>
        <w:t xml:space="preserve">interpretation. Let the firm’s realised average cost be a maturity-weighted</w:t>
      </w:r>
      <w:r>
        <w:t xml:space="preserve"> </w:t>
      </w:r>
      <w:r>
        <w:t xml:space="preserve">average of past marginal rates,</w:t>
      </w:r>
    </w:p>
    <w:p>
      <w:pPr>
        <w:pStyle w:val="BodyText"/>
      </w:pPr>
      <m:oMathPara>
        <m:oMathParaPr>
          <m:jc m:val="center"/>
        </m:oMathParaPr>
        <m:oMath>
          <m:sSub>
            <m:e>
              <m:r>
                <m:t>r</m:t>
              </m:r>
            </m:e>
            <m:sub>
              <m:r>
                <m:t>i</m:t>
              </m:r>
              <m:r>
                <m:t>t</m:t>
              </m:r>
            </m:sub>
          </m:sSub>
          <m:r>
            <m:t> </m:t>
          </m:r>
          <m:r>
            <m:rPr>
              <m:sty m:val="p"/>
            </m:rPr>
            <m:t>=</m:t>
          </m:r>
          <m:r>
            <m:t> </m:t>
          </m:r>
          <m:nary>
            <m:naryPr>
              <m:chr m:val="∑"/>
              <m:limLoc m:val="undOvr"/>
              <m:subHide m:val="off"/>
              <m:supHide m:val="on"/>
            </m:naryPr>
            <m:sub>
              <m:r>
                <m:t>s</m:t>
              </m:r>
              <m:r>
                <m:rPr>
                  <m:sty m:val="p"/>
                </m:rPr>
                <m:t>≥</m:t>
              </m:r>
              <m:r>
                <m:t>0</m:t>
              </m:r>
            </m:sub>
            <m:sup>
              <m:r>
                <m:t>​</m:t>
              </m:r>
            </m:sup>
            <m:e>
              <m:sSub>
                <m:e>
                  <m:r>
                    <m:t>ω</m:t>
                  </m:r>
                </m:e>
                <m:sub>
                  <m:r>
                    <m:t>i</m:t>
                  </m:r>
                  <m:r>
                    <m:t>s</m:t>
                  </m:r>
                </m:sub>
              </m:sSub>
            </m:e>
          </m:nary>
          <m:r>
            <m:t> </m:t>
          </m:r>
          <m:sSub>
            <m:e>
              <m:r>
                <m:t>ι</m:t>
              </m:r>
            </m:e>
            <m:sub>
              <m:r>
                <m:t>t</m:t>
              </m:r>
              <m:r>
                <m:rPr>
                  <m:sty m:val="p"/>
                </m:rPr>
                <m:t>−</m:t>
              </m:r>
              <m:r>
                <m:t>s</m:t>
              </m:r>
            </m:sub>
          </m:sSub>
          <m:r>
            <m:rPr>
              <m:sty m:val="p"/>
            </m:rPr>
            <m:t>,</m:t>
          </m:r>
          <m:r>
            <m:t>  </m:t>
          </m:r>
          <m:nary>
            <m:naryPr>
              <m:chr m:val="∑"/>
              <m:limLoc m:val="undOvr"/>
              <m:subHide m:val="off"/>
              <m:supHide m:val="on"/>
            </m:naryPr>
            <m:sub>
              <m:r>
                <m:t>s</m:t>
              </m:r>
              <m:r>
                <m:rPr>
                  <m:sty m:val="p"/>
                </m:rPr>
                <m:t>≥</m:t>
              </m:r>
              <m:r>
                <m:t>0</m:t>
              </m:r>
            </m:sub>
            <m:sup>
              <m:r>
                <m:t>​</m:t>
              </m:r>
            </m:sup>
            <m:e>
              <m:sSub>
                <m:e>
                  <m:r>
                    <m:t>ω</m:t>
                  </m:r>
                </m:e>
                <m:sub>
                  <m:r>
                    <m:t>i</m:t>
                  </m:r>
                  <m:r>
                    <m:t>s</m:t>
                  </m:r>
                </m:sub>
              </m:sSub>
            </m:e>
          </m:nary>
          <m:r>
            <m:rPr>
              <m:sty m:val="p"/>
            </m:rPr>
            <m:t>=</m:t>
          </m:r>
          <m:r>
            <m:t>1</m:t>
          </m:r>
          <m:r>
            <m:rPr>
              <m:sty m:val="p"/>
            </m:rPr>
            <m:t>,</m:t>
          </m:r>
        </m:oMath>
      </m:oMathPara>
    </w:p>
    <w:p>
      <w:pPr>
        <w:pStyle w:val="FirstParagraph"/>
      </w:pPr>
      <w:r>
        <w:t xml:space="preserve">where</w:t>
      </w:r>
      <w:r>
        <w:t xml:space="preserve"> </w:t>
      </w:r>
      <m:oMath>
        <m:sSub>
          <m:e>
            <m:r>
              <m:t>ι</m:t>
            </m:r>
          </m:e>
          <m:sub>
            <m:r>
              <m:t>t</m:t>
            </m:r>
          </m:sub>
        </m:sSub>
      </m:oMath>
      <w:r>
        <w:t xml:space="preserve"> </w:t>
      </w:r>
      <w:r>
        <w:t xml:space="preserve">is the marginal contract rate and</w:t>
      </w:r>
      <w:r>
        <w:t xml:space="preserve"> </w:t>
      </w:r>
      <m:oMath>
        <m:sSub>
          <m:e>
            <m:r>
              <m:t>ω</m:t>
            </m:r>
          </m:e>
          <m:sub>
            <m:r>
              <m:t>i</m:t>
            </m:r>
            <m:r>
              <m:t>s</m:t>
            </m:r>
          </m:sub>
        </m:sSub>
      </m:oMath>
      <w:r>
        <w:t xml:space="preserve"> </w:t>
      </w:r>
      <w:r>
        <w:t xml:space="preserve">the share of</w:t>
      </w:r>
      <w:r>
        <w:t xml:space="preserve"> </w:t>
      </w:r>
      <w:r>
        <w:t xml:space="preserve">debt priced</w:t>
      </w:r>
      <w:r>
        <w:t xml:space="preserve"> </w:t>
      </w:r>
      <m:oMath>
        <m:r>
          <m:t>s</m:t>
        </m:r>
      </m:oMath>
      <w:r>
        <w:t xml:space="preserve"> </w:t>
      </w:r>
      <w:r>
        <w:t xml:space="preserve">periods ago. Then</w:t>
      </w:r>
      <w:r>
        <w:t xml:space="preserve"> </w:t>
      </w:r>
      <m:oMath>
        <m:r>
          <m:rPr>
            <m:sty m:val="p"/>
          </m:rPr>
          <m:t>∂</m:t>
        </m:r>
        <m:sSub>
          <m:e>
            <m:r>
              <m:t>r</m:t>
            </m:r>
          </m:e>
          <m:sub>
            <m:r>
              <m:t>i</m:t>
            </m:r>
            <m:r>
              <m:t>t</m:t>
            </m:r>
          </m:sub>
        </m:sSub>
        <m:r>
          <m:rPr>
            <m:sty m:val="p"/>
          </m:rPr>
          <m:t>/</m:t>
        </m:r>
        <m:r>
          <m:rPr>
            <m:sty m:val="p"/>
          </m:rPr>
          <m:t>∂</m:t>
        </m:r>
        <m:sSub>
          <m:e>
            <m:r>
              <m:t>ι</m:t>
            </m:r>
          </m:e>
          <m:sub>
            <m:r>
              <m:t>t</m:t>
            </m:r>
          </m:sub>
        </m:sSub>
        <m:r>
          <m:rPr>
            <m:sty m:val="p"/>
          </m:rPr>
          <m:t>=</m:t>
        </m:r>
        <m:sSub>
          <m:e>
            <m:r>
              <m:t>ω</m:t>
            </m:r>
          </m:e>
          <m:sub>
            <m:r>
              <m:t>i</m:t>
            </m:r>
            <m:r>
              <m:t>0</m:t>
            </m:r>
          </m:sub>
        </m:sSub>
        <m:r>
          <m:rPr>
            <m:sty m:val="p"/>
          </m:rPr>
          <m:t>≡</m:t>
        </m:r>
        <m:sSub>
          <m:e>
            <m:r>
              <m:t>m</m:t>
            </m:r>
          </m:e>
          <m:sub>
            <m:r>
              <m:t>i</m:t>
            </m:r>
          </m:sub>
        </m:sSub>
      </m:oMath>
      <w:r>
        <w:t xml:space="preserve">, the share repricing within the period, and aggregating,</w:t>
      </w:r>
      <w:r>
        <w:t xml:space="preserve"> </w:t>
      </w:r>
      <m:oMath>
        <m:r>
          <m:rPr>
            <m:sty m:val="p"/>
          </m:rPr>
          <m:t>Δ</m:t>
        </m:r>
        <m:acc>
          <m:accPr>
            <m:chr m:val="‾"/>
          </m:accPr>
          <m:e>
            <m:r>
              <m:t>r</m:t>
            </m:r>
          </m:e>
        </m:acc>
        <m:r>
          <m:rPr>
            <m:sty m:val="p"/>
          </m:rPr>
          <m:t>/</m:t>
        </m:r>
        <m:r>
          <m:rPr>
            <m:sty m:val="p"/>
          </m:rPr>
          <m:t>Δ</m:t>
        </m:r>
        <m:acc>
          <m:accPr>
            <m:chr m:val="‾"/>
          </m:accPr>
          <m:e>
            <m:r>
              <m:t>ι</m:t>
            </m:r>
          </m:e>
        </m:acc>
        <m:r>
          <m:rPr>
            <m:sty m:val="p"/>
          </m:rPr>
          <m:t>=</m:t>
        </m:r>
        <m:acc>
          <m:accPr>
            <m:chr m:val="‾"/>
          </m:accPr>
          <m:e>
            <m:r>
              <m:t>m</m:t>
            </m:r>
          </m:e>
        </m:acc>
      </m:oMath>
      <w:r>
        <w:t xml:space="preserve">.</w:t>
      </w:r>
    </w:p>
    <w:p>
      <w:pPr>
        <w:pStyle w:val="BodyText"/>
      </w:pPr>
      <w:r>
        <w:rPr>
          <w:b/>
          <w:bCs/>
        </w:rPr>
        <w:t xml:space="preserve">Corollary 9.</w:t>
      </w:r>
      <w:r>
        <w:t xml:space="preserve"> </w:t>
      </w:r>
      <w:r>
        <w:t xml:space="preserve">The aggregate pass-through coefficient identifies the mean effective repricing</w:t>
      </w:r>
      <w:r>
        <w:t xml:space="preserve"> </w:t>
      </w:r>
      <w:r>
        <w:t xml:space="preserve">share</w:t>
      </w:r>
      <w:r>
        <w:t xml:space="preserve"> </w:t>
      </w:r>
      <m:oMath>
        <m:acc>
          <m:accPr>
            <m:chr m:val="‾"/>
          </m:accPr>
          <m:e>
            <m:r>
              <m:t>m</m:t>
            </m:r>
          </m:e>
        </m:acc>
      </m:oMath>
      <w:r>
        <w:t xml:space="preserve"> </w:t>
      </w:r>
      <w:r>
        <w:t xml:space="preserve">of the corporate debt stock.</w:t>
      </w:r>
    </w:p>
    <w:p>
      <w:pPr>
        <w:pStyle w:val="BodyText"/>
      </w:pPr>
      <w:r>
        <w:t xml:space="preserve">Section 4.1 estimates</w:t>
      </w:r>
      <w:r>
        <w:t xml:space="preserve"> </w:t>
      </w:r>
      <m:oMath>
        <m:acc>
          <m:accPr>
            <m:chr m:val="‾"/>
          </m:accPr>
          <m:e>
            <m:r>
              <m:t>m</m:t>
            </m:r>
          </m:e>
        </m:acc>
        <m:r>
          <m:rPr>
            <m:sty m:val="p"/>
          </m:rPr>
          <m:t>≈</m:t>
        </m:r>
        <m:r>
          <m:t>0.35</m:t>
        </m:r>
      </m:oMath>
      <w:r>
        <w:t xml:space="preserve"> </w:t>
      </w:r>
      <w:r>
        <w:t xml:space="preserve">for Türkiye against a</w:t>
      </w:r>
      <w:r>
        <w:t xml:space="preserve"> </w:t>
      </w:r>
      <w:r>
        <w:t xml:space="preserve">median short-term debt share of</w:t>
      </w:r>
      <w:r>
        <w:t xml:space="preserve"> </w:t>
      </w:r>
      <m:oMath>
        <m:r>
          <m:t>0.63</m:t>
        </m:r>
      </m:oMath>
      <w:r>
        <w:t xml:space="preserve">, implying that even nominally short debt</w:t>
      </w:r>
      <w:r>
        <w:t xml:space="preserve"> </w:t>
      </w:r>
      <w:r>
        <w:t xml:space="preserve">repriced only partially—evidence, though not proof, of quantity rationing or</w:t>
      </w:r>
      <w:r>
        <w:t xml:space="preserve"> </w:t>
      </w:r>
      <w:r>
        <w:t xml:space="preserve">subsidised credit substituting for full price adjustment.</w:t>
      </w:r>
    </w:p>
    <w:bookmarkEnd w:id="29"/>
    <w:bookmarkEnd w:id="30"/>
    <w:bookmarkEnd w:id="31"/>
    <w:bookmarkStart w:id="39" w:name="institutional-setting-and-data"/>
    <w:p>
      <w:pPr>
        <w:pStyle w:val="Heading1"/>
      </w:pPr>
      <w:r>
        <w:t xml:space="preserve">Institutional setting and data</w:t>
      </w:r>
    </w:p>
    <w:bookmarkStart w:id="34" w:name="institutional-setting"/>
    <w:p>
      <w:pPr>
        <w:pStyle w:val="Heading2"/>
      </w:pPr>
      <w:r>
        <w:t xml:space="preserve">Institutional setting</w:t>
      </w:r>
    </w:p>
    <w:bookmarkStart w:id="32" w:name="two-monetary-regimes"/>
    <w:p>
      <w:pPr>
        <w:pStyle w:val="Heading3"/>
      </w:pPr>
      <w:r>
        <w:t xml:space="preserve">Two monetary regimes</w:t>
      </w:r>
    </w:p>
    <w:p>
      <w:pPr>
        <w:pStyle w:val="FirstParagraph"/>
      </w:pPr>
      <w:r>
        <w:t xml:space="preserve">The Turkish tightening is the sharper of the two by an order of magnitude.</w:t>
      </w:r>
      <w:r>
        <w:t xml:space="preserve"> </w:t>
      </w:r>
      <w:r>
        <w:t xml:space="preserve">After a period of unorthodox easing the one-week repo rate stood at 9.0% at</w:t>
      </w:r>
      <w:r>
        <w:t xml:space="preserve"> </w:t>
      </w:r>
      <w:r>
        <w:t xml:space="preserve">end-2022. Following the June 2023 reversal it reached 42.5% by end-2023, peaked</w:t>
      </w:r>
      <w:r>
        <w:t xml:space="preserve"> </w:t>
      </w:r>
      <w:r>
        <w:t xml:space="preserve">at 50.0% in March 2024 and held there through November, before a December cut</w:t>
      </w:r>
      <w:r>
        <w:t xml:space="preserve"> </w:t>
      </w:r>
      <w:r>
        <w:t xml:space="preserve">to 47.5%; it stood at 38.0% at end-2025. Consumer price inflation</w:t>
      </w:r>
      <w:r>
        <w:t xml:space="preserve"> </w:t>
      </w:r>
      <w:r>
        <w:t xml:space="preserve">exceeded 60% at its height and the lira depreciated from roughly 18.7 per US</w:t>
      </w:r>
      <w:r>
        <w:t xml:space="preserve"> </w:t>
      </w:r>
      <w:r>
        <w:t xml:space="preserve">dollar at end-2022 to 43.0 at end-2025.</w:t>
      </w:r>
    </w:p>
    <w:p>
      <w:pPr>
        <w:pStyle w:val="BodyText"/>
      </w:pPr>
      <w:r>
        <w:t xml:space="preserve">Vietnam’s experience is far milder. The State Bank raised policy rates in late</w:t>
      </w:r>
      <w:r>
        <w:t xml:space="preserve"> </w:t>
      </w:r>
      <w:r>
        <w:t xml:space="preserve">2022 amid stress in the domestic corporate bond market—a crisis of fraudulent</w:t>
      </w:r>
      <w:r>
        <w:t xml:space="preserve"> </w:t>
      </w:r>
      <w:r>
        <w:t xml:space="preserve">issuance and mass defaults that froze new issuance and,</w:t>
      </w:r>
      <w:r>
        <w:t xml:space="preserve"> </w:t>
      </w:r>
      <w:r>
        <w:t xml:space="preserve">Huynh &amp; Phan (2024)</w:t>
      </w:r>
      <w:r>
        <w:t xml:space="preserve"> </w:t>
      </w:r>
      <w:r>
        <w:t xml:space="preserve">show, tightened the cost and availability of bank debt for listed firms more</w:t>
      </w:r>
      <w:r>
        <w:t xml:space="preserve"> </w:t>
      </w:r>
      <w:r>
        <w:t xml:space="preserve">broadly, independent of the policy-rate move itself—and reversed through</w:t>
      </w:r>
      <w:r>
        <w:t xml:space="preserve"> </w:t>
      </w:r>
      <w:r>
        <w:t xml:space="preserve">2023. The average bank lending rate rose from 8.0% in 2022 to 9.3% in</w:t>
      </w:r>
      <w:r>
        <w:t xml:space="preserve"> </w:t>
      </w:r>
      <w:r>
        <w:t xml:space="preserve">2023—against 17.0% at the peak of the 2011 inflation episode, a useful</w:t>
      </w:r>
      <w:r>
        <w:t xml:space="preserve"> </w:t>
      </w:r>
      <w:r>
        <w:t xml:space="preserve">within-country benchmark for what a severe Vietnamese tightening looks like.</w:t>
      </w:r>
    </w:p>
    <w:p>
      <w:pPr>
        <w:pStyle w:val="BodyText"/>
      </w:pPr>
      <w:r>
        <w:t xml:space="preserve">The comparison is therefore not treatment versus control but large dose versus</w:t>
      </w:r>
      <w:r>
        <w:t xml:space="preserve"> </w:t>
      </w:r>
      <w:r>
        <w:t xml:space="preserve">small dose, and the appropriate prediction is proportional rather than binary.</w:t>
      </w:r>
    </w:p>
    <w:bookmarkEnd w:id="32"/>
    <w:bookmarkStart w:id="33" w:name="the-turkish-accounting-transition"/>
    <w:p>
      <w:pPr>
        <w:pStyle w:val="Heading3"/>
      </w:pPr>
      <w:r>
        <w:t xml:space="preserve">The Turkish accounting transition</w:t>
      </w:r>
    </w:p>
    <w:p>
      <w:pPr>
        <w:pStyle w:val="FirstParagraph"/>
      </w:pPr>
      <w:r>
        <w:t xml:space="preserve">Türkiye met the IFRS criteria for a hyperinflationary economy and was</w:t>
      </w:r>
      <w:r>
        <w:t xml:space="preserve"> </w:t>
      </w:r>
      <w:r>
        <w:t xml:space="preserve">classified as such from April 2022, with local inflation-adjustment</w:t>
      </w:r>
      <w:r>
        <w:t xml:space="preserve"> </w:t>
      </w:r>
      <w:r>
        <w:t xml:space="preserve">requirements following for statements through end-2023. Under the relevant</w:t>
      </w:r>
      <w:r>
        <w:t xml:space="preserve"> </w:t>
      </w:r>
      <w:r>
        <w:t xml:space="preserve">standard, entities reporting in the currency of a hyperinflationary economy</w:t>
      </w:r>
      <w:r>
        <w:t xml:space="preserve"> </w:t>
      </w:r>
      <w:r>
        <w:t xml:space="preserve">restate their statements in the measuring unit current at the balance sheet</w:t>
      </w:r>
      <w:r>
        <w:t xml:space="preserve"> </w:t>
      </w:r>
      <w:r>
        <w:t xml:space="preserve">date, and comparatives are restated on the same basis.</w:t>
      </w:r>
    </w:p>
    <w:p>
      <w:pPr>
        <w:pStyle w:val="BodyText"/>
      </w:pPr>
      <w:r>
        <w:t xml:space="preserve">The mechanics are those assumed in (13). Non-monetary</w:t>
      </w:r>
      <w:r>
        <w:t xml:space="preserve"> </w:t>
      </w:r>
      <w:r>
        <w:t xml:space="preserve">items—property, plant and equipment, inventories, equity—are restated by a</w:t>
      </w:r>
      <w:r>
        <w:t xml:space="preserve"> </w:t>
      </w:r>
      <w:r>
        <w:t xml:space="preserve">general price index applied from each item’s acquisition date, so the effective</w:t>
      </w:r>
      <w:r>
        <w:t xml:space="preserve"> </w:t>
      </w:r>
      <w:r>
        <w:t xml:space="preserve">factor depends on vintage. Monetary items—debt, cash, receivables—are</w:t>
      </w:r>
      <w:r>
        <w:t xml:space="preserve"> </w:t>
      </w:r>
      <w:r>
        <w:t xml:space="preserve">already in period-end purchasing power and are not restated. Income-statement</w:t>
      </w:r>
      <w:r>
        <w:t xml:space="preserve"> </w:t>
      </w:r>
      <w:r>
        <w:t xml:space="preserve">items are restated to period-end purchasing power by a factor common across</w:t>
      </w:r>
      <w:r>
        <w:t xml:space="preserve"> </w:t>
      </w:r>
      <w:r>
        <w:t xml:space="preserve">firms within a period, which is the condition of Proposition 8.</w:t>
      </w:r>
    </w:p>
    <w:bookmarkEnd w:id="33"/>
    <w:bookmarkEnd w:id="34"/>
    <w:bookmarkStart w:id="38" w:name="data"/>
    <w:p>
      <w:pPr>
        <w:pStyle w:val="Heading2"/>
      </w:pPr>
      <w:r>
        <w:t xml:space="preserve">Data</w:t>
      </w:r>
    </w:p>
    <w:bookmarkStart w:id="35" w:name="sources-and-construction"/>
    <w:p>
      <w:pPr>
        <w:pStyle w:val="Heading3"/>
      </w:pPr>
      <w:r>
        <w:t xml:space="preserve">Sources and construction</w:t>
      </w:r>
    </w:p>
    <w:p>
      <w:pPr>
        <w:pStyle w:val="FirstParagraph"/>
      </w:pPr>
      <w:r>
        <w:t xml:space="preserve">Two countries anchor the study and supply its decade-long identification</w:t>
      </w:r>
      <w:r>
        <w:t xml:space="preserve"> </w:t>
      </w:r>
      <w:r>
        <w:t xml:space="preserve">tests: Vietnam and Türkiye, described below. Three further countries—</w:t>
      </w:r>
      <w:r>
        <w:t xml:space="preserve"> </w:t>
      </w:r>
      <w:r>
        <w:t xml:space="preserve">Poland, Israel and South Korea—extend the 2021–2025 window across a range of</w:t>
      </w:r>
      <w:r>
        <w:t xml:space="preserve"> </w:t>
      </w:r>
      <w:r>
        <w:t xml:space="preserve">monetary tightening between Türkiye and Vietnam. These three are built from</w:t>
      </w:r>
      <w:r>
        <w:t xml:space="preserve"> </w:t>
      </w:r>
      <w:r>
        <w:t xml:space="preserve">Yahoo Finance directly: ticker universes are enumerated per exchange via the</w:t>
      </w:r>
      <w:r>
        <w:t xml:space="preserve"> </w:t>
      </w:r>
      <w:r>
        <w:t xml:space="preserve">TradingView screener, restricted to non-financial sectors, and statements</w:t>
      </w:r>
      <w:r>
        <w:t xml:space="preserve"> </w:t>
      </w:r>
      <w:r>
        <w:t xml:space="preserve">retrieved as in the validation exercise of Section 4. Yahoo</w:t>
      </w:r>
      <w:r>
        <w:t xml:space="preserve"> </w:t>
      </w:r>
      <w:r>
        <w:t xml:space="preserve">retains only four to five annual periods, so these three support the aggregate</w:t>
      </w:r>
      <w:r>
        <w:t xml:space="preserve"> </w:t>
      </w:r>
      <w:r>
        <w:t xml:space="preserve">dose-response test of Section 5.3 but not the decade-long</w:t>
      </w:r>
      <w:r>
        <w:t xml:space="preserve"> </w:t>
      </w:r>
      <w:r>
        <w:t xml:space="preserve">event-study test Section 5.2 also requires for Türkiye and</w:t>
      </w:r>
      <w:r>
        <w:t xml:space="preserve"> </w:t>
      </w:r>
      <w:r>
        <w:t xml:space="preserve">Vietnam; and by the feasibility condition of Section 2.2, a</w:t>
      </w:r>
      <w:r>
        <w:t xml:space="preserve"> </w:t>
      </w:r>
      <w:r>
        <w:t xml:space="preserve">four-year window is in any case well short of what firm-level</w:t>
      </w:r>
      <w:r>
        <w:t xml:space="preserve"> </w:t>
      </w:r>
      <w:r>
        <w:t xml:space="preserve">repricing-sensitivity estimation needs, so no attempt is made to extend the</w:t>
      </w:r>
      <w:r>
        <w:t xml:space="preserve"> </w:t>
      </w:r>
      <w:r>
        <w:t xml:space="preserve">beta estimation of Section 4 to them.</w:t>
      </w:r>
    </w:p>
    <w:p>
      <w:pPr>
        <w:pStyle w:val="BodyText"/>
      </w:pPr>
      <w:r>
        <w:t xml:space="preserve">The Vietnamese panel derives from an item-level dataset of statements filed by</w:t>
      </w:r>
      <w:r>
        <w:t xml:space="preserve"> </w:t>
      </w:r>
      <w:r>
        <w:t xml:space="preserve">companies listed on the Ho Chi Minh City and Hanoi exchanges, distributed</w:t>
      </w:r>
      <w:r>
        <w:t xml:space="preserve"> </w:t>
      </w:r>
      <w:r>
        <w:t xml:space="preserve">through a public research repository in long format with standardised item</w:t>
      </w:r>
      <w:r>
        <w:t xml:space="preserve"> </w:t>
      </w:r>
      <w:r>
        <w:t xml:space="preserve">codes. Pivoting to firm-year observations yields 9</w:t>
      </w:r>
      <w:r>
        <w:t xml:space="preserve">,</w:t>
      </w:r>
      <w:r>
        <w:t xml:space="preserve">893 firm-years for 693</w:t>
      </w:r>
      <w:r>
        <w:t xml:space="preserve"> </w:t>
      </w:r>
      <w:r>
        <w:t xml:space="preserve">firms over 2011–2025, with non-missing coverage of 94.5% for total assets,</w:t>
      </w:r>
      <w:r>
        <w:t xml:space="preserve"> </w:t>
      </w:r>
      <w:r>
        <w:t xml:space="preserve">94.7% for total debt, 91.2% for interest expense, 93.2% for EBIT and 96.8%</w:t>
      </w:r>
      <w:r>
        <w:t xml:space="preserve"> </w:t>
      </w:r>
      <w:r>
        <w:t xml:space="preserve">for equity.</w:t>
      </w:r>
    </w:p>
    <w:p>
      <w:pPr>
        <w:pStyle w:val="BodyText"/>
      </w:pPr>
      <w:r>
        <w:t xml:space="preserve">The Turkish panel derives from a brokerage service redistributing filings made</w:t>
      </w:r>
      <w:r>
        <w:t xml:space="preserve"> </w:t>
      </w:r>
      <w:r>
        <w:t xml:space="preserve">to the Public Disclosure Platform. One request returns the balance sheet, income</w:t>
      </w:r>
      <w:r>
        <w:t xml:space="preserve"> </w:t>
      </w:r>
      <w:r>
        <w:t xml:space="preserve">statement, cash-flow statement and supplementary items with bilingual labels for</w:t>
      </w:r>
      <w:r>
        <w:t xml:space="preserve"> </w:t>
      </w:r>
      <w:r>
        <w:t xml:space="preserve">four annual periods. The resulting panel covers 585 firms over 2010–2025 and</w:t>
      </w:r>
      <w:r>
        <w:t xml:space="preserve"> </w:t>
      </w:r>
      <w:r>
        <w:t xml:space="preserve">carries two items with no Vietnamese counterpart: export sales and net</w:t>
      </w:r>
      <w:r>
        <w:t xml:space="preserve"> </w:t>
      </w:r>
      <w:r>
        <w:t xml:space="preserve">foreign-currency position.</w:t>
      </w:r>
    </w:p>
    <w:p>
      <w:pPr>
        <w:pStyle w:val="BodyText"/>
      </w:pPr>
      <w:r>
        <w:t xml:space="preserve">Both panels are restricted to non-financial firms, since banks, insurers and</w:t>
      </w:r>
      <w:r>
        <w:t xml:space="preserve"> </w:t>
      </w:r>
      <w:r>
        <w:t xml:space="preserve">brokers file on incompatible templates. We require strictly positive total debt</w:t>
      </w:r>
      <w:r>
        <w:t xml:space="preserve"> </w:t>
      </w:r>
      <w:r>
        <w:t xml:space="preserve">and assets, the transmission channel being undefined otherwise.</w:t>
      </w:r>
      <w:r>
        <w:t xml:space="preserve"> </w:t>
      </w:r>
      <w:r>
        <w:t xml:space="preserve">Table 1 reports firm counts by year: Turkish coverage rises</w:t>
      </w:r>
      <w:r>
        <w:t xml:space="preserve"> </w:t>
      </w:r>
      <w:r>
        <w:t xml:space="preserve">as the exchange admits new listings over the sample, while Vietnamese coverage</w:t>
      </w:r>
      <w:r>
        <w:t xml:space="preserve"> </w:t>
      </w:r>
      <w:r>
        <w:t xml:space="preserve">is near-complete from 2015. Because identification uses within-firm variation</w:t>
      </w:r>
      <w:r>
        <w:t xml:space="preserve"> </w:t>
      </w:r>
      <w:r>
        <w:t xml:space="preserve">with firm fixed effects, this entry does not bias the estimates, though earlier</w:t>
      </w:r>
      <w:r>
        <w:t xml:space="preserve"> </w:t>
      </w:r>
      <w:r>
        <w:t xml:space="preserve">years rest on a smaller Turkish cross-section.</w:t>
      </w:r>
    </w:p>
    <w:p>
      <w:pPr>
        <w:pStyle w:val="BodyText"/>
      </w:pPr>
      <w:r>
        <w:t xml:space="preserve">Entry is not the whole story, and we state the remaining threat plainly</w:t>
      </w:r>
      <w:r>
        <w:t xml:space="preserve"> </w:t>
      </w:r>
      <w:r>
        <w:t xml:space="preserve">rather than let the firm-fixed-effects argument above stand in for it. Both</w:t>
      </w:r>
      <w:r>
        <w:t xml:space="preserve"> </w:t>
      </w:r>
      <w:r>
        <w:t xml:space="preserve">ticker universes are enumerated from a current listing snapshot: the Turkish</w:t>
      </w:r>
      <w:r>
        <w:t xml:space="preserve"> </w:t>
      </w:r>
      <w:r>
        <w:t xml:space="preserve">panel is built by fetching statements for every presently BIST-listed company,</w:t>
      </w:r>
      <w:r>
        <w:t xml:space="preserve"> </w:t>
      </w:r>
      <w:r>
        <w:t xml:space="preserve">and the three-country extension similarly enumerates each exchange’s current</w:t>
      </w:r>
      <w:r>
        <w:t xml:space="preserve"> </w:t>
      </w:r>
      <w:r>
        <w:t xml:space="preserve">constituents. A firm that delisted, was acquired, or failed at any point in</w:t>
      </w:r>
      <w:r>
        <w:t xml:space="preserve"> </w:t>
      </w:r>
      <w:r>
        <w:t xml:space="preserve">2010–2025 is therefore absent from the panel not only after its exit but in</w:t>
      </w:r>
      <w:r>
        <w:t xml:space="preserve"> </w:t>
      </w:r>
      <w:r>
        <w:t xml:space="preserve">every year it was ever observed, since it was never fetched in the first</w:t>
      </w:r>
      <w:r>
        <w:t xml:space="preserve"> </w:t>
      </w:r>
      <w:r>
        <w:t xml:space="preserve">place. This is a materially different problem from the balanced-panel</w:t>
      </w:r>
      <w:r>
        <w:t xml:space="preserve"> </w:t>
      </w:r>
      <w:r>
        <w:t xml:space="preserve">question fixed effects answer: an unbalanced panel with random entry and exit</w:t>
      </w:r>
      <w:r>
        <w:t xml:space="preserve"> </w:t>
      </w:r>
      <w:r>
        <w:t xml:space="preserve">is unbiased under within-firm estimation, but non-random attrition—firms</w:t>
      </w:r>
      <w:r>
        <w:t xml:space="preserve"> </w:t>
      </w:r>
      <w:r>
        <w:t xml:space="preserve">disappearing</w:t>
      </w:r>
      <w:r>
        <w:t xml:space="preserve"> </w:t>
      </w:r>
      <w:r>
        <w:rPr>
          <w:i/>
          <w:iCs/>
        </w:rPr>
        <w:t xml:space="preserve">because</w:t>
      </w:r>
      <w:r>
        <w:t xml:space="preserve"> </w:t>
      </w:r>
      <w:r>
        <w:t xml:space="preserve">of the shock we study—is not, and firm fixed</w:t>
      </w:r>
      <w:r>
        <w:t xml:space="preserve"> </w:t>
      </w:r>
      <w:r>
        <w:t xml:space="preserve">effects do nothing to correct for a firm never entering the sample to begin</w:t>
      </w:r>
      <w:r>
        <w:t xml:space="preserve"> </w:t>
      </w:r>
      <w:r>
        <w:t xml:space="preserve">with. For a paper whose outcomes are interest coverage, EBIT margin and debt</w:t>
      </w:r>
      <w:r>
        <w:t xml:space="preserve"> </w:t>
      </w:r>
      <w:r>
        <w:t xml:space="preserve">growth under a severe monetary tightening, the firms most likely to have</w:t>
      </w:r>
      <w:r>
        <w:t xml:space="preserve"> </w:t>
      </w:r>
      <w:r>
        <w:t xml:space="preserve">failed</w:t>
      </w:r>
      <w:r>
        <w:t xml:space="preserve"> </w:t>
      </w:r>
      <w:r>
        <w:rPr>
          <w:i/>
          <w:iCs/>
        </w:rPr>
        <w:t xml:space="preserve">because of</w:t>
      </w:r>
      <w:r>
        <w:t xml:space="preserve"> </w:t>
      </w:r>
      <w:r>
        <w:t xml:space="preserve">that tightening are exactly the ones a</w:t>
      </w:r>
      <w:r>
        <w:t xml:space="preserve"> </w:t>
      </w:r>
      <w:r>
        <w:t xml:space="preserve">current-snapshot ticker universe is least likely to include. We do not have a</w:t>
      </w:r>
      <w:r>
        <w:t xml:space="preserve"> </w:t>
      </w:r>
      <w:r>
        <w:t xml:space="preserve">correction for this and flag it as an open limitation: the null we report</w:t>
      </w:r>
      <w:r>
        <w:t xml:space="preserve"> </w:t>
      </w:r>
      <w:r>
        <w:t xml:space="preserve">describes the population of firms that survived to be listed as of data</w:t>
      </w:r>
      <w:r>
        <w:t xml:space="preserve"> </w:t>
      </w:r>
      <w:r>
        <w:t xml:space="preserve">collection, and if distress-driven delisting is correlated with exposure, the</w:t>
      </w:r>
      <w:r>
        <w:t xml:space="preserve"> </w:t>
      </w:r>
      <w:r>
        <w:t xml:space="preserve">true cross-sectional gradient among firms that failed could differ from what</w:t>
      </w:r>
      <w:r>
        <w:t xml:space="preserve"> </w:t>
      </w:r>
      <w:r>
        <w:t xml:space="preserve">we estimate among firms that did not.</w:t>
      </w:r>
    </w:p>
    <w:p>
      <w:pPr>
        <w:pStyle w:val="TableCaption"/>
      </w:pPr>
      <w:r>
        <w:t xml:space="preserve">Firms per year</w:t>
      </w:r>
    </w:p>
    <w:tbl>
      <w:tblPr>
        <w:tblStyle w:val="Table"/>
        <w:tblW w:type="auto" w:w="0"/>
        <w:tblLook w:firstRow="1" w:lastRow="0" w:firstColumn="0" w:lastColumn="0" w:noHBand="0" w:noVBand="0" w:val="0020"/>
        <w:tblCaption w:val="Firms per year"/>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right"/>
            </w:pPr>
            <w:r>
              <w:t xml:space="preserve">Türkiye</w:t>
            </w:r>
          </w:p>
        </w:tc>
        <w:tc>
          <w:tcPr/>
          <w:p>
            <w:pPr>
              <w:pStyle w:val="Compact"/>
              <w:jc w:val="right"/>
            </w:pPr>
            <w:r>
              <w:t xml:space="preserve">Vietnam</w:t>
            </w:r>
          </w:p>
        </w:tc>
        <w:tc>
          <w:tcPr/>
          <w:p>
            <w:pPr>
              <w:pStyle w:val="Compact"/>
              <w:jc w:val="left"/>
            </w:pPr>
            <w:r>
              <w:t xml:space="preserve">Year</w:t>
            </w:r>
          </w:p>
        </w:tc>
        <w:tc>
          <w:tcPr/>
          <w:p>
            <w:pPr>
              <w:pStyle w:val="Compact"/>
              <w:jc w:val="right"/>
            </w:pPr>
            <w:r>
              <w:t xml:space="preserve">Türkiye</w:t>
            </w:r>
          </w:p>
        </w:tc>
        <w:tc>
          <w:tcPr/>
          <w:p>
            <w:pPr>
              <w:pStyle w:val="Compact"/>
              <w:jc w:val="right"/>
            </w:pPr>
            <w:r>
              <w:t xml:space="preserve">Vietnam</w:t>
            </w:r>
          </w:p>
        </w:tc>
      </w:tr>
      <w:tr>
        <w:tc>
          <w:tcPr/>
          <w:p>
            <w:pPr>
              <w:pStyle w:val="Compact"/>
              <w:jc w:val="left"/>
            </w:pPr>
            <w:r>
              <w:t xml:space="preserve">2015</w:t>
            </w:r>
          </w:p>
        </w:tc>
        <w:tc>
          <w:tcPr/>
          <w:p>
            <w:pPr>
              <w:pStyle w:val="Compact"/>
              <w:jc w:val="right"/>
            </w:pPr>
            <w:r>
              <w:t xml:space="preserve">349</w:t>
            </w:r>
          </w:p>
        </w:tc>
        <w:tc>
          <w:tcPr/>
          <w:p>
            <w:pPr>
              <w:pStyle w:val="Compact"/>
              <w:jc w:val="right"/>
            </w:pPr>
            <w:r>
              <w:t xml:space="preserve">648</w:t>
            </w:r>
          </w:p>
        </w:tc>
        <w:tc>
          <w:tcPr/>
          <w:p>
            <w:pPr>
              <w:pStyle w:val="Compact"/>
              <w:jc w:val="left"/>
            </w:pPr>
            <w:r>
              <w:t xml:space="preserve">2021</w:t>
            </w:r>
          </w:p>
        </w:tc>
        <w:tc>
          <w:tcPr/>
          <w:p>
            <w:pPr>
              <w:pStyle w:val="Compact"/>
              <w:jc w:val="right"/>
            </w:pPr>
            <w:r>
              <w:t xml:space="preserve">551</w:t>
            </w:r>
          </w:p>
        </w:tc>
        <w:tc>
          <w:tcPr/>
          <w:p>
            <w:pPr>
              <w:pStyle w:val="Compact"/>
              <w:jc w:val="right"/>
            </w:pPr>
            <w:r>
              <w:t xml:space="preserve">691</w:t>
            </w:r>
          </w:p>
        </w:tc>
      </w:tr>
      <w:tr>
        <w:tc>
          <w:tcPr/>
          <w:p>
            <w:pPr>
              <w:pStyle w:val="Compact"/>
              <w:jc w:val="left"/>
            </w:pPr>
            <w:r>
              <w:t xml:space="preserve">2016</w:t>
            </w:r>
          </w:p>
        </w:tc>
        <w:tc>
          <w:tcPr/>
          <w:p>
            <w:pPr>
              <w:pStyle w:val="Compact"/>
              <w:jc w:val="right"/>
            </w:pPr>
            <w:r>
              <w:t xml:space="preserve">358</w:t>
            </w:r>
          </w:p>
        </w:tc>
        <w:tc>
          <w:tcPr/>
          <w:p>
            <w:pPr>
              <w:pStyle w:val="Compact"/>
              <w:jc w:val="right"/>
            </w:pPr>
            <w:r>
              <w:t xml:space="preserve">663</w:t>
            </w:r>
          </w:p>
        </w:tc>
        <w:tc>
          <w:tcPr/>
          <w:p>
            <w:pPr>
              <w:pStyle w:val="Compact"/>
              <w:jc w:val="left"/>
            </w:pPr>
            <w:r>
              <w:t xml:space="preserve">2022</w:t>
            </w:r>
          </w:p>
        </w:tc>
        <w:tc>
          <w:tcPr/>
          <w:p>
            <w:pPr>
              <w:pStyle w:val="Compact"/>
              <w:jc w:val="right"/>
            </w:pPr>
            <w:r>
              <w:t xml:space="preserve">568</w:t>
            </w:r>
          </w:p>
        </w:tc>
        <w:tc>
          <w:tcPr/>
          <w:p>
            <w:pPr>
              <w:pStyle w:val="Compact"/>
              <w:jc w:val="right"/>
            </w:pPr>
            <w:r>
              <w:t xml:space="preserve">692</w:t>
            </w:r>
          </w:p>
        </w:tc>
      </w:tr>
      <w:tr>
        <w:tc>
          <w:tcPr/>
          <w:p>
            <w:pPr>
              <w:pStyle w:val="Compact"/>
              <w:jc w:val="left"/>
            </w:pPr>
            <w:r>
              <w:t xml:space="preserve">2017</w:t>
            </w:r>
          </w:p>
        </w:tc>
        <w:tc>
          <w:tcPr/>
          <w:p>
            <w:pPr>
              <w:pStyle w:val="Compact"/>
              <w:jc w:val="right"/>
            </w:pPr>
            <w:r>
              <w:t xml:space="preserve">370</w:t>
            </w:r>
          </w:p>
        </w:tc>
        <w:tc>
          <w:tcPr/>
          <w:p>
            <w:pPr>
              <w:pStyle w:val="Compact"/>
              <w:jc w:val="right"/>
            </w:pPr>
            <w:r>
              <w:t xml:space="preserve">670</w:t>
            </w:r>
          </w:p>
        </w:tc>
        <w:tc>
          <w:tcPr/>
          <w:p>
            <w:pPr>
              <w:pStyle w:val="Compact"/>
              <w:jc w:val="left"/>
            </w:pPr>
            <w:r>
              <w:t xml:space="preserve">2023</w:t>
            </w:r>
          </w:p>
        </w:tc>
        <w:tc>
          <w:tcPr/>
          <w:p>
            <w:pPr>
              <w:pStyle w:val="Compact"/>
              <w:jc w:val="right"/>
            </w:pPr>
            <w:r>
              <w:t xml:space="preserve">585</w:t>
            </w:r>
          </w:p>
        </w:tc>
        <w:tc>
          <w:tcPr/>
          <w:p>
            <w:pPr>
              <w:pStyle w:val="Compact"/>
              <w:jc w:val="right"/>
            </w:pPr>
            <w:r>
              <w:t xml:space="preserve">693</w:t>
            </w:r>
          </w:p>
        </w:tc>
      </w:tr>
      <w:tr>
        <w:tc>
          <w:tcPr/>
          <w:p>
            <w:pPr>
              <w:pStyle w:val="Compact"/>
              <w:jc w:val="left"/>
            </w:pPr>
            <w:r>
              <w:t xml:space="preserve">2018</w:t>
            </w:r>
          </w:p>
        </w:tc>
        <w:tc>
          <w:tcPr/>
          <w:p>
            <w:pPr>
              <w:pStyle w:val="Compact"/>
              <w:jc w:val="right"/>
            </w:pPr>
            <w:r>
              <w:t xml:space="preserve">428</w:t>
            </w:r>
          </w:p>
        </w:tc>
        <w:tc>
          <w:tcPr/>
          <w:p>
            <w:pPr>
              <w:pStyle w:val="Compact"/>
              <w:jc w:val="right"/>
            </w:pPr>
            <w:r>
              <w:t xml:space="preserve">682</w:t>
            </w:r>
          </w:p>
        </w:tc>
        <w:tc>
          <w:tcPr/>
          <w:p>
            <w:pPr>
              <w:pStyle w:val="Compact"/>
              <w:jc w:val="left"/>
            </w:pPr>
            <w:r>
              <w:t xml:space="preserve">2024</w:t>
            </w:r>
          </w:p>
        </w:tc>
        <w:tc>
          <w:tcPr/>
          <w:p>
            <w:pPr>
              <w:pStyle w:val="Compact"/>
              <w:jc w:val="right"/>
            </w:pPr>
            <w:r>
              <w:t xml:space="preserve">584</w:t>
            </w:r>
          </w:p>
        </w:tc>
        <w:tc>
          <w:tcPr/>
          <w:p>
            <w:pPr>
              <w:pStyle w:val="Compact"/>
              <w:jc w:val="right"/>
            </w:pPr>
            <w:r>
              <w:t xml:space="preserve">692</w:t>
            </w:r>
          </w:p>
        </w:tc>
      </w:tr>
      <w:tr>
        <w:tc>
          <w:tcPr/>
          <w:p>
            <w:pPr>
              <w:pStyle w:val="Compact"/>
              <w:jc w:val="left"/>
            </w:pPr>
            <w:r>
              <w:t xml:space="preserve">2019</w:t>
            </w:r>
          </w:p>
        </w:tc>
        <w:tc>
          <w:tcPr/>
          <w:p>
            <w:pPr>
              <w:pStyle w:val="Compact"/>
              <w:jc w:val="right"/>
            </w:pPr>
            <w:r>
              <w:t xml:space="preserve">467</w:t>
            </w:r>
          </w:p>
        </w:tc>
        <w:tc>
          <w:tcPr/>
          <w:p>
            <w:pPr>
              <w:pStyle w:val="Compact"/>
              <w:jc w:val="right"/>
            </w:pPr>
            <w:r>
              <w:t xml:space="preserve">686</w:t>
            </w:r>
          </w:p>
        </w:tc>
        <w:tc>
          <w:tcPr/>
          <w:p>
            <w:pPr>
              <w:pStyle w:val="Compact"/>
              <w:jc w:val="left"/>
            </w:pPr>
            <w:r>
              <w:t xml:space="preserve">2025</w:t>
            </w:r>
          </w:p>
        </w:tc>
        <w:tc>
          <w:tcPr/>
          <w:p>
            <w:pPr>
              <w:pStyle w:val="Compact"/>
              <w:jc w:val="right"/>
            </w:pPr>
            <w:r>
              <w:t xml:space="preserve">582</w:t>
            </w:r>
          </w:p>
        </w:tc>
        <w:tc>
          <w:tcPr/>
          <w:p>
            <w:pPr>
              <w:pStyle w:val="Compact"/>
              <w:jc w:val="right"/>
            </w:pPr>
            <w:r>
              <w:t xml:space="preserve">689</w:t>
            </w:r>
          </w:p>
        </w:tc>
      </w:tr>
      <w:tr>
        <w:tc>
          <w:tcPr/>
          <w:p>
            <w:pPr>
              <w:pStyle w:val="Compact"/>
              <w:jc w:val="left"/>
            </w:pPr>
            <w:r>
              <w:t xml:space="preserve">2020</w:t>
            </w:r>
          </w:p>
        </w:tc>
        <w:tc>
          <w:tcPr/>
          <w:p>
            <w:pPr>
              <w:pStyle w:val="Compact"/>
              <w:jc w:val="right"/>
            </w:pPr>
            <w:r>
              <w:t xml:space="preserve">508</w:t>
            </w:r>
          </w:p>
        </w:tc>
        <w:tc>
          <w:tcPr/>
          <w:p>
            <w:pPr>
              <w:pStyle w:val="Compact"/>
              <w:jc w:val="right"/>
            </w:pPr>
            <w:r>
              <w:t xml:space="preserve">690</w:t>
            </w:r>
          </w:p>
        </w:tc>
        <w:tc>
          <w:tcPr/>
          <w:p>
            <w:pPr>
              <w:pStyle w:val="Compact"/>
            </w:pPr>
          </w:p>
        </w:tc>
        <w:tc>
          <w:tcPr/>
          <w:p>
            <w:pPr>
              <w:pStyle w:val="Compact"/>
            </w:pPr>
          </w:p>
        </w:tc>
        <w:tc>
          <w:tcPr/>
          <w:p>
            <w:pPr>
              <w:pStyle w:val="Compact"/>
            </w:pPr>
          </w:p>
        </w:tc>
      </w:tr>
    </w:tbl>
    <w:bookmarkEnd w:id="35"/>
    <w:bookmarkStart w:id="36" w:name="descriptive-statistics"/>
    <w:p>
      <w:pPr>
        <w:pStyle w:val="Heading3"/>
      </w:pPr>
      <w:r>
        <w:t xml:space="preserve">Descriptive statistics</w:t>
      </w:r>
    </w:p>
    <w:p>
      <w:pPr>
        <w:pStyle w:val="FirstParagraph"/>
      </w:pPr>
      <w:r>
        <w:t xml:space="preserve">Table 2 summarises the two anchor panels over 2015–2025.</w:t>
      </w:r>
    </w:p>
    <w:p>
      <w:pPr>
        <w:pStyle w:val="TableCaption"/>
      </w:pPr>
      <w:r>
        <w:t xml:space="preserve">Descriptive statistics, 2015–2025</w:t>
      </w:r>
    </w:p>
    <w:tbl>
      <w:tblPr>
        <w:tblStyle w:val="Table"/>
        <w:tblW w:type="auto" w:w="0"/>
        <w:tblLook w:firstRow="1" w:lastRow="0" w:firstColumn="0" w:lastColumn="0" w:noHBand="0" w:noVBand="0" w:val="0020"/>
        <w:tblCaption w:val="Descriptive statistics, 2015–2025"/>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t xml:space="preserve">Vietnam</w:t>
            </w:r>
          </w:p>
        </w:tc>
        <w:tc>
          <w:tcPr>
            <w:gridSpan w:val="4"/>
          </w:tcPr>
          <w:p>
            <w:pPr>
              <w:pStyle w:val="Compact"/>
              <w:jc w:val="center"/>
            </w:pPr>
            <w:r>
              <w:t xml:space="preserve">Türkiye</w:t>
            </w:r>
          </w:p>
        </w:tc>
      </w:tr>
      <w:tr>
        <w:tc>
          <w:tcPr/>
          <w:p>
            <w:pPr>
              <w:pStyle w:val="Compact"/>
              <w:jc w:val="left"/>
            </w:pPr>
            <w:r>
              <w:t xml:space="preserve">2-5</w:t>
            </w:r>
            <w:r>
              <w:t xml:space="preserve">(lr)</w:t>
            </w:r>
            <w:r>
              <w:t xml:space="preserve">6-9</w:t>
            </w:r>
            <w:r>
              <w:t xml:space="preserve"> </w:t>
            </w:r>
            <w:r>
              <w:t xml:space="preserve">Variable</w:t>
            </w:r>
          </w:p>
        </w:tc>
        <w:tc>
          <w:tcPr/>
          <w:p>
            <w:pPr>
              <w:pStyle w:val="Compact"/>
              <w:jc w:val="right"/>
            </w:pPr>
            <m:oMath>
              <m:r>
                <m:t>n</m:t>
              </m:r>
            </m:oMath>
            <w:r>
              <w:t xml:space="preserve">​</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c>
          <w:tcPr/>
          <w:p>
            <w:pPr>
              <w:pStyle w:val="Compact"/>
              <w:jc w:val="right"/>
            </w:pPr>
            <m:oMath>
              <m:r>
                <m:t>n</m:t>
              </m:r>
            </m:oMath>
            <w:r>
              <w:t xml:space="preserve">​</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r>
      <w:tr>
        <w:tc>
          <w:tcPr/>
          <w:p>
            <w:pPr>
              <w:pStyle w:val="Compact"/>
              <w:jc w:val="left"/>
            </w:pPr>
            <w:r>
              <w:t xml:space="preserve">Debt / assets</w:t>
            </w:r>
          </w:p>
        </w:tc>
        <w:tc>
          <w:tcPr/>
          <w:p>
            <w:pPr>
              <w:pStyle w:val="Compact"/>
              <w:jc w:val="right"/>
            </w:pPr>
            <w:r>
              <w:t xml:space="preserve">5</w:t>
            </w:r>
            <w:r>
              <w:t xml:space="preserve">,</w:t>
            </w:r>
            <w:r>
              <w:t xml:space="preserve">708</w:t>
            </w:r>
          </w:p>
        </w:tc>
        <w:tc>
          <w:tcPr/>
          <w:p>
            <w:pPr>
              <w:pStyle w:val="Compact"/>
              <w:jc w:val="right"/>
            </w:pPr>
            <w:r>
              <w:t xml:space="preserve">0.250</w:t>
            </w:r>
          </w:p>
        </w:tc>
        <w:tc>
          <w:tcPr/>
          <w:p>
            <w:pPr>
              <w:pStyle w:val="Compact"/>
              <w:jc w:val="right"/>
            </w:pPr>
            <w:r>
              <w:t xml:space="preserve">0.225</w:t>
            </w:r>
          </w:p>
        </w:tc>
        <w:tc>
          <w:tcPr/>
          <w:p>
            <w:pPr>
              <w:pStyle w:val="Compact"/>
              <w:jc w:val="right"/>
            </w:pPr>
            <w:r>
              <w:t xml:space="preserve">0.170</w:t>
            </w:r>
          </w:p>
        </w:tc>
        <w:tc>
          <w:tcPr/>
          <w:p>
            <w:pPr>
              <w:pStyle w:val="Compact"/>
              <w:jc w:val="right"/>
            </w:pPr>
            <w:r>
              <w:t xml:space="preserve">4</w:t>
            </w:r>
            <w:r>
              <w:t xml:space="preserve">,</w:t>
            </w:r>
            <w:r>
              <w:t xml:space="preserve">780</w:t>
            </w:r>
          </w:p>
        </w:tc>
        <w:tc>
          <w:tcPr/>
          <w:p>
            <w:pPr>
              <w:pStyle w:val="Compact"/>
              <w:jc w:val="right"/>
            </w:pPr>
            <w:r>
              <w:t xml:space="preserve">0.228</w:t>
            </w:r>
          </w:p>
        </w:tc>
        <w:tc>
          <w:tcPr/>
          <w:p>
            <w:pPr>
              <w:pStyle w:val="Compact"/>
              <w:jc w:val="right"/>
            </w:pPr>
            <w:r>
              <w:t xml:space="preserve">0.195</w:t>
            </w:r>
          </w:p>
        </w:tc>
        <w:tc>
          <w:tcPr/>
          <w:p>
            <w:pPr>
              <w:pStyle w:val="Compact"/>
              <w:jc w:val="right"/>
            </w:pPr>
            <w:r>
              <w:t xml:space="preserve">0.190</w:t>
            </w:r>
          </w:p>
        </w:tc>
      </w:tr>
      <w:tr>
        <w:tc>
          <w:tcPr/>
          <w:p>
            <w:pPr>
              <w:pStyle w:val="Compact"/>
              <w:jc w:val="left"/>
            </w:pPr>
            <w:r>
              <w:t xml:space="preserve">Short-term debt share</w:t>
            </w:r>
          </w:p>
        </w:tc>
        <w:tc>
          <w:tcPr/>
          <w:p>
            <w:pPr>
              <w:pStyle w:val="Compact"/>
              <w:jc w:val="right"/>
            </w:pPr>
            <w:r>
              <w:t xml:space="preserve">5</w:t>
            </w:r>
            <w:r>
              <w:t xml:space="preserve">,</w:t>
            </w:r>
            <w:r>
              <w:t xml:space="preserve">708</w:t>
            </w:r>
          </w:p>
        </w:tc>
        <w:tc>
          <w:tcPr/>
          <w:p>
            <w:pPr>
              <w:pStyle w:val="Compact"/>
              <w:jc w:val="right"/>
            </w:pPr>
            <w:r>
              <w:t xml:space="preserve">0.709</w:t>
            </w:r>
          </w:p>
        </w:tc>
        <w:tc>
          <w:tcPr/>
          <w:p>
            <w:pPr>
              <w:pStyle w:val="Compact"/>
              <w:jc w:val="right"/>
            </w:pPr>
            <w:r>
              <w:t xml:space="preserve">0.852</w:t>
            </w:r>
          </w:p>
        </w:tc>
        <w:tc>
          <w:tcPr/>
          <w:p>
            <w:pPr>
              <w:pStyle w:val="Compact"/>
              <w:jc w:val="right"/>
            </w:pPr>
            <w:r>
              <w:t xml:space="preserve">0.323</w:t>
            </w:r>
          </w:p>
        </w:tc>
        <w:tc>
          <w:tcPr/>
          <w:p>
            <w:pPr>
              <w:pStyle w:val="Compact"/>
              <w:jc w:val="right"/>
            </w:pPr>
            <w:r>
              <w:t xml:space="preserve">4</w:t>
            </w:r>
            <w:r>
              <w:t xml:space="preserve">,</w:t>
            </w:r>
            <w:r>
              <w:t xml:space="preserve">783</w:t>
            </w:r>
          </w:p>
        </w:tc>
        <w:tc>
          <w:tcPr/>
          <w:p>
            <w:pPr>
              <w:pStyle w:val="Compact"/>
              <w:jc w:val="right"/>
            </w:pPr>
            <w:r>
              <w:t xml:space="preserve">0.627</w:t>
            </w:r>
          </w:p>
        </w:tc>
        <w:tc>
          <w:tcPr/>
          <w:p>
            <w:pPr>
              <w:pStyle w:val="Compact"/>
              <w:jc w:val="right"/>
            </w:pPr>
            <w:r>
              <w:t xml:space="preserve">0.647</w:t>
            </w:r>
          </w:p>
        </w:tc>
        <w:tc>
          <w:tcPr/>
          <w:p>
            <w:pPr>
              <w:pStyle w:val="Compact"/>
              <w:jc w:val="right"/>
            </w:pPr>
            <w:r>
              <w:t xml:space="preserve">0.284</w:t>
            </w:r>
          </w:p>
        </w:tc>
      </w:tr>
      <w:tr>
        <w:tc>
          <w:tcPr/>
          <w:p>
            <w:pPr>
              <w:pStyle w:val="Compact"/>
              <w:jc w:val="left"/>
            </w:pPr>
            <w:r>
              <w:t xml:space="preserve">Implied borrowing cost</w:t>
            </w:r>
          </w:p>
        </w:tc>
        <w:tc>
          <w:tcPr/>
          <w:p>
            <w:pPr>
              <w:pStyle w:val="Compact"/>
              <w:jc w:val="right"/>
            </w:pPr>
            <w:r>
              <w:t xml:space="preserve">5</w:t>
            </w:r>
            <w:r>
              <w:t xml:space="preserve">,</w:t>
            </w:r>
            <w:r>
              <w:t xml:space="preserve">693</w:t>
            </w:r>
          </w:p>
        </w:tc>
        <w:tc>
          <w:tcPr/>
          <w:p>
            <w:pPr>
              <w:pStyle w:val="Compact"/>
              <w:jc w:val="right"/>
            </w:pPr>
            <w:r>
              <w:t xml:space="preserve">0.063</w:t>
            </w:r>
          </w:p>
        </w:tc>
        <w:tc>
          <w:tcPr/>
          <w:p>
            <w:pPr>
              <w:pStyle w:val="Compact"/>
              <w:jc w:val="right"/>
            </w:pPr>
            <w:r>
              <w:t xml:space="preserve">0.063</w:t>
            </w:r>
          </w:p>
        </w:tc>
        <w:tc>
          <w:tcPr/>
          <w:p>
            <w:pPr>
              <w:pStyle w:val="Compact"/>
              <w:jc w:val="right"/>
            </w:pPr>
            <w:r>
              <w:t xml:space="preserve">0.032</w:t>
            </w:r>
          </w:p>
        </w:tc>
        <w:tc>
          <w:tcPr/>
          <w:p>
            <w:pPr>
              <w:pStyle w:val="Compact"/>
              <w:jc w:val="right"/>
            </w:pPr>
            <w:r>
              <w:t xml:space="preserve">3</w:t>
            </w:r>
            <w:r>
              <w:t xml:space="preserve">,</w:t>
            </w:r>
            <w:r>
              <w:t xml:space="preserve">870</w:t>
            </w:r>
          </w:p>
        </w:tc>
        <w:tc>
          <w:tcPr/>
          <w:p>
            <w:pPr>
              <w:pStyle w:val="Compact"/>
              <w:jc w:val="right"/>
            </w:pPr>
            <w:r>
              <w:t xml:space="preserve">0.312</w:t>
            </w:r>
          </w:p>
        </w:tc>
        <w:tc>
          <w:tcPr/>
          <w:p>
            <w:pPr>
              <w:pStyle w:val="Compact"/>
              <w:jc w:val="right"/>
            </w:pPr>
            <w:r>
              <w:t xml:space="preserve">0.252</w:t>
            </w:r>
          </w:p>
        </w:tc>
        <w:tc>
          <w:tcPr/>
          <w:p>
            <w:pPr>
              <w:pStyle w:val="Compact"/>
              <w:jc w:val="right"/>
            </w:pPr>
            <w:r>
              <w:t xml:space="preserve">0.219</w:t>
            </w:r>
          </w:p>
        </w:tc>
      </w:tr>
      <w:tr>
        <w:tc>
          <w:tcPr/>
          <w:p>
            <w:pPr>
              <w:pStyle w:val="Compact"/>
              <w:jc w:val="left"/>
            </w:pPr>
            <w:r>
              <w:t xml:space="preserve">Interest coverage</w:t>
            </w:r>
          </w:p>
        </w:tc>
        <w:tc>
          <w:tcPr/>
          <w:p>
            <w:pPr>
              <w:pStyle w:val="Compact"/>
              <w:jc w:val="right"/>
            </w:pPr>
            <w:r>
              <w:t xml:space="preserve">5</w:t>
            </w:r>
            <w:r>
              <w:t xml:space="preserve">,</w:t>
            </w:r>
            <w:r>
              <w:t xml:space="preserve">340</w:t>
            </w:r>
          </w:p>
        </w:tc>
        <w:tc>
          <w:tcPr/>
          <w:p>
            <w:pPr>
              <w:pStyle w:val="Compact"/>
              <w:jc w:val="right"/>
            </w:pPr>
            <w:r>
              <w:t xml:space="preserve">9.225</w:t>
            </w:r>
          </w:p>
        </w:tc>
        <w:tc>
          <w:tcPr/>
          <w:p>
            <w:pPr>
              <w:pStyle w:val="Compact"/>
              <w:jc w:val="right"/>
            </w:pPr>
            <w:r>
              <w:t xml:space="preserve">3.290</w:t>
            </w:r>
          </w:p>
        </w:tc>
        <w:tc>
          <w:tcPr/>
          <w:p>
            <w:pPr>
              <w:pStyle w:val="Compact"/>
              <w:jc w:val="right"/>
            </w:pPr>
            <w:r>
              <w:t xml:space="preserve">15.698</w:t>
            </w:r>
          </w:p>
        </w:tc>
        <w:tc>
          <w:tcPr/>
          <w:p>
            <w:pPr>
              <w:pStyle w:val="Compact"/>
              <w:jc w:val="right"/>
            </w:pPr>
            <w:r>
              <w:t xml:space="preserve">4</w:t>
            </w:r>
            <w:r>
              <w:t xml:space="preserve">,</w:t>
            </w:r>
            <w:r>
              <w:t xml:space="preserve">673</w:t>
            </w:r>
          </w:p>
        </w:tc>
        <w:tc>
          <w:tcPr/>
          <w:p>
            <w:pPr>
              <w:pStyle w:val="Compact"/>
              <w:jc w:val="right"/>
            </w:pPr>
            <w:r>
              <w:t xml:space="preserve">2.680</w:t>
            </w:r>
          </w:p>
        </w:tc>
        <w:tc>
          <w:tcPr/>
          <w:p>
            <w:pPr>
              <w:pStyle w:val="Compact"/>
              <w:jc w:val="right"/>
            </w:pPr>
            <w:r>
              <w:t xml:space="preserve">1.068</w:t>
            </w:r>
          </w:p>
        </w:tc>
        <w:tc>
          <w:tcPr/>
          <w:p>
            <w:pPr>
              <w:pStyle w:val="Compact"/>
              <w:jc w:val="right"/>
            </w:pPr>
            <w:r>
              <w:t xml:space="preserve">6.502</w:t>
            </w:r>
          </w:p>
        </w:tc>
      </w:tr>
      <w:tr>
        <w:tc>
          <w:tcPr/>
          <w:p>
            <w:pPr>
              <w:pStyle w:val="Compact"/>
              <w:jc w:val="left"/>
            </w:pPr>
            <w:r>
              <w:t xml:space="preserve">Return on assets</w:t>
            </w:r>
          </w:p>
        </w:tc>
        <w:tc>
          <w:tcPr/>
          <w:p>
            <w:pPr>
              <w:pStyle w:val="Compact"/>
              <w:jc w:val="right"/>
            </w:pPr>
            <w:r>
              <w:t xml:space="preserve">5</w:t>
            </w:r>
            <w:r>
              <w:t xml:space="preserve">,</w:t>
            </w:r>
            <w:r>
              <w:t xml:space="preserve">698</w:t>
            </w:r>
          </w:p>
        </w:tc>
        <w:tc>
          <w:tcPr/>
          <w:p>
            <w:pPr>
              <w:pStyle w:val="Compact"/>
              <w:jc w:val="right"/>
            </w:pPr>
            <w:r>
              <w:t xml:space="preserve">0.065</w:t>
            </w:r>
          </w:p>
        </w:tc>
        <w:tc>
          <w:tcPr/>
          <w:p>
            <w:pPr>
              <w:pStyle w:val="Compact"/>
              <w:jc w:val="right"/>
            </w:pPr>
            <w:r>
              <w:t xml:space="preserve">0.053</w:t>
            </w:r>
          </w:p>
        </w:tc>
        <w:tc>
          <w:tcPr/>
          <w:p>
            <w:pPr>
              <w:pStyle w:val="Compact"/>
              <w:jc w:val="right"/>
            </w:pPr>
            <w:r>
              <w:t xml:space="preserve">0.065</w:t>
            </w:r>
          </w:p>
        </w:tc>
        <w:tc>
          <w:tcPr/>
          <w:p>
            <w:pPr>
              <w:pStyle w:val="Compact"/>
              <w:jc w:val="right"/>
            </w:pPr>
            <w:r>
              <w:t xml:space="preserve">4</w:t>
            </w:r>
            <w:r>
              <w:t xml:space="preserve">,</w:t>
            </w:r>
            <w:r>
              <w:t xml:space="preserve">783</w:t>
            </w:r>
          </w:p>
        </w:tc>
        <w:tc>
          <w:tcPr/>
          <w:p>
            <w:pPr>
              <w:pStyle w:val="Compact"/>
              <w:jc w:val="right"/>
            </w:pPr>
            <w:r>
              <w:t xml:space="preserve">0.080</w:t>
            </w:r>
          </w:p>
        </w:tc>
        <w:tc>
          <w:tcPr/>
          <w:p>
            <w:pPr>
              <w:pStyle w:val="Compact"/>
              <w:jc w:val="right"/>
            </w:pPr>
            <w:r>
              <w:t xml:space="preserve">0.070</w:t>
            </w:r>
          </w:p>
        </w:tc>
        <w:tc>
          <w:tcPr/>
          <w:p>
            <w:pPr>
              <w:pStyle w:val="Compact"/>
              <w:jc w:val="right"/>
            </w:pPr>
            <w:r>
              <w:t xml:space="preserve">0.105</w:t>
            </w:r>
          </w:p>
        </w:tc>
      </w:tr>
    </w:tbl>
    <w:p>
      <w:pPr>
        <w:pStyle w:val="BodyText"/>
      </w:pPr>
      <w:r>
        <w:t xml:space="preserve">Leverage is comparable across markets at 20–25% of assets, and both corporate</w:t>
      </w:r>
      <w:r>
        <w:t xml:space="preserve"> </w:t>
      </w:r>
      <w:r>
        <w:t xml:space="preserve">sectors fund themselves predominantly at short maturity; the Vietnamese median</w:t>
      </w:r>
      <w:r>
        <w:t xml:space="preserve"> </w:t>
      </w:r>
      <w:r>
        <w:t xml:space="preserve">short-term share of 0.85 speaks to the rollover-risk framing of</w:t>
      </w:r>
      <w:r>
        <w:t xml:space="preserve"> </w:t>
      </w:r>
      <w:r>
        <w:t xml:space="preserve">He &amp; Xiong (2012)</w:t>
      </w:r>
      <w:r>
        <w:t xml:space="preserve">. The contrast in distress is stark: median Turkish interest</w:t>
      </w:r>
      <w:r>
        <w:t xml:space="preserve"> </w:t>
      </w:r>
      <w:r>
        <w:t xml:space="preserve">coverage is 1.07 against Vietnam’s 3.29, placing the median Turkish firm close</w:t>
      </w:r>
      <w:r>
        <w:t xml:space="preserve"> </w:t>
      </w:r>
      <w:r>
        <w:t xml:space="preserve">to the covenant-relevant threshold</w:t>
      </w:r>
      <w:r>
        <w:t xml:space="preserve"> </w:t>
      </w:r>
      <w:r>
        <w:t xml:space="preserve">Greenwald (2019)</w:t>
      </w:r>
      <w:r>
        <w:t xml:space="preserve"> </w:t>
      </w:r>
      <w:r>
        <w:t xml:space="preserve">identifies.</w:t>
      </w:r>
    </w:p>
    <w:bookmarkEnd w:id="36"/>
    <w:bookmarkStart w:id="37" w:name="Xa34a605c41a89e6352d9727b1f53f16c7797a1f"/>
    <w:p>
      <w:pPr>
        <w:pStyle w:val="Heading3"/>
      </w:pPr>
      <w:r>
        <w:t xml:space="preserve">Cross-validation against an independent source</w:t>
      </w:r>
    </w:p>
    <w:p>
      <w:pPr>
        <w:pStyle w:val="FirstParagraph"/>
      </w:pPr>
      <w:r>
        <w:t xml:space="preserve">Because the subject is measurement, we test rather than assume our panels.</w:t>
      </w:r>
      <w:r>
        <w:t xml:space="preserve"> </w:t>
      </w:r>
      <w:r>
        <w:t xml:space="preserve">Table 3 reports the reconciliation.</w:t>
      </w:r>
    </w:p>
    <w:p>
      <w:pPr>
        <w:pStyle w:val="TableCaption"/>
      </w:pPr>
      <w:r>
        <w:t xml:space="preserve">Reconciliation with an independent source</w:t>
      </w:r>
    </w:p>
    <w:tbl>
      <w:tblPr>
        <w:tblStyle w:val="Table"/>
        <w:tblW w:type="auto" w:w="0"/>
        <w:tblLook w:firstRow="1" w:lastRow="0" w:firstColumn="0" w:lastColumn="0" w:noHBand="0" w:noVBand="0" w:val="0020"/>
        <w:tblCaption w:val="Reconciliation with an independent source"/>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Vietnam</w:t>
            </w:r>
          </w:p>
        </w:tc>
        <w:tc>
          <w:tcPr>
            <w:gridSpan w:val="2"/>
          </w:tcPr>
          <w:p>
            <w:pPr>
              <w:pStyle w:val="Compact"/>
              <w:jc w:val="center"/>
            </w:pPr>
            <w:r>
              <w:t xml:space="preserve">Türkiye</w:t>
            </w:r>
          </w:p>
        </w:tc>
      </w:tr>
      <w:tr>
        <w:tc>
          <w:tcPr/>
          <w:p>
            <w:pPr>
              <w:pStyle w:val="Compact"/>
              <w:jc w:val="left"/>
            </w:pPr>
            <w:r>
              <w:t xml:space="preserve">2-3</w:t>
            </w:r>
            <w:r>
              <w:t xml:space="preserve">(lr)</w:t>
            </w:r>
            <w:r>
              <w:t xml:space="preserve">4-5</w:t>
            </w:r>
            <w:r>
              <w:t xml:space="preserve"> </w:t>
            </w:r>
            <w:r>
              <w:t xml:space="preserve">Variable</w:t>
            </w:r>
          </w:p>
        </w:tc>
        <w:tc>
          <w:tcPr/>
          <w:p>
            <w:pPr>
              <w:pStyle w:val="Compact"/>
              <w:jc w:val="right"/>
            </w:pPr>
            <w:r>
              <w:t xml:space="preserve">Corr.</w:t>
            </w:r>
          </w:p>
        </w:tc>
        <w:tc>
          <w:tcPr/>
          <w:p>
            <w:pPr>
              <w:pStyle w:val="Compact"/>
              <w:jc w:val="right"/>
            </w:pPr>
            <w:r>
              <w:t xml:space="preserve">Median diff.</w:t>
            </w:r>
          </w:p>
        </w:tc>
        <w:tc>
          <w:tcPr/>
          <w:p>
            <w:pPr>
              <w:pStyle w:val="Compact"/>
              <w:jc w:val="right"/>
            </w:pPr>
            <w:r>
              <w:t xml:space="preserve">Corr.</w:t>
            </w:r>
          </w:p>
        </w:tc>
        <w:tc>
          <w:tcPr/>
          <w:p>
            <w:pPr>
              <w:pStyle w:val="Compact"/>
              <w:jc w:val="right"/>
            </w:pPr>
            <w:r>
              <w:t xml:space="preserve">Median diff.</w:t>
            </w:r>
          </w:p>
        </w:tc>
      </w:tr>
      <w:tr>
        <w:tc>
          <w:tcPr/>
          <w:p>
            <w:pPr>
              <w:pStyle w:val="Compact"/>
              <w:jc w:val="left"/>
            </w:pPr>
            <w:r>
              <w:t xml:space="preserve">Total assets</w:t>
            </w:r>
          </w:p>
        </w:tc>
        <w:tc>
          <w:tcPr/>
          <w:p>
            <w:pPr>
              <w:pStyle w:val="Compact"/>
              <w:jc w:val="right"/>
            </w:pPr>
            <w:r>
              <w:t xml:space="preserve">1.0000</w:t>
            </w:r>
          </w:p>
        </w:tc>
        <w:tc>
          <w:tcPr/>
          <w:p>
            <w:pPr>
              <w:pStyle w:val="Compact"/>
              <w:jc w:val="right"/>
            </w:pPr>
            <w:r>
              <w:t xml:space="preserve">0.0000</w:t>
            </w:r>
          </w:p>
        </w:tc>
        <w:tc>
          <w:tcPr/>
          <w:p>
            <w:pPr>
              <w:pStyle w:val="Compact"/>
              <w:jc w:val="right"/>
            </w:pPr>
            <w:r>
              <w:t xml:space="preserve">0.9635</w:t>
            </w:r>
          </w:p>
        </w:tc>
        <w:tc>
          <w:tcPr/>
          <w:p>
            <w:pPr>
              <w:pStyle w:val="Compact"/>
              <w:jc w:val="right"/>
            </w:pPr>
            <w:r>
              <w:t xml:space="preserve">0.0000</w:t>
            </w:r>
          </w:p>
        </w:tc>
      </w:tr>
      <w:tr>
        <w:tc>
          <w:tcPr/>
          <w:p>
            <w:pPr>
              <w:pStyle w:val="Compact"/>
              <w:jc w:val="left"/>
            </w:pPr>
            <w:r>
              <w:t xml:space="preserve">Revenue</w:t>
            </w:r>
          </w:p>
        </w:tc>
        <w:tc>
          <w:tcPr/>
          <w:p>
            <w:pPr>
              <w:pStyle w:val="Compact"/>
              <w:jc w:val="right"/>
            </w:pPr>
            <w:r>
              <w:t xml:space="preserve">0.9999</w:t>
            </w:r>
          </w:p>
        </w:tc>
        <w:tc>
          <w:tcPr/>
          <w:p>
            <w:pPr>
              <w:pStyle w:val="Compact"/>
              <w:jc w:val="right"/>
            </w:pPr>
            <w:r>
              <w:t xml:space="preserve">0.0000</w:t>
            </w:r>
          </w:p>
        </w:tc>
        <w:tc>
          <w:tcPr/>
          <w:p>
            <w:pPr>
              <w:pStyle w:val="Compact"/>
              <w:jc w:val="right"/>
            </w:pPr>
            <w:r>
              <w:t xml:space="preserve">0.9431</w:t>
            </w:r>
          </w:p>
        </w:tc>
        <w:tc>
          <w:tcPr/>
          <w:p>
            <w:pPr>
              <w:pStyle w:val="Compact"/>
              <w:jc w:val="right"/>
            </w:pPr>
            <w:r>
              <w:t xml:space="preserve">0.0000</w:t>
            </w:r>
          </w:p>
        </w:tc>
      </w:tr>
      <w:tr>
        <w:tc>
          <w:tcPr/>
          <w:p>
            <w:pPr>
              <w:pStyle w:val="Compact"/>
              <w:jc w:val="left"/>
            </w:pPr>
            <w:r>
              <w:t xml:space="preserve">Total debt</w:t>
            </w:r>
          </w:p>
        </w:tc>
        <w:tc>
          <w:tcPr/>
          <w:p>
            <w:pPr>
              <w:pStyle w:val="Compact"/>
              <w:jc w:val="right"/>
            </w:pPr>
            <w:r>
              <w:t xml:space="preserve">0.9906</w:t>
            </w:r>
          </w:p>
        </w:tc>
        <w:tc>
          <w:tcPr/>
          <w:p>
            <w:pPr>
              <w:pStyle w:val="Compact"/>
              <w:jc w:val="right"/>
            </w:pPr>
            <w:r>
              <w:t xml:space="preserve">0.0000</w:t>
            </w:r>
          </w:p>
        </w:tc>
        <w:tc>
          <w:tcPr/>
          <w:p>
            <w:pPr>
              <w:pStyle w:val="Compact"/>
              <w:jc w:val="right"/>
            </w:pPr>
            <w:r>
              <w:t xml:space="preserve">0.8934</w:t>
            </w:r>
          </w:p>
        </w:tc>
        <w:tc>
          <w:tcPr/>
          <w:p>
            <w:pPr>
              <w:pStyle w:val="Compact"/>
              <w:jc w:val="right"/>
            </w:pPr>
            <m:oMath>
              <m:r>
                <m:rPr>
                  <m:sty m:val="p"/>
                </m:rPr>
                <m:t>−</m:t>
              </m:r>
              <m:r>
                <m:t>0.0780</m:t>
              </m:r>
            </m:oMath>
            <w:r>
              <w:t xml:space="preserve">​</w:t>
            </w:r>
          </w:p>
        </w:tc>
      </w:tr>
      <w:tr>
        <w:tc>
          <w:tcPr/>
          <w:p>
            <w:pPr>
              <w:pStyle w:val="Compact"/>
              <w:jc w:val="left"/>
            </w:pPr>
            <w:r>
              <w:t xml:space="preserve">Equity</w:t>
            </w:r>
          </w:p>
        </w:tc>
        <w:tc>
          <w:tcPr/>
          <w:p>
            <w:pPr>
              <w:pStyle w:val="Compact"/>
              <w:jc w:val="right"/>
            </w:pPr>
            <w:r>
              <w:t xml:space="preserve">0.9956</w:t>
            </w:r>
          </w:p>
        </w:tc>
        <w:tc>
          <w:tcPr/>
          <w:p>
            <w:pPr>
              <w:pStyle w:val="Compact"/>
              <w:jc w:val="right"/>
            </w:pPr>
            <m:oMath>
              <m:r>
                <m:rPr>
                  <m:sty m:val="p"/>
                </m:rPr>
                <m:t>−</m:t>
              </m:r>
              <m:r>
                <m:t>0.0447</m:t>
              </m:r>
            </m:oMath>
            <w:r>
              <w:t xml:space="preserve">​</w:t>
            </w:r>
          </w:p>
        </w:tc>
        <w:tc>
          <w:tcPr/>
          <w:p>
            <w:pPr>
              <w:pStyle w:val="Compact"/>
              <w:jc w:val="right"/>
            </w:pPr>
            <w:r>
              <w:t xml:space="preserve">0.8412</w:t>
            </w:r>
          </w:p>
        </w:tc>
        <w:tc>
          <w:tcPr/>
          <w:p>
            <w:pPr>
              <w:pStyle w:val="Compact"/>
              <w:jc w:val="right"/>
            </w:pPr>
            <m:oMath>
              <m:r>
                <m:rPr>
                  <m:sty m:val="p"/>
                </m:rPr>
                <m:t>−</m:t>
              </m:r>
              <m:r>
                <m:t>0.0003</m:t>
              </m:r>
            </m:oMath>
            <w:r>
              <w:t xml:space="preserve">​</w:t>
            </w:r>
          </w:p>
        </w:tc>
      </w:tr>
      <w:tr>
        <w:tc>
          <w:tcPr/>
          <w:p>
            <w:pPr>
              <w:pStyle w:val="Compact"/>
              <w:jc w:val="left"/>
            </w:pPr>
            <w:r>
              <w:t xml:space="preserve">EBIT</w:t>
            </w:r>
          </w:p>
        </w:tc>
        <w:tc>
          <w:tcPr/>
          <w:p>
            <w:pPr>
              <w:pStyle w:val="Compact"/>
              <w:jc w:val="right"/>
            </w:pPr>
            <w:r>
              <w:t xml:space="preserve">0.7657</w:t>
            </w:r>
          </w:p>
        </w:tc>
        <w:tc>
          <w:tcPr/>
          <w:p>
            <w:pPr>
              <w:pStyle w:val="Compact"/>
              <w:jc w:val="right"/>
            </w:pPr>
            <m:oMath>
              <m:r>
                <m:rPr>
                  <m:sty m:val="p"/>
                </m:rPr>
                <m:t>+</m:t>
              </m:r>
              <m:r>
                <m:t>0.2339</m:t>
              </m:r>
            </m:oMath>
            <w:r>
              <w:t xml:space="preserve">​</w:t>
            </w:r>
          </w:p>
        </w:tc>
        <w:tc>
          <w:tcPr/>
          <w:p>
            <w:pPr>
              <w:pStyle w:val="Compact"/>
              <w:jc w:val="right"/>
            </w:pPr>
            <w:r>
              <w:t xml:space="preserve">0.8499</w:t>
            </w:r>
          </w:p>
        </w:tc>
        <w:tc>
          <w:tcPr/>
          <w:p>
            <w:pPr>
              <w:pStyle w:val="Compact"/>
              <w:jc w:val="right"/>
            </w:pPr>
            <m:oMath>
              <m:r>
                <m:rPr>
                  <m:sty m:val="p"/>
                </m:rPr>
                <m:t>+</m:t>
              </m:r>
              <m:r>
                <m:t>0.0798</m:t>
              </m:r>
            </m:oMath>
            <w:r>
              <w:t xml:space="preserve">​</w:t>
            </w:r>
          </w:p>
        </w:tc>
      </w:tr>
      <w:tr>
        <w:tc>
          <w:tcPr/>
          <w:p>
            <w:pPr>
              <w:pStyle w:val="Compact"/>
              <w:jc w:val="left"/>
            </w:pPr>
            <w:r>
              <w:t xml:space="preserve">Interest expense (abs.)</w:t>
            </w:r>
          </w:p>
        </w:tc>
        <w:tc>
          <w:tcPr/>
          <w:p>
            <w:pPr>
              <w:pStyle w:val="Compact"/>
              <w:jc w:val="right"/>
            </w:pPr>
            <w:r>
              <w:t xml:space="preserve">0.9913</w:t>
            </w:r>
          </w:p>
        </w:tc>
        <w:tc>
          <w:tcPr/>
          <w:p>
            <w:pPr>
              <w:pStyle w:val="Compact"/>
              <w:jc w:val="right"/>
            </w:pPr>
            <w:r>
              <w:t xml:space="preserve">0.0000</w:t>
            </w:r>
          </w:p>
        </w:tc>
        <w:tc>
          <w:tcPr/>
          <w:p>
            <w:pPr>
              <w:pStyle w:val="Compact"/>
              <w:jc w:val="right"/>
            </w:pPr>
            <w:r>
              <w:rPr>
                <w:b/>
                <w:bCs/>
              </w:rPr>
              <w:t xml:space="preserve">0.4950</w:t>
            </w:r>
          </w:p>
        </w:tc>
        <w:tc>
          <w:tcPr/>
          <w:p>
            <w:pPr>
              <w:pStyle w:val="Compact"/>
              <w:jc w:val="right"/>
            </w:pPr>
            <m:oMath>
              <m:r>
                <m:rPr>
                  <m:sty m:val="b"/>
                </m:rPr>
                <m:t>−</m:t>
              </m:r>
              <m:r>
                <m:rPr>
                  <m:sty m:val="b"/>
                </m:rPr>
                <m:t>0.5955</m:t>
              </m:r>
            </m:oMath>
            <w:r>
              <w:t xml:space="preserve">​</w:t>
            </w:r>
          </w:p>
        </w:tc>
      </w:tr>
    </w:tbl>
    <w:p>
      <w:pPr>
        <w:pStyle w:val="BodyText"/>
      </w:pPr>
      <w:r>
        <w:t xml:space="preserve">Total assets and revenue reconcile at a median relative difference of zero in</w:t>
      </w:r>
      <w:r>
        <w:t xml:space="preserve"> </w:t>
      </w:r>
      <w:r>
        <w:t xml:space="preserve">both countries, though the correlation is tighter in Vietnam (1.0000, 0.9999)</w:t>
      </w:r>
      <w:r>
        <w:t xml:space="preserve"> </w:t>
      </w:r>
      <w:r>
        <w:t xml:space="preserve">than Türkiye (0.9635, 0.9431). Equity differs by about four percent in</w:t>
      </w:r>
      <w:r>
        <w:t xml:space="preserve"> </w:t>
      </w:r>
      <w:r>
        <w:t xml:space="preserve">Vietnam and negligibly in Türkiye, in each case because the aggregator</w:t>
      </w:r>
      <w:r>
        <w:t xml:space="preserve"> </w:t>
      </w:r>
      <w:r>
        <w:t xml:space="preserve">reports parent-only equity where the national source consolidates minority</w:t>
      </w:r>
      <w:r>
        <w:t xml:space="preserve"> </w:t>
      </w:r>
      <w:r>
        <w:t xml:space="preserve">interest; EBIT differs by 23% in Vietnam and 8% in Türkiye because the</w:t>
      </w:r>
      <w:r>
        <w:t xml:space="preserve"> </w:t>
      </w:r>
      <w:r>
        <w:t xml:space="preserve">aggregator derives it from pretax income plus interest rather than reported</w:t>
      </w:r>
      <w:r>
        <w:t xml:space="preserve"> </w:t>
      </w:r>
      <w:r>
        <w:t xml:space="preserve">operating profit. All of the above are definitional. The interest-expense</w:t>
      </w:r>
      <w:r>
        <w:t xml:space="preserve"> </w:t>
      </w:r>
      <w:r>
        <w:t xml:space="preserve">discrepancy in Türkiye is not, and Section 4.1 is devoted to</w:t>
      </w:r>
      <w:r>
        <w:t xml:space="preserve"> </w:t>
      </w:r>
      <w:r>
        <w:t xml:space="preserve">it.</w:t>
      </w:r>
    </w:p>
    <w:bookmarkEnd w:id="37"/>
    <w:bookmarkEnd w:id="38"/>
    <w:bookmarkEnd w:id="39"/>
    <w:bookmarkStart w:id="52" w:name="X66688503cadcba8d26e47c16a27d194f4843f84"/>
    <w:p>
      <w:pPr>
        <w:pStyle w:val="Heading1"/>
      </w:pPr>
      <w:r>
        <w:t xml:space="preserve">Measuring the price of debt and firm exposure</w:t>
      </w:r>
    </w:p>
    <w:bookmarkStart w:id="46" w:name="the-price-of-corporate-debt"/>
    <w:p>
      <w:pPr>
        <w:pStyle w:val="Heading2"/>
      </w:pPr>
      <w:r>
        <w:t xml:space="preserve">The price of corporate debt</w:t>
      </w:r>
    </w:p>
    <w:bookmarkStart w:id="43" w:name="construction-and-validation"/>
    <w:p>
      <w:pPr>
        <w:pStyle w:val="Heading3"/>
      </w:pPr>
      <w:r>
        <w:t xml:space="preserve">Construction and validation</w:t>
      </w:r>
    </w:p>
    <w:p>
      <w:pPr>
        <w:pStyle w:val="FirstParagraph"/>
      </w:pPr>
      <w:r>
        <w:t xml:space="preserve">For firm</w:t>
      </w:r>
      <w:r>
        <w:t xml:space="preserve"> </w:t>
      </w:r>
      <m:oMath>
        <m:r>
          <m:t>i</m:t>
        </m:r>
      </m:oMath>
      <w:r>
        <w:t xml:space="preserve"> </w:t>
      </w:r>
      <w:r>
        <w:t xml:space="preserve">in year</w:t>
      </w:r>
      <w:r>
        <w:t xml:space="preserve"> </w:t>
      </w:r>
      <m:oMath>
        <m:r>
          <m:t>t</m:t>
        </m:r>
      </m:oMath>
      <w:r>
        <w:t xml:space="preserve"> </w:t>
      </w:r>
      <w:r>
        <w:t xml:space="preserve">the implied borrowing cost is</w:t>
      </w:r>
    </w:p>
    <w:p>
      <w:pPr>
        <w:pStyle w:val="BodyText"/>
      </w:pPr>
      <m:oMathPara>
        <m:oMathParaPr>
          <m:jc m:val="center"/>
        </m:oMathParaPr>
        <m:oMath>
          <m:sSub>
            <m:e>
              <m:r>
                <m:t>r</m:t>
              </m:r>
            </m:e>
            <m:sub>
              <m:r>
                <m:t>i</m:t>
              </m:r>
              <m:r>
                <m:t>t</m:t>
              </m:r>
            </m:sub>
          </m:sSub>
          <m:r>
            <m:t> </m:t>
          </m:r>
          <m:r>
            <m:rPr>
              <m:sty m:val="p"/>
            </m:rPr>
            <m:t>=</m:t>
          </m:r>
          <m:r>
            <m:t> </m:t>
          </m:r>
          <m:f>
            <m:fPr>
              <m:type m:val="bar"/>
            </m:fPr>
            <m:num>
              <m:r>
                <m:rPr>
                  <m:sty m:val="p"/>
                </m:rPr>
                <m:t>|</m:t>
              </m:r>
              <m:sSub>
                <m:e>
                  <m:r>
                    <m:rPr>
                      <m:sty m:val="p"/>
                    </m:rPr>
                    <m:t>I</m:t>
                  </m:r>
                  <m:r>
                    <m:rPr>
                      <m:sty m:val="p"/>
                    </m:rPr>
                    <m:t>n</m:t>
                  </m:r>
                  <m:r>
                    <m:rPr>
                      <m:sty m:val="p"/>
                    </m:rPr>
                    <m:t>t</m:t>
                  </m:r>
                  <m:r>
                    <m:rPr>
                      <m:sty m:val="p"/>
                    </m:rPr>
                    <m:t>e</m:t>
                  </m:r>
                  <m:r>
                    <m:rPr>
                      <m:sty m:val="p"/>
                    </m:rPr>
                    <m:t>r</m:t>
                  </m:r>
                  <m:r>
                    <m:rPr>
                      <m:sty m:val="p"/>
                    </m:rPr>
                    <m:t>e</m:t>
                  </m:r>
                  <m:r>
                    <m:rPr>
                      <m:sty m:val="p"/>
                    </m:rPr>
                    <m:t>s</m:t>
                  </m:r>
                  <m:r>
                    <m:rPr>
                      <m:sty m:val="p"/>
                    </m:rPr>
                    <m:t>t</m:t>
                  </m:r>
                  <m:r>
                    <m:rPr>
                      <m:sty m:val="p"/>
                    </m:rPr>
                    <m:t> </m:t>
                  </m:r>
                  <m:r>
                    <m:rPr>
                      <m:sty m:val="p"/>
                    </m:rPr>
                    <m:t>e</m:t>
                  </m:r>
                  <m:r>
                    <m:rPr>
                      <m:sty m:val="p"/>
                    </m:rPr>
                    <m:t>x</m:t>
                  </m:r>
                  <m:r>
                    <m:rPr>
                      <m:sty m:val="p"/>
                    </m:rPr>
                    <m:t>p</m:t>
                  </m:r>
                  <m:r>
                    <m:rPr>
                      <m:sty m:val="p"/>
                    </m:rPr>
                    <m:t>e</m:t>
                  </m:r>
                  <m:r>
                    <m:rPr>
                      <m:sty m:val="p"/>
                    </m:rPr>
                    <m:t>n</m:t>
                  </m:r>
                  <m:r>
                    <m:rPr>
                      <m:sty m:val="p"/>
                    </m:rPr>
                    <m:t>s</m:t>
                  </m:r>
                  <m:r>
                    <m:rPr>
                      <m:sty m:val="p"/>
                    </m:rPr>
                    <m:t>e</m:t>
                  </m:r>
                </m:e>
                <m:sub>
                  <m:r>
                    <m:t>i</m:t>
                  </m:r>
                  <m:r>
                    <m:t>t</m:t>
                  </m:r>
                </m:sub>
              </m:sSub>
              <m:r>
                <m:rPr>
                  <m:sty m:val="p"/>
                </m:rPr>
                <m:t>|</m:t>
              </m:r>
            </m:num>
            <m:den>
              <m:f>
                <m:fPr>
                  <m:type m:val="lin"/>
                </m:fPr>
                <m:num>
                  <m:r>
                    <m:t>1</m:t>
                  </m:r>
                </m:num>
                <m:den>
                  <m:r>
                    <m:t>2</m:t>
                  </m:r>
                </m:den>
              </m:f>
              <m:d>
                <m:dPr>
                  <m:begChr m:val="("/>
                  <m:sepChr m:val=""/>
                  <m:endChr m:val=")"/>
                  <m:grow/>
                </m:dPr>
                <m:e>
                  <m:sSub>
                    <m:e>
                      <m:r>
                        <m:t>D</m:t>
                      </m:r>
                    </m:e>
                    <m:sub>
                      <m:r>
                        <m:t>i</m:t>
                      </m:r>
                      <m:r>
                        <m:t>t</m:t>
                      </m:r>
                    </m:sub>
                  </m:sSub>
                  <m:r>
                    <m:rPr>
                      <m:sty m:val="p"/>
                    </m:rPr>
                    <m:t>+</m:t>
                  </m:r>
                  <m:sSub>
                    <m:e>
                      <m:r>
                        <m:t>D</m:t>
                      </m:r>
                    </m:e>
                    <m:sub>
                      <m:r>
                        <m:t>i</m:t>
                      </m:r>
                      <m:r>
                        <m:rPr>
                          <m:sty m:val="p"/>
                        </m:rPr>
                        <m:t>,</m:t>
                      </m:r>
                      <m:r>
                        <m:t>t</m:t>
                      </m:r>
                      <m:r>
                        <m:rPr>
                          <m:sty m:val="p"/>
                        </m:rPr>
                        <m:t>−</m:t>
                      </m:r>
                      <m:r>
                        <m:t>1</m:t>
                      </m:r>
                    </m:sub>
                  </m:sSub>
                </m:e>
              </m:d>
            </m:den>
          </m:f>
          <m:r>
            <m:rPr>
              <m:sty m:val="p"/>
            </m:rPr>
            <m:t>,</m:t>
          </m:r>
        </m:oMath>
      </m:oMathPara>
    </w:p>
    <w:p>
      <w:pPr>
        <w:pStyle w:val="FirstParagraph"/>
      </w:pPr>
      <w:r>
        <w:t xml:space="preserve">with</w:t>
      </w:r>
      <w:r>
        <w:t xml:space="preserve"> </w:t>
      </w:r>
      <m:oMath>
        <m:r>
          <m:t>D</m:t>
        </m:r>
      </m:oMath>
      <w:r>
        <w:t xml:space="preserve"> </w:t>
      </w:r>
      <w:r>
        <w:t xml:space="preserve">the sum of short- and long-term borrowings. Averaging the denominator</w:t>
      </w:r>
      <w:r>
        <w:t xml:space="preserve"> </w:t>
      </w:r>
      <w:r>
        <w:t xml:space="preserve">prevents the ratio being driven mechanically by borrowing undertaken during the</w:t>
      </w:r>
      <w:r>
        <w:t xml:space="preserve"> </w:t>
      </w:r>
      <w:r>
        <w:t xml:space="preserve">year. By Proposition 8,</w:t>
      </w:r>
      <w:r>
        <w:t xml:space="preserve"> </w:t>
      </w:r>
      <m:oMath>
        <m:r>
          <m:rPr>
            <m:sty m:val="p"/>
          </m:rPr>
          <m:t>log</m:t>
        </m:r>
        <m:sSub>
          <m:e>
            <m:r>
              <m:t>r</m:t>
            </m:r>
          </m:e>
          <m:sub>
            <m:r>
              <m:t>i</m:t>
            </m:r>
            <m:r>
              <m:t>t</m:t>
            </m:r>
          </m:sub>
        </m:sSub>
      </m:oMath>
      <w:r>
        <w:t xml:space="preserve"> </w:t>
      </w:r>
      <w:r>
        <w:t xml:space="preserve">is contaminated only by an</w:t>
      </w:r>
      <w:r>
        <w:t xml:space="preserve"> </w:t>
      </w:r>
      <w:r>
        <w:t xml:space="preserve">additive time effect under restatement, and we use logs throughout.</w:t>
      </w:r>
    </w:p>
    <w:p>
      <w:pPr>
        <w:pStyle w:val="BodyText"/>
      </w:pPr>
      <w:r>
        <w:t xml:space="preserve">The measure is not calibrated to any policy series, so recovering one is a</w:t>
      </w:r>
      <w:r>
        <w:t xml:space="preserve"> </w:t>
      </w:r>
      <w:r>
        <w:t xml:space="preserve">genuine test. Table 4 reports it.</w:t>
      </w:r>
    </w:p>
    <w:p>
      <w:pPr>
        <w:pStyle w:val="TableCaption"/>
      </w:pPr>
      <w:r>
        <w:t xml:space="preserve">Median implied borrowing cost and the policy path</w:t>
      </w:r>
    </w:p>
    <w:tbl>
      <w:tblPr>
        <w:tblStyle w:val="Table"/>
        <w:tblW w:type="auto" w:w="0"/>
        <w:tblLook w:firstRow="1" w:lastRow="0" w:firstColumn="0" w:lastColumn="0" w:noHBand="0" w:noVBand="0" w:val="0020"/>
        <w:tblCaption w:val="Median implied borrowing cost and the policy path"/>
      </w:tblPr>
      <w:tblGrid>
        <w:gridCol w:w="1320"/>
        <w:gridCol w:w="1320"/>
        <w:gridCol w:w="1320"/>
        <w:gridCol w:w="1320"/>
        <w:gridCol w:w="1320"/>
        <w:gridCol w:w="1320"/>
      </w:tblGrid>
      <w:tr>
        <w:trPr>
          <w:tblHeader w:val="on"/>
        </w:trPr>
        <w:tc>
          <w:tcPr>
            <w:gridSpan w:val="3"/>
          </w:tcPr>
          <w:p>
            <w:pPr>
              <w:pStyle w:val="Compact"/>
              <w:jc w:val="center"/>
            </w:pPr>
            <w:r>
              <w:t xml:space="preserve">Vietnam</w:t>
            </w:r>
          </w:p>
        </w:tc>
        <w:tc>
          <w:tcPr>
            <w:gridSpan w:val="3"/>
          </w:tcPr>
          <w:p>
            <w:pPr>
              <w:pStyle w:val="Compact"/>
              <w:jc w:val="center"/>
            </w:pPr>
            <w:r>
              <w:t xml:space="preserve">Türkiye</w:t>
            </w:r>
          </w:p>
        </w:tc>
      </w:tr>
      <w:tr>
        <w:tc>
          <w:tcPr/>
          <w:p>
            <w:pPr>
              <w:pStyle w:val="Compact"/>
              <w:jc w:val="left"/>
            </w:pPr>
            <w:r>
              <w:t xml:space="preserve">1-3</w:t>
            </w:r>
            <w:r>
              <w:t xml:space="preserve">(lr)</w:t>
            </w:r>
            <w:r>
              <w:t xml:space="preserve">4-6</w:t>
            </w:r>
            <w:r>
              <w:t xml:space="preserve"> </w:t>
            </w:r>
            <w:r>
              <w:t xml:space="preserve">Year</w:t>
            </w:r>
          </w:p>
        </w:tc>
        <w:tc>
          <w:tcPr/>
          <w:p>
            <w:pPr>
              <w:pStyle w:val="Compact"/>
              <w:jc w:val="right"/>
            </w:pPr>
            <w:r>
              <w:t xml:space="preserve">Implied</w:t>
            </w:r>
          </w:p>
        </w:tc>
        <w:tc>
          <w:tcPr/>
          <w:p>
            <w:pPr>
              <w:pStyle w:val="Compact"/>
              <w:jc w:val="right"/>
            </w:pPr>
            <w:r>
              <w:t xml:space="preserve">Lending rate</w:t>
            </w:r>
          </w:p>
        </w:tc>
        <w:tc>
          <w:tcPr/>
          <w:p>
            <w:pPr>
              <w:pStyle w:val="Compact"/>
              <w:jc w:val="left"/>
            </w:pPr>
            <w:r>
              <w:t xml:space="preserve">Year</w:t>
            </w:r>
          </w:p>
        </w:tc>
        <w:tc>
          <w:tcPr/>
          <w:p>
            <w:pPr>
              <w:pStyle w:val="Compact"/>
              <w:jc w:val="right"/>
            </w:pPr>
            <w:r>
              <w:t xml:space="preserve">Implied</w:t>
            </w:r>
          </w:p>
        </w:tc>
        <w:tc>
          <w:tcPr/>
          <w:p>
            <w:pPr>
              <w:pStyle w:val="Compact"/>
              <w:jc w:val="right"/>
            </w:pPr>
            <w:r>
              <w:t xml:space="preserve">CBRT policy</w:t>
            </w:r>
          </w:p>
        </w:tc>
      </w:tr>
      <w:tr>
        <w:tc>
          <w:tcPr/>
          <w:p>
            <w:pPr>
              <w:pStyle w:val="Compact"/>
              <w:jc w:val="left"/>
            </w:pPr>
            <w:r>
              <w:t xml:space="preserve">2011</w:t>
            </w:r>
          </w:p>
        </w:tc>
        <w:tc>
          <w:tcPr/>
          <w:p>
            <w:pPr>
              <w:pStyle w:val="Compact"/>
              <w:jc w:val="right"/>
            </w:pPr>
            <w:r>
              <w:t xml:space="preserve">11.1%</w:t>
            </w:r>
          </w:p>
        </w:tc>
        <w:tc>
          <w:tcPr/>
          <w:p>
            <w:pPr>
              <w:pStyle w:val="Compact"/>
              <w:jc w:val="right"/>
            </w:pPr>
            <w:r>
              <w:t xml:space="preserve">17.0%</w:t>
            </w:r>
          </w:p>
        </w:tc>
        <w:tc>
          <w:tcPr/>
          <w:p>
            <w:pPr>
              <w:pStyle w:val="Compact"/>
              <w:jc w:val="left"/>
            </w:pPr>
            <w:r>
              <w:t xml:space="preserve">2022</w:t>
            </w:r>
          </w:p>
        </w:tc>
        <w:tc>
          <w:tcPr/>
          <w:p>
            <w:pPr>
              <w:pStyle w:val="Compact"/>
              <w:jc w:val="right"/>
            </w:pPr>
            <w:r>
              <w:t xml:space="preserve">17.8%</w:t>
            </w:r>
          </w:p>
        </w:tc>
        <w:tc>
          <w:tcPr/>
          <w:p>
            <w:pPr>
              <w:pStyle w:val="Compact"/>
              <w:jc w:val="right"/>
            </w:pPr>
            <w:r>
              <w:t xml:space="preserve">9.0%</w:t>
            </w:r>
          </w:p>
        </w:tc>
      </w:tr>
      <w:tr>
        <w:tc>
          <w:tcPr/>
          <w:p>
            <w:pPr>
              <w:pStyle w:val="Compact"/>
              <w:jc w:val="left"/>
            </w:pPr>
            <w:r>
              <w:t xml:space="preserve">2013</w:t>
            </w:r>
          </w:p>
        </w:tc>
        <w:tc>
          <w:tcPr/>
          <w:p>
            <w:pPr>
              <w:pStyle w:val="Compact"/>
              <w:jc w:val="right"/>
            </w:pPr>
            <w:r>
              <w:t xml:space="preserve">7.5%</w:t>
            </w:r>
          </w:p>
        </w:tc>
        <w:tc>
          <w:tcPr/>
          <w:p>
            <w:pPr>
              <w:pStyle w:val="Compact"/>
              <w:jc w:val="right"/>
            </w:pPr>
            <w:r>
              <w:t xml:space="preserve">10.4%</w:t>
            </w:r>
          </w:p>
        </w:tc>
        <w:tc>
          <w:tcPr/>
          <w:p>
            <w:pPr>
              <w:pStyle w:val="Compact"/>
              <w:jc w:val="left"/>
            </w:pPr>
            <w:r>
              <w:t xml:space="preserve">2023</w:t>
            </w:r>
          </w:p>
        </w:tc>
        <w:tc>
          <w:tcPr/>
          <w:p>
            <w:pPr>
              <w:pStyle w:val="Compact"/>
              <w:jc w:val="right"/>
            </w:pPr>
            <w:r>
              <w:t xml:space="preserve">25.4%</w:t>
            </w:r>
          </w:p>
        </w:tc>
        <w:tc>
          <w:tcPr/>
          <w:p>
            <w:pPr>
              <w:pStyle w:val="Compact"/>
              <w:jc w:val="right"/>
            </w:pPr>
            <w:r>
              <w:t xml:space="preserve">42.5%</w:t>
            </w:r>
          </w:p>
        </w:tc>
      </w:tr>
      <w:tr>
        <w:tc>
          <w:tcPr/>
          <w:p>
            <w:pPr>
              <w:pStyle w:val="Compact"/>
              <w:jc w:val="left"/>
            </w:pPr>
            <w:r>
              <w:t xml:space="preserve">2015</w:t>
            </w:r>
          </w:p>
        </w:tc>
        <w:tc>
          <w:tcPr/>
          <w:p>
            <w:pPr>
              <w:pStyle w:val="Compact"/>
              <w:jc w:val="right"/>
            </w:pPr>
            <w:r>
              <w:t xml:space="preserve">5.8%</w:t>
            </w:r>
          </w:p>
        </w:tc>
        <w:tc>
          <w:tcPr/>
          <w:p>
            <w:pPr>
              <w:pStyle w:val="Compact"/>
              <w:jc w:val="right"/>
            </w:pPr>
            <w:r>
              <w:t xml:space="preserve">7.1%</w:t>
            </w:r>
          </w:p>
        </w:tc>
        <w:tc>
          <w:tcPr/>
          <w:p>
            <w:pPr>
              <w:pStyle w:val="Compact"/>
              <w:jc w:val="left"/>
            </w:pPr>
            <w:r>
              <w:t xml:space="preserve">2024</w:t>
            </w:r>
          </w:p>
        </w:tc>
        <w:tc>
          <w:tcPr/>
          <w:p>
            <w:pPr>
              <w:pStyle w:val="Compact"/>
              <w:jc w:val="right"/>
            </w:pPr>
            <w:r>
              <w:rPr>
                <w:b/>
                <w:bCs/>
              </w:rPr>
              <w:t xml:space="preserve">31.2%</w:t>
            </w:r>
          </w:p>
        </w:tc>
        <w:tc>
          <w:tcPr/>
          <w:p>
            <w:pPr>
              <w:pStyle w:val="Compact"/>
              <w:jc w:val="right"/>
            </w:pPr>
            <w:r>
              <w:rPr>
                <w:b/>
                <w:bCs/>
              </w:rPr>
              <w:t xml:space="preserve">47.5%</w:t>
            </w:r>
          </w:p>
        </w:tc>
      </w:tr>
      <w:tr>
        <w:tc>
          <w:tcPr/>
          <w:p>
            <w:pPr>
              <w:pStyle w:val="Compact"/>
              <w:jc w:val="left"/>
            </w:pPr>
            <w:r>
              <w:t xml:space="preserve">2020</w:t>
            </w:r>
          </w:p>
        </w:tc>
        <w:tc>
          <w:tcPr/>
          <w:p>
            <w:pPr>
              <w:pStyle w:val="Compact"/>
              <w:jc w:val="right"/>
            </w:pPr>
            <w:r>
              <w:t xml:space="preserve">6.3%</w:t>
            </w:r>
          </w:p>
        </w:tc>
        <w:tc>
          <w:tcPr/>
          <w:p>
            <w:pPr>
              <w:pStyle w:val="Compact"/>
              <w:jc w:val="right"/>
            </w:pPr>
            <w:r>
              <w:t xml:space="preserve">7.6%</w:t>
            </w:r>
          </w:p>
        </w:tc>
        <w:tc>
          <w:tcPr/>
          <w:p>
            <w:pPr>
              <w:pStyle w:val="Compact"/>
              <w:jc w:val="left"/>
            </w:pPr>
            <w:r>
              <w:t xml:space="preserve">2025</w:t>
            </w:r>
          </w:p>
        </w:tc>
        <w:tc>
          <w:tcPr/>
          <w:p>
            <w:pPr>
              <w:pStyle w:val="Compact"/>
              <w:jc w:val="right"/>
            </w:pPr>
            <w:r>
              <w:t xml:space="preserve">25.8%</w:t>
            </w:r>
          </w:p>
        </w:tc>
        <w:tc>
          <w:tcPr/>
          <w:p>
            <w:pPr>
              <w:pStyle w:val="Compact"/>
              <w:jc w:val="right"/>
            </w:pPr>
            <w:r>
              <w:t xml:space="preserve">38.0%</w:t>
            </w:r>
          </w:p>
        </w:tc>
      </w:tr>
      <w:tr>
        <w:tc>
          <w:tcPr/>
          <w:p>
            <w:pPr>
              <w:pStyle w:val="Compact"/>
              <w:jc w:val="left"/>
            </w:pPr>
            <w:r>
              <w:t xml:space="preserve">2023</w:t>
            </w:r>
          </w:p>
        </w:tc>
        <w:tc>
          <w:tcPr/>
          <w:p>
            <w:pPr>
              <w:pStyle w:val="Compact"/>
              <w:jc w:val="right"/>
            </w:pPr>
            <w:r>
              <w:t xml:space="preserve">7.2%</w:t>
            </w:r>
          </w:p>
        </w:tc>
        <w:tc>
          <w:tcPr/>
          <w:p>
            <w:pPr>
              <w:pStyle w:val="Compact"/>
              <w:jc w:val="right"/>
            </w:pPr>
            <w:r>
              <w:t xml:space="preserve">9.3%</w:t>
            </w:r>
          </w:p>
        </w:tc>
        <w:tc>
          <w:tcPr/>
          <w:p>
            <w:pPr>
              <w:pStyle w:val="Compact"/>
            </w:pPr>
          </w:p>
        </w:tc>
        <w:tc>
          <w:tcPr/>
          <w:p>
            <w:pPr>
              <w:pStyle w:val="Compact"/>
            </w:pPr>
          </w:p>
        </w:tc>
        <w:tc>
          <w:tcPr/>
          <w:p>
            <w:pPr>
              <w:pStyle w:val="Compact"/>
            </w:pPr>
          </w:p>
        </w:tc>
      </w:tr>
      <w:tr>
        <w:tc>
          <w:tcPr/>
          <w:p>
            <w:pPr>
              <w:pStyle w:val="Compact"/>
              <w:jc w:val="left"/>
            </w:pPr>
            <w:r>
              <w:t xml:space="preserve">2025</w:t>
            </w:r>
          </w:p>
        </w:tc>
        <w:tc>
          <w:tcPr/>
          <w:p>
            <w:pPr>
              <w:pStyle w:val="Compact"/>
              <w:jc w:val="right"/>
            </w:pPr>
            <w:r>
              <w:t xml:space="preserve">5.8%</w:t>
            </w:r>
          </w:p>
        </w:tc>
        <w:tc>
          <w:tcPr/>
          <w:p>
            <w:pPr>
              <w:pStyle w:val="Compact"/>
              <w:jc w:val="right"/>
            </w:pPr>
            <w:r>
              <w:t xml:space="preserve">—</w:t>
            </w:r>
          </w:p>
        </w:tc>
        <w:tc>
          <w:tcPr/>
          <w:p>
            <w:pPr>
              <w:pStyle w:val="Compact"/>
            </w:pPr>
          </w:p>
        </w:tc>
        <w:tc>
          <w:tcPr/>
          <w:p>
            <w:pPr>
              <w:pStyle w:val="Compact"/>
            </w:pPr>
          </w:p>
        </w:tc>
        <w:tc>
          <w:tcPr/>
          <w:p>
            <w:pPr>
              <w:pStyle w:val="Compact"/>
            </w:pPr>
          </w:p>
        </w:tc>
      </w:tr>
    </w:tbl>
    <w:p>
      <w:pPr>
        <w:pStyle w:val="BodyText"/>
      </w:pPr>
      <w:r>
        <w:rPr>
          <w:i/>
          <w:iCs/>
        </w:rPr>
        <w:t xml:space="preserve">Note:</w:t>
      </w:r>
      <w:r>
        <w:t xml:space="preserve"> </w:t>
      </w:r>
      <w:r>
        <w:t xml:space="preserve">the CBRT column reports the December (year-end) reading</w:t>
      </w:r>
      <w:r>
        <w:t xml:space="preserve"> </w:t>
      </w:r>
      <w:r>
        <w:t xml:space="preserve">each year, for consistency across the multi-year path. The true within-year</w:t>
      </w:r>
      <w:r>
        <w:t xml:space="preserve"> </w:t>
      </w:r>
      <w:r>
        <w:t xml:space="preserve">peak was 50.0%, sustained from March through November 2024, before a</w:t>
      </w:r>
      <w:r>
        <w:t xml:space="preserve"> </w:t>
      </w:r>
      <w:r>
        <w:t xml:space="preserve">December cut to the 47.5% shown; Section 4.1 uses the true peak,</w:t>
      </w:r>
      <w:r>
        <w:t xml:space="preserve"> </w:t>
      </w:r>
      <w:r>
        <w:t xml:space="preserve">not the year-end reading, wherever pass-through is quantified.</w:t>
      </w:r>
    </w:p>
    <w:p>
      <w:pPr>
        <w:pStyle w:val="CaptionedFigure"/>
      </w:pPr>
      <w:r>
        <w:drawing>
          <wp:inline>
            <wp:extent cx="5334000" cy="1993564"/>
            <wp:effectExtent b="0" l="0" r="0" t="0"/>
            <wp:docPr descr="" title="" id="41" name="Picture"/>
            <a:graphic>
              <a:graphicData uri="http://schemas.openxmlformats.org/drawingml/2006/picture">
                <pic:pic>
                  <pic:nvPicPr>
                    <pic:cNvPr descr="figs/validation.png" id="42" name="Picture"/>
                    <pic:cNvPicPr>
                      <a:picLocks noChangeArrowheads="1" noChangeAspect="1"/>
                    </pic:cNvPicPr>
                  </pic:nvPicPr>
                  <pic:blipFill>
                    <a:blip r:embed="rId40"/>
                    <a:stretch>
                      <a:fillRect/>
                    </a:stretch>
                  </pic:blipFill>
                  <pic:spPr bwMode="auto">
                    <a:xfrm>
                      <a:off x="0" y="0"/>
                      <a:ext cx="5334000" cy="1993564"/>
                    </a:xfrm>
                    <a:prstGeom prst="rect">
                      <a:avLst/>
                    </a:prstGeom>
                    <a:noFill/>
                    <a:ln w="9525">
                      <a:noFill/>
                      <a:headEnd/>
                      <a:tailEnd/>
                    </a:ln>
                  </pic:spPr>
                </pic:pic>
              </a:graphicData>
            </a:graphic>
          </wp:inline>
        </w:drawing>
      </w:r>
    </w:p>
    <w:p>
      <w:pPr>
        <w:pStyle w:val="ImageCaption"/>
      </w:pPr>
      <w:r>
        <w:t xml:space="preserve">Median implied borrowing cost against the policy path. The measure is</w:t>
      </w:r>
      <w:r>
        <w:t xml:space="preserve"> </w:t>
      </w:r>
      <w:r>
        <w:t xml:space="preserve">constructed from firm financial statements alone and is not calibrated to any</w:t>
      </w:r>
      <w:r>
        <w:t xml:space="preserve"> </w:t>
      </w:r>
      <w:r>
        <w:t xml:space="preserve">policy series.</w:t>
      </w:r>
    </w:p>
    <w:p>
      <w:pPr>
        <w:pStyle w:val="BodyText"/>
      </w:pPr>
      <w:r>
        <w:t xml:space="preserve">Figure 1 plots the comparison. The Turkish series peaks in</w:t>
      </w:r>
      <w:r>
        <w:t xml:space="preserve"> </w:t>
      </w:r>
      <w:r>
        <w:t xml:space="preserve">2024, the year policy peaks. The Vietnamese series</w:t>
      </w:r>
      <w:r>
        <w:t xml:space="preserve"> </w:t>
      </w:r>
      <w:r>
        <w:t xml:space="preserve">peaks in 2011 at the height of that country’s inflation crisis, falls</w:t>
      </w:r>
      <w:r>
        <w:t xml:space="preserve"> </w:t>
      </w:r>
      <w:r>
        <w:t xml:space="preserve">monotonically to 5.8% by 2015, rises to 7.2% in the 2023 tightening and</w:t>
      </w:r>
      <w:r>
        <w:t xml:space="preserve"> </w:t>
      </w:r>
      <w:r>
        <w:t xml:space="preserve">subsides. Median interest coverage moves in mirror image, reaching its</w:t>
      </w:r>
      <w:r>
        <w:t xml:space="preserve"> </w:t>
      </w:r>
      <w:r>
        <w:t xml:space="preserve">Vietnamese sample minimum of 1.96 in exactly 2023.</w:t>
      </w:r>
    </w:p>
    <w:bookmarkEnd w:id="43"/>
    <w:bookmarkStart w:id="44" w:name="pass-through"/>
    <w:p>
      <w:pPr>
        <w:pStyle w:val="Heading3"/>
      </w:pPr>
      <w:r>
        <w:t xml:space="preserve">Pass-through</w:t>
      </w:r>
    </w:p>
    <w:p>
      <w:pPr>
        <w:pStyle w:val="FirstParagraph"/>
      </w:pPr>
      <w:r>
        <w:t xml:space="preserve">Policy moved 41.0 points between end-2022 (9.0%) and the true 2024 peak</w:t>
      </w:r>
      <w:r>
        <w:t xml:space="preserve"> </w:t>
      </w:r>
      <w:r>
        <w:t xml:space="preserve">(50.0%, sustained March through November, not the 47.5% year-end reading</w:t>
      </w:r>
      <w:r>
        <w:t xml:space="preserve"> </w:t>
      </w:r>
      <w:r>
        <w:t xml:space="preserve">after the subsequent December cut); realised borrowing costs moved 13.4</w:t>
      </w:r>
      <w:r>
        <w:t xml:space="preserve"> </w:t>
      </w:r>
      <w:r>
        <w:t xml:space="preserve">points, from 17.8% to 31.2%. By Corollary 9 this</w:t>
      </w:r>
      <w:r>
        <w:t xml:space="preserve"> </w:t>
      </w:r>
      <w:r>
        <w:t xml:space="preserve">identifies a mean effective repricing share of</w:t>
      </w:r>
      <w:r>
        <w:t xml:space="preserve"> </w:t>
      </w:r>
      <m:oMath>
        <m:acc>
          <m:accPr>
            <m:chr m:val="‾"/>
          </m:accPr>
          <m:e>
            <m:r>
              <m:t>m</m:t>
            </m:r>
          </m:e>
        </m:acc>
        <m:r>
          <m:rPr>
            <m:sty m:val="p"/>
          </m:rPr>
          <m:t>≈</m:t>
        </m:r>
        <m:r>
          <m:t>0.33</m:t>
        </m:r>
      </m:oMath>
      <w:r>
        <w:t xml:space="preserve">. Set</w:t>
      </w:r>
      <w:r>
        <w:t xml:space="preserve"> </w:t>
      </w:r>
      <w:r>
        <w:t xml:space="preserve">against a median short-term debt share of</w:t>
      </w:r>
      <w:r>
        <w:t xml:space="preserve"> </w:t>
      </w:r>
      <m:oMath>
        <m:r>
          <m:t>0.63</m:t>
        </m:r>
      </m:oMath>
      <w:r>
        <w:t xml:space="preserve">, it implies that even</w:t>
      </w:r>
      <w:r>
        <w:t xml:space="preserve"> </w:t>
      </w:r>
      <w:r>
        <w:t xml:space="preserve">nominally short debt repriced only partially. Over the same window median</w:t>
      </w:r>
      <w:r>
        <w:t xml:space="preserve"> </w:t>
      </w:r>
      <w:r>
        <w:t xml:space="preserve">interest coverage halved, from 3.36 to 1.66. Vietnam’s mild cycle produces a</w:t>
      </w:r>
      <w:r>
        <w:t xml:space="preserve"> </w:t>
      </w:r>
      <w:r>
        <w:t xml:space="preserve">proportionally mild response: costs move 0.76 points from 2022 to the 2023</w:t>
      </w:r>
      <w:r>
        <w:t xml:space="preserve"> </w:t>
      </w:r>
      <w:r>
        <w:t xml:space="preserve">tightening year, and coverage dips from 2.91 to 1.96 before recovering to</w:t>
      </w:r>
      <w:r>
        <w:t xml:space="preserve"> </w:t>
      </w:r>
      <w:r>
        <w:t xml:space="preserve">3.19 as policy reverses.</w:t>
      </w:r>
    </w:p>
    <w:bookmarkEnd w:id="44"/>
    <w:bookmarkStart w:id="45" w:name="a-data-hazard-bundled-financial-expense"/>
    <w:p>
      <w:pPr>
        <w:pStyle w:val="Heading3"/>
      </w:pPr>
      <w:r>
        <w:t xml:space="preserve">A data hazard: bundled financial expense</w:t>
      </w:r>
    </w:p>
    <w:p>
      <w:pPr>
        <w:pStyle w:val="FirstParagraph"/>
      </w:pPr>
      <w:r>
        <w:t xml:space="preserve">The Turkish field labelled</w:t>
      </w:r>
      <w:r>
        <w:t xml:space="preserve"> </w:t>
      </w:r>
      <w:r>
        <w:rPr>
          <w:i/>
          <w:iCs/>
        </w:rPr>
        <w:t xml:space="preserve">Financial Expenses</w:t>
      </w:r>
      <w:r>
        <w:t xml:space="preserve"> </w:t>
      </w:r>
      <w:r>
        <w:t xml:space="preserve">is the only interest-like</w:t>
      </w:r>
      <w:r>
        <w:t xml:space="preserve"> </w:t>
      </w:r>
      <w:r>
        <w:t xml:space="preserve">item available before 2021 and is the natural candidate for the long history. It</w:t>
      </w:r>
      <w:r>
        <w:t xml:space="preserve"> </w:t>
      </w:r>
      <w:r>
        <w:t xml:space="preserve">should not be used as one: against the independent aggregator it runs roughly</w:t>
      </w:r>
      <w:r>
        <w:t xml:space="preserve"> </w:t>
      </w:r>
      <w:r>
        <w:t xml:space="preserve">two and a half times larger, with a median relative difference of</w:t>
      </w:r>
      <w:r>
        <w:t xml:space="preserve"> </w:t>
      </w:r>
      <m:oMath>
        <m:r>
          <m:rPr>
            <m:sty m:val="p"/>
          </m:rPr>
          <m:t>−</m:t>
        </m:r>
        <m:r>
          <m:t>59.6</m:t>
        </m:r>
        <m:r>
          <m:rPr>
            <m:sty m:val="p"/>
          </m:rPr>
          <m:t>%</m:t>
        </m:r>
      </m:oMath>
      <w:r>
        <w:t xml:space="preserve"> </w:t>
      </w:r>
      <w:r>
        <w:t xml:space="preserve">and</w:t>
      </w:r>
      <w:r>
        <w:t xml:space="preserve"> </w:t>
      </w:r>
      <w:r>
        <w:t xml:space="preserve">a correlation of only</w:t>
      </w:r>
      <w:r>
        <w:t xml:space="preserve"> </w:t>
      </w:r>
      <m:oMath>
        <m:r>
          <m:t>0.495</m:t>
        </m:r>
      </m:oMath>
      <w:r>
        <w:t xml:space="preserve"> </w:t>
      </w:r>
      <w:r>
        <w:t xml:space="preserve">on absolute values, against Vietnam’s</w:t>
      </w:r>
      <w:r>
        <w:t xml:space="preserve"> </w:t>
      </w:r>
      <m:oMath>
        <m:r>
          <m:t>0.991</m:t>
        </m:r>
      </m:oMath>
      <w:r>
        <w:t xml:space="preserve"> </w:t>
      </w:r>
      <w:r>
        <w:t xml:space="preserve">and</w:t>
      </w:r>
      <w:r>
        <w:t xml:space="preserve"> </w:t>
      </w:r>
      <m:oMath>
        <m:r>
          <m:t>0.00</m:t>
        </m:r>
        <m:r>
          <m:rPr>
            <m:sty m:val="p"/>
          </m:rPr>
          <m:t>%</m:t>
        </m:r>
      </m:oMath>
      <w:r>
        <w:t xml:space="preserve">.</w:t>
      </w:r>
    </w:p>
    <w:p>
      <w:pPr>
        <w:pStyle w:val="BodyText"/>
      </w:pPr>
      <w:r>
        <w:t xml:space="preserve">The field bundles foreign-exchange revaluation, and in a currency crisis those</w:t>
      </w:r>
      <w:r>
        <w:t xml:space="preserve"> </w:t>
      </w:r>
      <w:r>
        <w:t xml:space="preserve">losses dwarf interest. The consequence is not attenuation but a change in what</w:t>
      </w:r>
      <w:r>
        <w:t xml:space="preserve"> </w:t>
      </w:r>
      <w:r>
        <w:t xml:space="preserve">is measured: built on the bundled field the Turkish implied cost peaks in</w:t>
      </w:r>
      <w:r>
        <w:t xml:space="preserve"> </w:t>
      </w:r>
      <w:r>
        <w:rPr>
          <w:b/>
          <w:bCs/>
        </w:rPr>
        <w:t xml:space="preserve">2018 and 2021</w:t>
      </w:r>
      <w:r>
        <w:t xml:space="preserve">, the lira depreciation episodes; built on a clean</w:t>
      </w:r>
      <w:r>
        <w:t xml:space="preserve"> </w:t>
      </w:r>
      <w:r>
        <w:t xml:space="preserve">interest figure it peaks in</w:t>
      </w:r>
      <w:r>
        <w:t xml:space="preserve"> </w:t>
      </w:r>
      <w:r>
        <w:rPr>
          <w:b/>
          <w:bCs/>
        </w:rPr>
        <w:t xml:space="preserve">2024</w:t>
      </w:r>
      <w:r>
        <w:t xml:space="preserve">, with policy. A researcher using it to</w:t>
      </w:r>
      <w:r>
        <w:t xml:space="preserve"> </w:t>
      </w:r>
      <w:r>
        <w:t xml:space="preserve">study monetary transmission would recover currency shocks and report them as</w:t>
      </w:r>
      <w:r>
        <w:t xml:space="preserve"> </w:t>
      </w:r>
      <w:r>
        <w:t xml:space="preserve">interest-rate effects, with strong significance.</w:t>
      </w:r>
    </w:p>
    <w:bookmarkEnd w:id="45"/>
    <w:bookmarkEnd w:id="46"/>
    <w:bookmarkStart w:id="51" w:name="measuring-exposure"/>
    <w:p>
      <w:pPr>
        <w:pStyle w:val="Heading2"/>
      </w:pPr>
      <w:r>
        <w:t xml:space="preserve">Measuring exposure</w:t>
      </w:r>
    </w:p>
    <w:bookmarkStart w:id="47" w:name="the-required-object-is-not-disclosed"/>
    <w:p>
      <w:pPr>
        <w:pStyle w:val="Heading3"/>
      </w:pPr>
      <w:r>
        <w:t xml:space="preserve">The required object is not disclosed</w:t>
      </w:r>
    </w:p>
    <w:p>
      <w:pPr>
        <w:pStyle w:val="FirstParagraph"/>
      </w:pPr>
      <w:r>
        <w:t xml:space="preserve">Contractual repricing basis does not appear in published statements under either</w:t>
      </w:r>
      <w:r>
        <w:t xml:space="preserve"> </w:t>
      </w:r>
      <w:r>
        <w:t xml:space="preserve">regime. Firms disclose borrowings by maturity and sometimes currency, but not by</w:t>
      </w:r>
      <w:r>
        <w:t xml:space="preserve"> </w:t>
      </w:r>
      <w:r>
        <w:t xml:space="preserve">repricing terms. We therefore assess the two constructible substitutes.</w:t>
      </w:r>
    </w:p>
    <w:bookmarkEnd w:id="47"/>
    <w:bookmarkStart w:id="48" w:name="revealed-repricing-sensitivity"/>
    <w:p>
      <w:pPr>
        <w:pStyle w:val="Heading3"/>
      </w:pPr>
      <w:r>
        <w:t xml:space="preserve">Revealed repricing sensitivity</w:t>
      </w:r>
    </w:p>
    <w:p>
      <w:pPr>
        <w:pStyle w:val="FirstParagraph"/>
      </w:pPr>
      <w:r>
        <w:t xml:space="preserve">We estimate (6) firm by firm over a window ending before treatment.</w:t>
      </w:r>
      <w:r>
        <w:t xml:space="preserve"> </w:t>
      </w:r>
      <w:r>
        <w:t xml:space="preserve">The FX term is included jointly rather than as a nuisance control, because</w:t>
      </w:r>
      <w:r>
        <w:t xml:space="preserve"> </w:t>
      </w:r>
      <w:r>
        <w:t xml:space="preserve">Section 4.1 established that much of the movement in Turkish</w:t>
      </w:r>
      <w:r>
        <w:t xml:space="preserve"> </w:t>
      </w:r>
      <w:r>
        <w:t xml:space="preserve">realised cost is currency revaluation.</w:t>
      </w:r>
    </w:p>
    <w:p>
      <w:pPr>
        <w:pStyle w:val="BodyText"/>
      </w:pPr>
      <w:r>
        <w:t xml:space="preserve">On conventional diagnostics the estimates behave: 71% of Vietnamese firms and</w:t>
      </w:r>
      <w:r>
        <w:t xml:space="preserve"> </w:t>
      </w:r>
      <w:r>
        <w:t xml:space="preserve">67% of Turkish firms return a positive</w:t>
      </w:r>
      <w:r>
        <w:t xml:space="preserve"> </w:t>
      </w:r>
      <m:oMath>
        <m:acc>
          <m:accPr>
            <m:chr m:val="̂"/>
          </m:accPr>
          <m:e>
            <m:r>
              <m:t>θ</m:t>
            </m:r>
          </m:e>
        </m:acc>
      </m:oMath>
      <w:r>
        <w:t xml:space="preserve">, the mean Vietnamese</w:t>
      </w:r>
      <w:r>
        <w:t xml:space="preserve"> </w:t>
      </w:r>
      <w:r>
        <w:t xml:space="preserve">estimate implies that a one-point rise in the lending rate raises a firm’s cost</w:t>
      </w:r>
      <w:r>
        <w:t xml:space="preserve"> </w:t>
      </w:r>
      <w:r>
        <w:t xml:space="preserve">of funds by roughly 0.79 points, and median in-sample</w:t>
      </w:r>
      <w:r>
        <w:t xml:space="preserve"> </w:t>
      </w:r>
      <m:oMath>
        <m:sSup>
          <m:e>
            <m:r>
              <m:t>R</m:t>
            </m:r>
          </m:e>
          <m:sup>
            <m:r>
              <m:t>2</m:t>
            </m:r>
          </m:sup>
        </m:sSup>
      </m:oMath>
      <w:r>
        <w:t xml:space="preserve"> </w:t>
      </w:r>
      <w:r>
        <w:t xml:space="preserve">is 0.29 in Vietnam</w:t>
      </w:r>
      <w:r>
        <w:t xml:space="preserve"> </w:t>
      </w:r>
      <w:r>
        <w:t xml:space="preserve">and 0.34 in Türkiye on the full 2012–2022 estimation window—a distinct</w:t>
      </w:r>
      <w:r>
        <w:t xml:space="preserve"> </w:t>
      </w:r>
      <w:r>
        <w:t xml:space="preserve">quantity from the split-half-window fit of 0.66 and 0.71 reported above and</w:t>
      </w:r>
      <w:r>
        <w:t xml:space="preserve"> </w:t>
      </w:r>
      <w:r>
        <w:t xml:space="preserve">in Table 5 below, since the two are computed on windows of</w:t>
      </w:r>
      <w:r>
        <w:t xml:space="preserve"> </w:t>
      </w:r>
      <w:r>
        <w:t xml:space="preserve">different length. Propositions 2–6 supply the</w:t>
      </w:r>
      <w:r>
        <w:t xml:space="preserve"> </w:t>
      </w:r>
      <w:r>
        <w:t xml:space="preserve">tests these diagnostics cannot pass, reported in Table 5.</w:t>
      </w:r>
    </w:p>
    <w:p>
      <w:pPr>
        <w:pStyle w:val="BodyText"/>
      </w:pPr>
      <w:r>
        <w:t xml:space="preserve">Each firm’s usable years are partitioned into two</w:t>
      </w:r>
      <w:r>
        <w:t xml:space="preserve"> </w:t>
      </w:r>
      <w:r>
        <w:t xml:space="preserve">halves 200 times, independently at random; the table reports the</w:t>
      </w:r>
      <w:r>
        <w:t xml:space="preserve"> </w:t>
      </w:r>
      <w:r>
        <w:t xml:space="preserve">correlation between the two halves’ estimates, averaged across the 200</w:t>
      </w:r>
      <w:r>
        <w:t xml:space="preserve"> </w:t>
      </w:r>
      <w:r>
        <w:t xml:space="preserve">partitions, by country. The computation is scripted in full in the</w:t>
      </w:r>
      <w:r>
        <w:t xml:space="preserve"> </w:t>
      </w:r>
      <w:r>
        <w:t xml:space="preserve">accompanying replication code.</w:t>
      </w:r>
    </w:p>
    <w:p>
      <w:pPr>
        <w:pStyle w:val="TableCaption"/>
      </w:pPr>
      <w:r>
        <w:t xml:space="preserve">Split-half reliability of candidate exposure measures</w:t>
      </w:r>
    </w:p>
    <w:tbl>
      <w:tblPr>
        <w:tblStyle w:val="Table"/>
        <w:tblW w:type="auto" w:w="0"/>
        <w:tblLook w:firstRow="1" w:lastRow="0" w:firstColumn="0" w:lastColumn="0" w:noHBand="0" w:noVBand="0" w:val="0020"/>
        <w:tblCaption w:val="Split-half reliability of candidate exposure measures"/>
      </w:tblPr>
      <w:tblGrid>
        <w:gridCol w:w="2640"/>
        <w:gridCol w:w="2640"/>
        <w:gridCol w:w="2640"/>
      </w:tblGrid>
      <w:tr>
        <w:trPr>
          <w:tblHeader w:val="on"/>
        </w:trPr>
        <w:tc>
          <w:tcPr/>
          <w:p>
            <w:pPr>
              <w:pStyle w:val="Compact"/>
              <w:jc w:val="left"/>
            </w:pPr>
            <w:r>
              <w:t xml:space="preserve">Measure</w:t>
            </w:r>
          </w:p>
        </w:tc>
        <w:tc>
          <w:tcPr/>
          <w:p>
            <w:pPr>
              <w:pStyle w:val="Compact"/>
              <w:jc w:val="right"/>
            </w:pPr>
            <w:r>
              <w:t xml:space="preserve">Türkiye</w:t>
            </w:r>
          </w:p>
        </w:tc>
        <w:tc>
          <w:tcPr/>
          <w:p>
            <w:pPr>
              <w:pStyle w:val="Compact"/>
              <w:jc w:val="right"/>
            </w:pPr>
            <w:r>
              <w:t xml:space="preserve">Vietnam</w:t>
            </w:r>
          </w:p>
        </w:tc>
      </w:tr>
      <w:tr>
        <w:tc>
          <w:tcPr/>
          <w:p>
            <w:pPr>
              <w:pStyle w:val="Compact"/>
              <w:jc w:val="left"/>
            </w:pPr>
            <w:r>
              <w:t xml:space="preserve">Repricing sensitivity</w:t>
            </w:r>
            <w:r>
              <w:t xml:space="preserve"> </w:t>
            </w:r>
            <m:oMath>
              <m:acc>
                <m:accPr>
                  <m:chr m:val="̂"/>
                </m:accPr>
                <m:e>
                  <m:r>
                    <m:t>θ</m:t>
                  </m:r>
                </m:e>
              </m:acc>
            </m:oMath>
          </w:p>
        </w:tc>
        <w:tc>
          <w:tcPr/>
          <w:p>
            <w:pPr>
              <w:pStyle w:val="Compact"/>
              <w:jc w:val="right"/>
            </w:pPr>
            <m:oMath>
              <m:r>
                <m:rPr>
                  <m:sty m:val="b"/>
                </m:rPr>
                <m:t>+</m:t>
              </m:r>
              <m:r>
                <m:rPr>
                  <m:sty m:val="b"/>
                </m:rPr>
                <m:t>0.045</m:t>
              </m:r>
            </m:oMath>
            <w:r>
              <w:t xml:space="preserve">​</w:t>
            </w:r>
          </w:p>
        </w:tc>
        <w:tc>
          <w:tcPr/>
          <w:p>
            <w:pPr>
              <w:pStyle w:val="Compact"/>
              <w:jc w:val="right"/>
            </w:pPr>
            <m:oMath>
              <m:r>
                <m:rPr>
                  <m:sty m:val="b"/>
                </m:rPr>
                <m:t>+</m:t>
              </m:r>
              <m:r>
                <m:rPr>
                  <m:sty m:val="b"/>
                </m:rPr>
                <m:t>0.054</m:t>
              </m:r>
            </m:oMath>
            <w:r>
              <w:t xml:space="preserve">​</w:t>
            </w:r>
          </w:p>
        </w:tc>
      </w:tr>
      <w:tr>
        <w:tc>
          <w:tcPr/>
          <w:p>
            <w:pPr>
              <w:pStyle w:val="Compact"/>
              <w:jc w:val="left"/>
            </w:pPr>
            <w:r>
              <w:t xml:space="preserve">FX sensitivity</w:t>
            </w:r>
            <w:r>
              <w:t xml:space="preserve"> </w:t>
            </w:r>
            <m:oMath>
              <m:acc>
                <m:accPr>
                  <m:chr m:val="̂"/>
                </m:accPr>
                <m:e>
                  <m:r>
                    <m:t>γ</m:t>
                  </m:r>
                </m:e>
              </m:acc>
            </m:oMath>
          </w:p>
        </w:tc>
        <w:tc>
          <w:tcPr/>
          <w:p>
            <w:pPr>
              <w:pStyle w:val="Compact"/>
              <w:jc w:val="right"/>
            </w:pPr>
            <m:oMath>
              <m:r>
                <m:rPr>
                  <m:sty m:val="p"/>
                </m:rPr>
                <m:t>+</m:t>
              </m:r>
              <m:r>
                <m:t>0.003</m:t>
              </m:r>
            </m:oMath>
            <w:r>
              <w:t xml:space="preserve">​</w:t>
            </w:r>
          </w:p>
        </w:tc>
        <w:tc>
          <w:tcPr/>
          <w:p>
            <w:pPr>
              <w:pStyle w:val="Compact"/>
              <w:jc w:val="right"/>
            </w:pPr>
            <m:oMath>
              <m:r>
                <m:rPr>
                  <m:sty m:val="p"/>
                </m:rPr>
                <m:t>+</m:t>
              </m:r>
              <m:r>
                <m:t>0.059</m:t>
              </m:r>
            </m:oMath>
            <w:r>
              <w:t xml:space="preserve">​</w:t>
            </w:r>
          </w:p>
        </w:tc>
      </w:tr>
      <w:tr>
        <w:tc>
          <w:tcPr/>
          <w:p>
            <w:pPr>
              <w:pStyle w:val="Compact"/>
              <w:jc w:val="left"/>
            </w:pPr>
            <w:r>
              <w:t xml:space="preserve">Short-term debt share</w:t>
            </w:r>
          </w:p>
        </w:tc>
        <w:tc>
          <w:tcPr/>
          <w:p>
            <w:pPr>
              <w:pStyle w:val="Compact"/>
              <w:jc w:val="right"/>
            </w:pPr>
            <m:oMath>
              <m:r>
                <m:rPr>
                  <m:sty m:val="p"/>
                </m:rPr>
                <m:t>+</m:t>
              </m:r>
              <m:r>
                <m:t>0.828</m:t>
              </m:r>
            </m:oMath>
            <w:r>
              <w:t xml:space="preserve">​</w:t>
            </w:r>
          </w:p>
        </w:tc>
        <w:tc>
          <w:tcPr/>
          <w:p>
            <w:pPr>
              <w:pStyle w:val="Compact"/>
              <w:jc w:val="right"/>
            </w:pPr>
            <m:oMath>
              <m:r>
                <m:rPr>
                  <m:sty m:val="p"/>
                </m:rPr>
                <m:t>+</m:t>
              </m:r>
              <m:r>
                <m:t>0.903</m:t>
              </m:r>
            </m:oMath>
            <w:r>
              <w:t xml:space="preserve">​</w:t>
            </w:r>
          </w:p>
        </w:tc>
      </w:tr>
      <w:tr>
        <w:tc>
          <w:tcPr/>
          <w:p>
            <w:pPr>
              <w:pStyle w:val="Compact"/>
              <w:jc w:val="left"/>
            </w:pPr>
            <w:r>
              <w:t xml:space="preserve">Export share</w:t>
            </w:r>
          </w:p>
        </w:tc>
        <w:tc>
          <w:tcPr/>
          <w:p>
            <w:pPr>
              <w:pStyle w:val="Compact"/>
              <w:jc w:val="right"/>
            </w:pPr>
            <m:oMath>
              <m:r>
                <m:rPr>
                  <m:sty m:val="p"/>
                </m:rPr>
                <m:t>+</m:t>
              </m:r>
              <m:r>
                <m:t>0.935</m:t>
              </m:r>
            </m:oMath>
            <w:r>
              <w:t xml:space="preserve">​</w:t>
            </w:r>
          </w:p>
        </w:tc>
        <w:tc>
          <w:tcPr/>
          <w:p>
            <w:pPr>
              <w:pStyle w:val="Compact"/>
              <w:jc w:val="right"/>
            </w:pPr>
            <w:r>
              <w:t xml:space="preserve">—</w:t>
            </w:r>
          </w:p>
        </w:tc>
      </w:tr>
    </w:tbl>
    <w:p>
      <w:pPr>
        <w:pStyle w:val="BodyText"/>
      </w:pPr>
      <w:r>
        <w:t xml:space="preserve">By Proposition 2 these correlations</w:t>
      </w:r>
      <w:r>
        <w:t xml:space="preserve"> </w:t>
      </w:r>
      <w:r>
        <w:rPr>
          <w:i/>
          <w:iCs/>
        </w:rPr>
        <w:t xml:space="preserve">are</w:t>
      </w:r>
      <w:r>
        <w:t xml:space="preserve"> </w:t>
      </w:r>
      <w:r>
        <w:t xml:space="preserve">the reliability</w:t>
      </w:r>
      <w:r>
        <w:t xml:space="preserve"> </w:t>
      </w:r>
      <w:r>
        <w:t xml:space="preserve">ratio</w:t>
      </w:r>
      <w:r>
        <w:t xml:space="preserve"> </w:t>
      </w:r>
      <m:oMath>
        <m:r>
          <m:t>λ</m:t>
        </m:r>
      </m:oMath>
      <w:r>
        <w:t xml:space="preserve">. Both are within 0.06 of zero, so by</w:t>
      </w:r>
      <w:r>
        <w:t xml:space="preserve"> </w:t>
      </w:r>
      <w:r>
        <w:t xml:space="preserve">Corollary 3 the treatment estimand is attenuated to</w:t>
      </w:r>
      <w:r>
        <w:t xml:space="preserve"> </w:t>
      </w:r>
      <w:r>
        <w:t xml:space="preserve">essentially zero and carries almost no information about</w:t>
      </w:r>
      <w:r>
        <w:t xml:space="preserve"> </w:t>
      </w:r>
      <m:oMath>
        <m:r>
          <m:t>β</m:t>
        </m:r>
      </m:oMath>
      <w:r>
        <w:t xml:space="preserve">. The measured</w:t>
      </w:r>
      <w:r>
        <w:t xml:space="preserve"> </w:t>
      </w:r>
      <w:r>
        <w:t xml:space="preserve">balance-sheet characteristics in the lower rows behave as far more stable</w:t>
      </w:r>
      <w:r>
        <w:t xml:space="preserve"> </w:t>
      </w:r>
      <w:r>
        <w:t xml:space="preserve">traits, so the failure is specific to regression-estimated quantities.</w:t>
      </w:r>
    </w:p>
    <w:p>
      <w:pPr>
        <w:pStyle w:val="TableCaption"/>
      </w:pPr>
      <w:r>
        <w:t xml:space="preserve">Variance decomposition of estimated repricing sensitivities</w:t>
      </w:r>
    </w:p>
    <w:tbl>
      <w:tblPr>
        <w:tblStyle w:val="Table"/>
        <w:tblW w:type="auto" w:w="0"/>
        <w:tblLook w:firstRow="1" w:lastRow="0" w:firstColumn="0" w:lastColumn="0" w:noHBand="0" w:noVBand="0" w:val="0020"/>
        <w:tblCaption w:val="Variance decomposition of estimated repricing sensitivities"/>
      </w:tblPr>
      <w:tblGrid>
        <w:gridCol w:w="2640"/>
        <w:gridCol w:w="2640"/>
        <w:gridCol w:w="2640"/>
      </w:tblGrid>
      <w:tr>
        <w:trPr>
          <w:tblHeader w:val="on"/>
        </w:trPr>
        <w:tc>
          <w:tcPr/>
          <w:p>
            <w:pPr>
              <w:pStyle w:val="Compact"/>
            </w:pPr>
          </w:p>
        </w:tc>
        <w:tc>
          <w:tcPr/>
          <w:p>
            <w:pPr>
              <w:pStyle w:val="Compact"/>
              <w:jc w:val="right"/>
            </w:pPr>
            <w:r>
              <w:t xml:space="preserve">Vietnam</w:t>
            </w:r>
          </w:p>
        </w:tc>
        <w:tc>
          <w:tcPr/>
          <w:p>
            <w:pPr>
              <w:pStyle w:val="Compact"/>
              <w:jc w:val="right"/>
            </w:pPr>
            <w:r>
              <w:t xml:space="preserve">Türkiye</w:t>
            </w:r>
          </w:p>
        </w:tc>
      </w:tr>
      <w:tr>
        <w:tc>
          <w:tcPr/>
          <w:p>
            <w:pPr>
              <w:pStyle w:val="Compact"/>
              <w:jc w:val="left"/>
            </w:pPr>
            <m:oMath>
              <m:r>
                <m:rPr>
                  <m:sty m:val="p"/>
                </m:rPr>
                <m:t>Var</m:t>
              </m:r>
              <m:r>
                <m:rPr>
                  <m:sty m:val="p"/>
                </m:rPr>
                <m:t>(</m:t>
              </m:r>
              <m:acc>
                <m:accPr>
                  <m:chr m:val="̂"/>
                </m:accPr>
                <m:e>
                  <m:r>
                    <m:t>θ</m:t>
                  </m:r>
                </m:e>
              </m:acc>
              <m:r>
                <m:rPr>
                  <m:sty m:val="p"/>
                </m:rPr>
                <m:t>)</m:t>
              </m:r>
            </m:oMath>
            <w:r>
              <w:t xml:space="preserve">​</w:t>
            </w:r>
          </w:p>
        </w:tc>
        <w:tc>
          <w:tcPr/>
          <w:p>
            <w:pPr>
              <w:pStyle w:val="Compact"/>
              <w:jc w:val="right"/>
            </w:pPr>
            <m:oMath>
              <m:r>
                <m:t>5.25</m:t>
              </m:r>
              <m:r>
                <m:rPr>
                  <m:sty m:val="p"/>
                </m:rPr>
                <m:t>×</m:t>
              </m:r>
              <m:sSup>
                <m:e>
                  <m:r>
                    <m:t>10</m:t>
                  </m:r>
                </m:e>
                <m:sup>
                  <m:r>
                    <m:rPr>
                      <m:sty m:val="p"/>
                    </m:rPr>
                    <m:t>−</m:t>
                  </m:r>
                  <m:r>
                    <m:t>4</m:t>
                  </m:r>
                </m:sup>
              </m:sSup>
            </m:oMath>
            <w:r>
              <w:t xml:space="preserve">​</w:t>
            </w:r>
          </w:p>
        </w:tc>
        <w:tc>
          <w:tcPr/>
          <w:p>
            <w:pPr>
              <w:pStyle w:val="Compact"/>
              <w:jc w:val="right"/>
            </w:pPr>
            <m:oMath>
              <m:r>
                <m:t>1.30</m:t>
              </m:r>
              <m:r>
                <m:rPr>
                  <m:sty m:val="p"/>
                </m:rPr>
                <m:t>×</m:t>
              </m:r>
              <m:sSup>
                <m:e>
                  <m:r>
                    <m:t>10</m:t>
                  </m:r>
                </m:e>
                <m:sup>
                  <m:r>
                    <m:rPr>
                      <m:sty m:val="p"/>
                    </m:rPr>
                    <m:t>−</m:t>
                  </m:r>
                  <m:r>
                    <m:t>4</m:t>
                  </m:r>
                </m:sup>
              </m:sSup>
            </m:oMath>
            <w:r>
              <w:t xml:space="preserve">​</w:t>
            </w:r>
          </w:p>
        </w:tc>
      </w:tr>
      <w:tr>
        <w:tc>
          <w:tcPr/>
          <w:p>
            <w:pPr>
              <w:pStyle w:val="Compact"/>
              <w:jc w:val="left"/>
            </w:pPr>
            <w:r>
              <w:t xml:space="preserve">Sampling component</w:t>
            </w:r>
            <w:r>
              <w:t xml:space="preserve"> </w:t>
            </w:r>
            <m:oMath>
              <m:sSubSup>
                <m:e>
                  <m:r>
                    <m:t>σ</m:t>
                  </m:r>
                </m:e>
                <m:sub>
                  <m:r>
                    <m:t>u</m:t>
                  </m:r>
                </m:sub>
                <m:sup>
                  <m:r>
                    <m:t>2</m:t>
                  </m:r>
                </m:sup>
              </m:sSubSup>
            </m:oMath>
          </w:p>
        </w:tc>
        <w:tc>
          <w:tcPr/>
          <w:p>
            <w:pPr>
              <w:pStyle w:val="Compact"/>
              <w:jc w:val="right"/>
            </w:pPr>
            <m:oMath>
              <m:r>
                <m:t>4.03</m:t>
              </m:r>
              <m:r>
                <m:rPr>
                  <m:sty m:val="p"/>
                </m:rPr>
                <m:t>×</m:t>
              </m:r>
              <m:sSup>
                <m:e>
                  <m:r>
                    <m:t>10</m:t>
                  </m:r>
                </m:e>
                <m:sup>
                  <m:r>
                    <m:rPr>
                      <m:sty m:val="p"/>
                    </m:rPr>
                    <m:t>−</m:t>
                  </m:r>
                  <m:r>
                    <m:t>5</m:t>
                  </m:r>
                </m:sup>
              </m:sSup>
            </m:oMath>
            <w:r>
              <w:t xml:space="preserve">​</w:t>
            </w:r>
          </w:p>
        </w:tc>
        <w:tc>
          <w:tcPr/>
          <w:p>
            <w:pPr>
              <w:pStyle w:val="Compact"/>
              <w:jc w:val="right"/>
            </w:pPr>
            <m:oMath>
              <m:r>
                <m:t>4.35</m:t>
              </m:r>
              <m:r>
                <m:rPr>
                  <m:sty m:val="p"/>
                </m:rPr>
                <m:t>×</m:t>
              </m:r>
              <m:sSup>
                <m:e>
                  <m:r>
                    <m:t>10</m:t>
                  </m:r>
                </m:e>
                <m:sup>
                  <m:r>
                    <m:rPr>
                      <m:sty m:val="p"/>
                    </m:rPr>
                    <m:t>−</m:t>
                  </m:r>
                  <m:r>
                    <m:t>5</m:t>
                  </m:r>
                </m:sup>
              </m:sSup>
            </m:oMath>
            <w:r>
              <w:t xml:space="preserve">​</w:t>
            </w:r>
          </w:p>
        </w:tc>
      </w:tr>
      <w:tr>
        <w:tc>
          <w:tcPr/>
          <w:p>
            <w:pPr>
              <w:pStyle w:val="Compact"/>
              <w:jc w:val="left"/>
            </w:pPr>
            <w:r>
              <w:t xml:space="preserve">Reliability implied by sampling noise alone</w:t>
            </w:r>
          </w:p>
        </w:tc>
        <w:tc>
          <w:tcPr/>
          <w:p>
            <w:pPr>
              <w:pStyle w:val="Compact"/>
              <w:jc w:val="right"/>
            </w:pPr>
            <w:r>
              <w:t xml:space="preserve">0.923</w:t>
            </w:r>
          </w:p>
        </w:tc>
        <w:tc>
          <w:tcPr/>
          <w:p>
            <w:pPr>
              <w:pStyle w:val="Compact"/>
              <w:jc w:val="right"/>
            </w:pPr>
            <w:r>
              <w:t xml:space="preserve">0.664</w:t>
            </w:r>
          </w:p>
        </w:tc>
      </w:tr>
      <w:tr>
        <w:tc>
          <w:tcPr/>
          <w:p>
            <w:pPr>
              <w:pStyle w:val="Compact"/>
              <w:jc w:val="left"/>
            </w:pPr>
            <w:r>
              <w:t xml:space="preserve">Measured split-half correlation</w:t>
            </w:r>
          </w:p>
        </w:tc>
        <w:tc>
          <w:tcPr/>
          <w:p>
            <w:pPr>
              <w:pStyle w:val="Compact"/>
              <w:jc w:val="right"/>
            </w:pPr>
            <m:oMath>
              <m:r>
                <m:rPr>
                  <m:sty m:val="p"/>
                </m:rPr>
                <m:t>+</m:t>
              </m:r>
              <m:r>
                <m:t>0.054</m:t>
              </m:r>
            </m:oMath>
            <w:r>
              <w:t xml:space="preserve">​</w:t>
            </w:r>
          </w:p>
        </w:tc>
        <w:tc>
          <w:tcPr/>
          <w:p>
            <w:pPr>
              <w:pStyle w:val="Compact"/>
              <w:jc w:val="right"/>
            </w:pPr>
            <m:oMath>
              <m:r>
                <m:rPr>
                  <m:sty m:val="p"/>
                </m:rPr>
                <m:t>+</m:t>
              </m:r>
              <m:r>
                <m:t>0.045</m:t>
              </m:r>
            </m:oMath>
            <w:r>
              <w:t xml:space="preserve">​</w:t>
            </w:r>
          </w:p>
        </w:tc>
      </w:tr>
      <w:tr>
        <w:tc>
          <w:tcPr/>
          <w:p>
            <w:pPr>
              <w:pStyle w:val="Compact"/>
              <w:jc w:val="left"/>
            </w:pPr>
            <w:r>
              <w:t xml:space="preserve">Permanent component</w:t>
            </w:r>
            <w:r>
              <w:t xml:space="preserve"> </w:t>
            </w:r>
            <m:oMath>
              <m:sSubSup>
                <m:e>
                  <m:r>
                    <m:t>σ</m:t>
                  </m:r>
                </m:e>
                <m:sub>
                  <m:r>
                    <m:t>θ</m:t>
                  </m:r>
                </m:sub>
                <m:sup>
                  <m:r>
                    <m:t>2</m:t>
                  </m:r>
                </m:sup>
              </m:sSubSup>
            </m:oMath>
          </w:p>
        </w:tc>
        <w:tc>
          <w:tcPr/>
          <w:p>
            <w:pPr>
              <w:pStyle w:val="Compact"/>
              <w:jc w:val="right"/>
            </w:pPr>
            <m:oMath>
              <m:r>
                <m:t>2.85</m:t>
              </m:r>
              <m:r>
                <m:rPr>
                  <m:sty m:val="p"/>
                </m:rPr>
                <m:t>×</m:t>
              </m:r>
              <m:sSup>
                <m:e>
                  <m:r>
                    <m:t>10</m:t>
                  </m:r>
                </m:e>
                <m:sup>
                  <m:r>
                    <m:rPr>
                      <m:sty m:val="p"/>
                    </m:rPr>
                    <m:t>−</m:t>
                  </m:r>
                  <m:r>
                    <m:t>5</m:t>
                  </m:r>
                </m:sup>
              </m:sSup>
            </m:oMath>
            <w:r>
              <w:t xml:space="preserve">​</w:t>
            </w:r>
          </w:p>
        </w:tc>
        <w:tc>
          <w:tcPr/>
          <w:p>
            <w:pPr>
              <w:pStyle w:val="Compact"/>
              <w:jc w:val="right"/>
            </w:pPr>
            <m:oMath>
              <m:r>
                <m:t>5.88</m:t>
              </m:r>
              <m:r>
                <m:rPr>
                  <m:sty m:val="p"/>
                </m:rPr>
                <m:t>×</m:t>
              </m:r>
              <m:sSup>
                <m:e>
                  <m:r>
                    <m:t>10</m:t>
                  </m:r>
                </m:e>
                <m:sup>
                  <m:r>
                    <m:rPr>
                      <m:sty m:val="p"/>
                    </m:rPr>
                    <m:t>−</m:t>
                  </m:r>
                  <m:r>
                    <m:t>6</m:t>
                  </m:r>
                </m:sup>
              </m:sSup>
            </m:oMath>
            <w:r>
              <w:t xml:space="preserve">​</w:t>
            </w:r>
          </w:p>
        </w:tc>
      </w:tr>
      <w:tr>
        <w:tc>
          <w:tcPr/>
          <w:p>
            <w:pPr>
              <w:pStyle w:val="Compact"/>
              <w:jc w:val="left"/>
            </w:pPr>
            <w:r>
              <w:t xml:space="preserve">Transitory component</w:t>
            </w:r>
            <w:r>
              <w:t xml:space="preserve"> </w:t>
            </w:r>
            <m:oMath>
              <m:sSubSup>
                <m:e>
                  <m:r>
                    <m:t>σ</m:t>
                  </m:r>
                </m:e>
                <m:sub>
                  <m:r>
                    <m:t>ν</m:t>
                  </m:r>
                </m:sub>
                <m:sup>
                  <m:r>
                    <m:t>2</m:t>
                  </m:r>
                </m:sup>
              </m:sSubSup>
            </m:oMath>
          </w:p>
        </w:tc>
        <w:tc>
          <w:tcPr/>
          <w:p>
            <w:pPr>
              <w:pStyle w:val="Compact"/>
              <w:jc w:val="right"/>
            </w:pPr>
            <m:oMath>
              <m:r>
                <m:t>4.96</m:t>
              </m:r>
              <m:r>
                <m:rPr>
                  <m:sty m:val="p"/>
                </m:rPr>
                <m:t>×</m:t>
              </m:r>
              <m:sSup>
                <m:e>
                  <m:r>
                    <m:t>10</m:t>
                  </m:r>
                </m:e>
                <m:sup>
                  <m:r>
                    <m:rPr>
                      <m:sty m:val="p"/>
                    </m:rPr>
                    <m:t>−</m:t>
                  </m:r>
                  <m:r>
                    <m:t>4</m:t>
                  </m:r>
                </m:sup>
              </m:sSup>
            </m:oMath>
            <w:r>
              <w:t xml:space="preserve">​</w:t>
            </w:r>
          </w:p>
        </w:tc>
        <w:tc>
          <w:tcPr/>
          <w:p>
            <w:pPr>
              <w:pStyle w:val="Compact"/>
              <w:jc w:val="right"/>
            </w:pPr>
            <m:oMath>
              <m:r>
                <m:t>1.24</m:t>
              </m:r>
              <m:r>
                <m:rPr>
                  <m:sty m:val="p"/>
                </m:rPr>
                <m:t>×</m:t>
              </m:r>
              <m:sSup>
                <m:e>
                  <m:r>
                    <m:t>10</m:t>
                  </m:r>
                </m:e>
                <m:sup>
                  <m:r>
                    <m:rPr>
                      <m:sty m:val="p"/>
                    </m:rPr>
                    <m:t>−</m:t>
                  </m:r>
                  <m:r>
                    <m:t>4</m:t>
                  </m:r>
                </m:sup>
              </m:sSup>
            </m:oMath>
            <w:r>
              <w:t xml:space="preserve">​</w:t>
            </w:r>
          </w:p>
        </w:tc>
      </w:tr>
      <w:tr>
        <w:tc>
          <w:tcPr/>
          <w:p>
            <w:pPr>
              <w:pStyle w:val="Compact"/>
              <w:jc w:val="left"/>
            </w:pPr>
            <w:r>
              <w:t xml:space="preserve">Transitory share of dispersion</w:t>
            </w:r>
          </w:p>
        </w:tc>
        <w:tc>
          <w:tcPr/>
          <w:p>
            <w:pPr>
              <w:pStyle w:val="Compact"/>
              <w:jc w:val="right"/>
            </w:pPr>
            <w:r>
              <w:rPr>
                <w:b/>
                <w:bCs/>
              </w:rPr>
              <w:t xml:space="preserve">94.6%</w:t>
            </w:r>
          </w:p>
        </w:tc>
        <w:tc>
          <w:tcPr/>
          <w:p>
            <w:pPr>
              <w:pStyle w:val="Compact"/>
              <w:jc w:val="right"/>
            </w:pPr>
            <w:r>
              <w:rPr>
                <w:b/>
                <w:bCs/>
              </w:rPr>
              <w:t xml:space="preserve">95.5%</w:t>
            </w:r>
          </w:p>
        </w:tc>
      </w:tr>
    </w:tbl>
    <w:p>
      <w:pPr>
        <w:pStyle w:val="BodyText"/>
      </w:pPr>
      <w:r>
        <w:t xml:space="preserve">Table 6 applies Proposition 5 and delivers the</w:t>
      </w:r>
      <w:r>
        <w:t xml:space="preserve"> </w:t>
      </w:r>
      <w:r>
        <w:t xml:space="preserve">paper’s sharpest methodological finding. Sampling noise alone implies</w:t>
      </w:r>
      <w:r>
        <w:t xml:space="preserve"> </w:t>
      </w:r>
      <w:r>
        <w:t xml:space="preserve">reliabilities of 0.923 and 0.664: a conventional power calculation, or an</w:t>
      </w:r>
      <w:r>
        <w:t xml:space="preserve"> </w:t>
      </w:r>
      <w:r>
        <w:t xml:space="preserve">inspection of standard errors, would have judged the Vietnamese design</w:t>
      </w:r>
      <w:r>
        <w:t xml:space="preserve"> </w:t>
      </w:r>
      <w:r>
        <w:t xml:space="preserve">comfortably feasible and the Turkish one feasible or close to it. The</w:t>
      </w:r>
      <w:r>
        <w:t xml:space="preserve"> </w:t>
      </w:r>
      <w:r>
        <w:t xml:space="preserve">split-half correlations nonetheless leave almost none of that</w:t>
      </w:r>
      <w:r>
        <w:t xml:space="preserve"> </w:t>
      </w:r>
      <w:r>
        <w:t xml:space="preserve">dispersion permanent, attributing 94.6% of Vietnamese and 95.5% of Turkish</w:t>
      </w:r>
      <w:r>
        <w:t xml:space="preserve"> </w:t>
      </w:r>
      <w:r>
        <w:t xml:space="preserve">dispersion to a transitory component.</w:t>
      </w:r>
    </w:p>
    <w:p>
      <w:pPr>
        <w:pStyle w:val="BodyText"/>
      </w:pPr>
      <w:r>
        <w:t xml:space="preserve">The distinction matters for what one should do about it. Imprecision is</w:t>
      </w:r>
      <w:r>
        <w:t xml:space="preserve"> </w:t>
      </w:r>
      <w:r>
        <w:t xml:space="preserve">remediable with more data; impermanence is not. A firm’s estimated repricing</w:t>
      </w:r>
      <w:r>
        <w:t xml:space="preserve"> </w:t>
      </w:r>
      <w:r>
        <w:t xml:space="preserve">sensitivity is real within the window in which it is measured and does not</w:t>
      </w:r>
      <w:r>
        <w:t xml:space="preserve"> </w:t>
      </w:r>
      <w:r>
        <w:t xml:space="preserve">persist beyond it, so it cannot serve as a pre-determined regressor for a</w:t>
      </w:r>
      <w:r>
        <w:t xml:space="preserve"> </w:t>
      </w:r>
      <w:r>
        <w:t xml:space="preserve">treatment occurring later. Quarterly estimation would raise</w:t>
      </w:r>
      <w:r>
        <w:t xml:space="preserve"> </w:t>
      </w:r>
      <m:oMath>
        <m:r>
          <m:t>T</m:t>
        </m:r>
      </m:oMath>
      <w:r>
        <w:t xml:space="preserve"> </w:t>
      </w:r>
      <w:r>
        <w:t xml:space="preserve">and shrink</w:t>
      </w:r>
      <w:r>
        <w:t xml:space="preserve"> </w:t>
      </w:r>
      <m:oMath>
        <m:sSubSup>
          <m:e>
            <m:r>
              <m:t>σ</m:t>
            </m:r>
          </m:e>
          <m:sub>
            <m:r>
              <m:t>u</m:t>
            </m:r>
          </m:sub>
          <m:sup>
            <m:r>
              <m:t>2</m:t>
            </m:r>
          </m:sup>
        </m:sSubSup>
      </m:oMath>
      <w:r>
        <w:t xml:space="preserve">, which Table 6 shows was never the binding</w:t>
      </w:r>
      <w:r>
        <w:t xml:space="preserve"> </w:t>
      </w:r>
      <w:r>
        <w:t xml:space="preserve">constraint.</w:t>
      </w:r>
    </w:p>
    <w:bookmarkEnd w:id="48"/>
    <w:bookmarkStart w:id="49" w:name="first-stage-prediction"/>
    <w:p>
      <w:pPr>
        <w:pStyle w:val="Heading3"/>
      </w:pPr>
      <w:r>
        <w:t xml:space="preserve">First-stage prediction</w:t>
      </w:r>
    </w:p>
    <w:p>
      <w:pPr>
        <w:pStyle w:val="FirstParagraph"/>
      </w:pPr>
      <w:r>
        <w:t xml:space="preserve">The decisive test asks whether</w:t>
      </w:r>
      <w:r>
        <w:t xml:space="preserve"> </w:t>
      </w:r>
      <m:oMath>
        <m:acc>
          <m:accPr>
            <m:chr m:val="̂"/>
          </m:accPr>
          <m:e>
            <m:r>
              <m:t>θ</m:t>
            </m:r>
          </m:e>
        </m:acc>
      </m:oMath>
      <w:r>
        <w:t xml:space="preserve"> </w:t>
      </w:r>
      <w:r>
        <w:t xml:space="preserve">predicts what it purports to,</w:t>
      </w:r>
      <w:r>
        <w:t xml:space="preserve"> </w:t>
      </w:r>
      <w:r>
        <w:t xml:space="preserve">reported in Table 7.</w:t>
      </w:r>
    </w:p>
    <w:p>
      <w:pPr>
        <w:pStyle w:val="TableCaption"/>
      </w:pPr>
      <w:r>
        <w:t xml:space="preserve">Does estimated exposure predict the actual change in borrowing cost?</w:t>
      </w:r>
    </w:p>
    <w:tbl>
      <w:tblPr>
        <w:tblStyle w:val="Table"/>
        <w:tblW w:type="auto" w:w="0"/>
        <w:tblLook w:firstRow="1" w:lastRow="0" w:firstColumn="0" w:lastColumn="0" w:noHBand="0" w:noVBand="0" w:val="0020"/>
        <w:tblCaption w:val="Does estimated exposure predict the actual change in borrowing cost?"/>
      </w:tblPr>
      <w:tblGrid>
        <w:gridCol w:w="2640"/>
        <w:gridCol w:w="2640"/>
        <w:gridCol w:w="2640"/>
      </w:tblGrid>
      <w:tr>
        <w:trPr>
          <w:tblHeader w:val="on"/>
        </w:trPr>
        <w:tc>
          <w:tcPr/>
          <w:p>
            <w:pPr>
              <w:pStyle w:val="Compact"/>
            </w:pPr>
          </w:p>
        </w:tc>
        <w:tc>
          <w:tcPr/>
          <w:p>
            <w:pPr>
              <w:pStyle w:val="Compact"/>
              <w:jc w:val="right"/>
            </w:pPr>
            <w:r>
              <w:t xml:space="preserve">Türkiye (2022–24)</w:t>
            </w:r>
          </w:p>
        </w:tc>
        <w:tc>
          <w:tcPr/>
          <w:p>
            <w:pPr>
              <w:pStyle w:val="Compact"/>
              <w:jc w:val="right"/>
            </w:pPr>
            <w:r>
              <w:t xml:space="preserve">Vietnam (2022–23)</w:t>
            </w:r>
          </w:p>
        </w:tc>
      </w:tr>
      <w:tr>
        <w:tc>
          <w:tcPr/>
          <w:p>
            <w:pPr>
              <w:pStyle w:val="Compact"/>
              <w:jc w:val="left"/>
            </w:pPr>
            <w:r>
              <w:t xml:space="preserve">Coefficient on</w:t>
            </w:r>
            <w:r>
              <w:t xml:space="preserve"> </w:t>
            </w:r>
            <m:oMath>
              <m:acc>
                <m:accPr>
                  <m:chr m:val="̂"/>
                </m:accPr>
                <m:e>
                  <m:r>
                    <m:t>θ</m:t>
                  </m:r>
                </m:e>
              </m:acc>
            </m:oMath>
            <w:r>
              <w:t xml:space="preserve"> </w:t>
            </w:r>
            <w:r>
              <w:t xml:space="preserve">(standardised)</w:t>
            </w:r>
          </w:p>
        </w:tc>
        <w:tc>
          <w:tcPr/>
          <w:p>
            <w:pPr>
              <w:pStyle w:val="Compact"/>
              <w:jc w:val="right"/>
            </w:pPr>
            <m:oMath>
              <m:r>
                <m:rPr>
                  <m:sty m:val="p"/>
                </m:rPr>
                <m:t>−</m:t>
              </m:r>
              <m:r>
                <m:t>0.036</m:t>
              </m:r>
            </m:oMath>
            <w:r>
              <w:t xml:space="preserve">​</w:t>
            </w:r>
          </w:p>
        </w:tc>
        <w:tc>
          <w:tcPr/>
          <w:p>
            <w:pPr>
              <w:pStyle w:val="Compact"/>
              <w:jc w:val="right"/>
            </w:pPr>
            <m:oMath>
              <m:r>
                <m:rPr>
                  <m:sty m:val="p"/>
                </m:rPr>
                <m:t>+</m:t>
              </m:r>
              <m:r>
                <m:t>0.001</m:t>
              </m:r>
            </m:oMath>
            <w:r>
              <w:t xml:space="preserve">​</w:t>
            </w:r>
          </w:p>
        </w:tc>
      </w:tr>
      <w:tr>
        <w:tc>
          <w:tcPr/>
          <w:p>
            <w:pPr>
              <w:pStyle w:val="Compact"/>
              <w:jc w:val="left"/>
            </w:pPr>
            <m:oMath>
              <m:r>
                <m:t>p</m:t>
              </m:r>
            </m:oMath>
            <w:r>
              <w:t xml:space="preserve">-value</w:t>
            </w:r>
          </w:p>
        </w:tc>
        <w:tc>
          <w:tcPr/>
          <w:p>
            <w:pPr>
              <w:pStyle w:val="Compact"/>
              <w:jc w:val="right"/>
            </w:pPr>
            <w:r>
              <w:t xml:space="preserve">0.27</w:t>
            </w:r>
          </w:p>
        </w:tc>
        <w:tc>
          <w:tcPr/>
          <w:p>
            <w:pPr>
              <w:pStyle w:val="Compact"/>
              <w:jc w:val="right"/>
            </w:pPr>
            <w:r>
              <w:t xml:space="preserve">0.54</w:t>
            </w:r>
          </w:p>
        </w:tc>
      </w:tr>
      <w:tr>
        <w:tc>
          <w:tcPr/>
          <w:p>
            <w:pPr>
              <w:pStyle w:val="Compact"/>
              <w:jc w:val="left"/>
            </w:pPr>
            <m:oMath>
              <m:sSup>
                <m:e>
                  <m:r>
                    <m:t>R</m:t>
                  </m:r>
                </m:e>
                <m:sup>
                  <m:r>
                    <m:t>2</m:t>
                  </m:r>
                </m:sup>
              </m:sSup>
            </m:oMath>
            <w:r>
              <w:t xml:space="preserve">​</w:t>
            </w:r>
          </w:p>
        </w:tc>
        <w:tc>
          <w:tcPr/>
          <w:p>
            <w:pPr>
              <w:pStyle w:val="Compact"/>
              <w:jc w:val="right"/>
            </w:pPr>
            <w:r>
              <w:t xml:space="preserve">0.035</w:t>
            </w:r>
          </w:p>
        </w:tc>
        <w:tc>
          <w:tcPr/>
          <w:p>
            <w:pPr>
              <w:pStyle w:val="Compact"/>
              <w:jc w:val="right"/>
            </w:pPr>
            <w:r>
              <w:t xml:space="preserve">0.002</w:t>
            </w:r>
          </w:p>
        </w:tc>
      </w:tr>
      <w:tr>
        <w:tc>
          <w:tcPr/>
          <w:p>
            <w:pPr>
              <w:pStyle w:val="Compact"/>
              <w:jc w:val="left"/>
            </w:pPr>
            <w:r>
              <w:t xml:space="preserve">Change, lowest tercile</w:t>
            </w:r>
          </w:p>
        </w:tc>
        <w:tc>
          <w:tcPr/>
          <w:p>
            <w:pPr>
              <w:pStyle w:val="Compact"/>
              <w:jc w:val="right"/>
            </w:pPr>
            <m:oMath>
              <m:r>
                <m:rPr>
                  <m:sty m:val="p"/>
                </m:rPr>
                <m:t>+</m:t>
              </m:r>
              <m:r>
                <m:t>0.19</m:t>
              </m:r>
            </m:oMath>
            <w:r>
              <w:t xml:space="preserve">​</w:t>
            </w:r>
          </w:p>
        </w:tc>
        <w:tc>
          <w:tcPr/>
          <w:p>
            <w:pPr>
              <w:pStyle w:val="Compact"/>
              <w:jc w:val="right"/>
            </w:pPr>
            <m:oMath>
              <m:r>
                <m:rPr>
                  <m:sty m:val="p"/>
                </m:rPr>
                <m:t>+</m:t>
              </m:r>
              <m:r>
                <m:t>0.006</m:t>
              </m:r>
            </m:oMath>
            <w:r>
              <w:t xml:space="preserve">​</w:t>
            </w:r>
          </w:p>
        </w:tc>
      </w:tr>
      <w:tr>
        <w:tc>
          <w:tcPr/>
          <w:p>
            <w:pPr>
              <w:pStyle w:val="Compact"/>
              <w:jc w:val="left"/>
            </w:pPr>
            <w:r>
              <w:t xml:space="preserve">Change, highest tercile</w:t>
            </w:r>
          </w:p>
        </w:tc>
        <w:tc>
          <w:tcPr/>
          <w:p>
            <w:pPr>
              <w:pStyle w:val="Compact"/>
              <w:jc w:val="right"/>
            </w:pPr>
            <m:oMath>
              <m:r>
                <m:rPr>
                  <m:sty m:val="b"/>
                </m:rPr>
                <m:t>+</m:t>
              </m:r>
              <m:r>
                <m:rPr>
                  <m:sty m:val="b"/>
                </m:rPr>
                <m:t>0.04</m:t>
              </m:r>
            </m:oMath>
            <w:r>
              <w:t xml:space="preserve">​</w:t>
            </w:r>
          </w:p>
        </w:tc>
        <w:tc>
          <w:tcPr/>
          <w:p>
            <w:pPr>
              <w:pStyle w:val="Compact"/>
              <w:jc w:val="right"/>
            </w:pPr>
            <m:oMath>
              <m:r>
                <m:rPr>
                  <m:sty m:val="p"/>
                </m:rPr>
                <m:t>+</m:t>
              </m:r>
              <m:r>
                <m:t>0.010</m:t>
              </m:r>
            </m:oMath>
            <w:r>
              <w:t xml:space="preserve">​</w:t>
            </w:r>
          </w:p>
        </w:tc>
      </w:tr>
    </w:tbl>
    <w:p>
      <w:pPr>
        <w:pStyle w:val="BodyText"/>
      </w:pPr>
      <w:r>
        <w:t xml:space="preserve">In Türkiye the most-exposed tercile records the</w:t>
      </w:r>
      <w:r>
        <w:t xml:space="preserve"> </w:t>
      </w:r>
      <w:r>
        <w:rPr>
          <w:i/>
          <w:iCs/>
        </w:rPr>
        <w:t xml:space="preserve">smallest</w:t>
      </w:r>
      <w:r>
        <w:t xml:space="preserve"> </w:t>
      </w:r>
      <w:r>
        <w:t xml:space="preserve">increase in</w:t>
      </w:r>
      <w:r>
        <w:t xml:space="preserve"> </w:t>
      </w:r>
      <w:r>
        <w:t xml:space="preserve">realised cost. Median in-sample fit on the split-half windows is 0.66 in</w:t>
      </w:r>
      <w:r>
        <w:t xml:space="preserve"> </w:t>
      </w:r>
      <w:r>
        <w:t xml:space="preserve">Vietnam and 0.71 in Türkiye against the null benchmark</w:t>
      </w:r>
      <w:r>
        <w:t xml:space="preserve"> </w:t>
      </w:r>
      <m:oMath>
        <m:r>
          <m:t>k</m:t>
        </m:r>
        <m:r>
          <m:rPr>
            <m:sty m:val="p"/>
          </m:rPr>
          <m:t>/</m:t>
        </m:r>
        <m:r>
          <m:rPr>
            <m:sty m:val="p"/>
          </m:rPr>
          <m:t>(</m:t>
        </m:r>
        <m:r>
          <m:t>T</m:t>
        </m:r>
        <m:r>
          <m:rPr>
            <m:sty m:val="p"/>
          </m:rPr>
          <m:t>−</m:t>
        </m:r>
        <m:r>
          <m:t>1</m:t>
        </m:r>
        <m:r>
          <m:rPr>
            <m:sty m:val="p"/>
          </m:rPr>
          <m:t>)</m:t>
        </m:r>
        <m:r>
          <m:rPr>
            <m:sty m:val="p"/>
          </m:rPr>
          <m:t>=</m:t>
        </m:r>
        <m:r>
          <m:t>0.50</m:t>
        </m:r>
      </m:oMath>
      <w:r>
        <w:t xml:space="preserve"> </w:t>
      </w:r>
      <w:r>
        <w:t xml:space="preserve">of</w:t>
      </w:r>
      <w:r>
        <w:t xml:space="preserve"> </w:t>
      </w:r>
      <w:r>
        <w:t xml:space="preserve">Proposition 6—the same order of magnitude as chance, and neither</w:t>
      </w:r>
      <w:r>
        <w:t xml:space="preserve"> </w:t>
      </w:r>
      <w:r>
        <w:t xml:space="preserve">approaches the fit a genuine two-parameter relationship would typically</w:t>
      </w:r>
      <w:r>
        <w:t xml:space="preserve"> </w:t>
      </w:r>
      <w:r>
        <w:t xml:space="preserve">produce.</w:t>
      </w:r>
    </w:p>
    <w:bookmarkEnd w:id="49"/>
    <w:bookmarkStart w:id="50" w:name="balance-sheet-proxies"/>
    <w:p>
      <w:pPr>
        <w:pStyle w:val="Heading3"/>
      </w:pPr>
      <w:r>
        <w:t xml:space="preserve">Balance-sheet proxies</w:t>
      </w:r>
    </w:p>
    <w:p>
      <w:pPr>
        <w:pStyle w:val="FirstParagraph"/>
      </w:pPr>
      <w:r>
        <w:t xml:space="preserve">The measured characteristics are reliable but do not identify repricing.</w:t>
      </w:r>
      <w:r>
        <w:t xml:space="preserve"> </w:t>
      </w:r>
      <w:r>
        <w:t xml:space="preserve">Regressing the actual change in borrowing cost on standardised pre-period</w:t>
      </w:r>
      <w:r>
        <w:t xml:space="preserve"> </w:t>
      </w:r>
      <w:r>
        <w:t xml:space="preserve">characteristics yields</w:t>
      </w:r>
      <w:r>
        <w:t xml:space="preserve"> </w:t>
      </w:r>
      <m:oMath>
        <m:sSup>
          <m:e>
            <m:r>
              <m:t>R</m:t>
            </m:r>
          </m:e>
          <m:sup>
            <m:r>
              <m:t>2</m:t>
            </m:r>
          </m:sup>
        </m:sSup>
      </m:oMath>
      <w:r>
        <w:t xml:space="preserve"> </w:t>
      </w:r>
      <w:r>
        <w:t xml:space="preserve">below</w:t>
      </w:r>
      <w:r>
        <w:t xml:space="preserve"> </w:t>
      </w:r>
      <m:oMath>
        <m:r>
          <m:t>0.02</m:t>
        </m:r>
      </m:oMath>
      <w:r>
        <w:t xml:space="preserve"> </w:t>
      </w:r>
      <w:r>
        <w:t xml:space="preserve">for the short-term debt share,</w:t>
      </w:r>
      <w:r>
        <w:t xml:space="preserve"> </w:t>
      </w:r>
      <w:r>
        <w:t xml:space="preserve">leverage, the current ratio, size and interest coverage, in both countries.</w:t>
      </w:r>
    </w:p>
    <w:p>
      <w:pPr>
        <w:pStyle w:val="BodyText"/>
      </w:pPr>
      <w:r>
        <w:t xml:space="preserve">The short-maturity share illustrates the confound. It is simultaneously a</w:t>
      </w:r>
      <w:r>
        <w:t xml:space="preserve"> </w:t>
      </w:r>
      <w:r>
        <w:t xml:space="preserve">measure of repricing exposure and of credit quality, since firms able to roll</w:t>
      </w:r>
      <w:r>
        <w:t xml:space="preserve"> </w:t>
      </w:r>
      <w:r>
        <w:t xml:space="preserve">short-term paper cheaply are disproportionately the strongest borrowers. In</w:t>
      </w:r>
      <w:r>
        <w:t xml:space="preserve"> </w:t>
      </w:r>
      <w:r>
        <w:t xml:space="preserve">Türkiye the two align and coverage falls monotonically across terciles; in</w:t>
      </w:r>
      <w:r>
        <w:t xml:space="preserve"> </w:t>
      </w:r>
      <w:r>
        <w:t xml:space="preserve">Vietnam the credit-quality effect dominates and the ordering inverts, the</w:t>
      </w:r>
      <w:r>
        <w:t xml:space="preserve"> </w:t>
      </w:r>
      <w:r>
        <w:t xml:space="preserve">most short-funded tercile being the healthiest in most years (</w:t>
      </w:r>
      <m:oMath>
        <m:r>
          <m:t>5.02</m:t>
        </m:r>
      </m:oMath>
      <w:r>
        <w:t xml:space="preserve"> </w:t>
      </w:r>
      <w:r>
        <w:t xml:space="preserve">against</w:t>
      </w:r>
      <w:r>
        <w:t xml:space="preserve"> </w:t>
      </w:r>
      <m:oMath>
        <m:r>
          <m:t>3.45</m:t>
        </m:r>
      </m:oMath>
      <w:r>
        <w:t xml:space="preserve"> </w:t>
      </w:r>
      <w:r>
        <w:t xml:space="preserve">in 2021). A proxy whose sign flips across two structurally similar</w:t>
      </w:r>
      <w:r>
        <w:t xml:space="preserve"> </w:t>
      </w:r>
      <w:r>
        <w:t xml:space="preserve">markets is not measuring a single construct.</w:t>
      </w:r>
    </w:p>
    <w:bookmarkEnd w:id="50"/>
    <w:bookmarkEnd w:id="51"/>
    <w:bookmarkEnd w:id="52"/>
    <w:bookmarkStart w:id="69" w:name="identification-results-and-robustness"/>
    <w:p>
      <w:pPr>
        <w:pStyle w:val="Heading1"/>
      </w:pPr>
      <w:r>
        <w:t xml:space="preserve">Identification, results and robustness</w:t>
      </w:r>
    </w:p>
    <w:bookmarkStart w:id="55" w:name="identification"/>
    <w:p>
      <w:pPr>
        <w:pStyle w:val="Heading2"/>
      </w:pPr>
      <w:r>
        <w:t xml:space="preserve">Identification</w:t>
      </w:r>
    </w:p>
    <w:bookmarkStart w:id="53" w:name="the-restatement-confound-empirically"/>
    <w:p>
      <w:pPr>
        <w:pStyle w:val="Heading3"/>
      </w:pPr>
      <w:r>
        <w:t xml:space="preserve">The restatement confound, empirically</w:t>
      </w:r>
    </w:p>
    <w:p>
      <w:pPr>
        <w:pStyle w:val="FirstParagraph"/>
      </w:pPr>
      <w:r>
        <w:t xml:space="preserve">Table 8 reports the Turkish median balance-sheet aggregates.</w:t>
      </w:r>
    </w:p>
    <w:p>
      <w:pPr>
        <w:pStyle w:val="TableCaption"/>
      </w:pPr>
      <w:r>
        <w:t xml:space="preserve">Turkish median balance-sheet aggregates</w:t>
      </w:r>
    </w:p>
    <w:tbl>
      <w:tblPr>
        <w:tblStyle w:val="Table"/>
        <w:tblW w:type="auto" w:w="0"/>
        <w:tblLook w:firstRow="1" w:lastRow="0" w:firstColumn="0" w:lastColumn="0" w:noHBand="0" w:noVBand="0" w:val="0020"/>
        <w:tblCaption w:val="Turkish median balance-sheet aggregates"/>
      </w:tblPr>
      <w:tblGrid>
        <w:gridCol w:w="2640"/>
        <w:gridCol w:w="2640"/>
        <w:gridCol w:w="2640"/>
      </w:tblGrid>
      <w:tr>
        <w:trPr>
          <w:tblHeader w:val="on"/>
        </w:trPr>
        <w:tc>
          <w:tcPr/>
          <w:p>
            <w:pPr>
              <w:pStyle w:val="Compact"/>
              <w:jc w:val="left"/>
            </w:pPr>
            <w:r>
              <w:t xml:space="preserve">Year</w:t>
            </w:r>
          </w:p>
        </w:tc>
        <w:tc>
          <w:tcPr/>
          <w:p>
            <w:pPr>
              <w:pStyle w:val="Compact"/>
              <w:jc w:val="right"/>
            </w:pPr>
            <w:r>
              <w:t xml:space="preserve">Equity / assets</w:t>
            </w:r>
          </w:p>
        </w:tc>
        <w:tc>
          <w:tcPr/>
          <w:p>
            <w:pPr>
              <w:pStyle w:val="Compact"/>
              <w:jc w:val="right"/>
            </w:pPr>
            <w:r>
              <w:t xml:space="preserve">Debt / assets</w:t>
            </w:r>
          </w:p>
        </w:tc>
      </w:tr>
      <w:tr>
        <w:tc>
          <w:tcPr/>
          <w:p>
            <w:pPr>
              <w:pStyle w:val="Compact"/>
              <w:jc w:val="left"/>
            </w:pPr>
            <w:r>
              <w:t xml:space="preserve">2017</w:t>
            </w:r>
          </w:p>
        </w:tc>
        <w:tc>
          <w:tcPr/>
          <w:p>
            <w:pPr>
              <w:pStyle w:val="Compact"/>
              <w:jc w:val="right"/>
            </w:pPr>
            <w:r>
              <w:t xml:space="preserve">0.472</w:t>
            </w:r>
          </w:p>
        </w:tc>
        <w:tc>
          <w:tcPr/>
          <w:p>
            <w:pPr>
              <w:pStyle w:val="Compact"/>
              <w:jc w:val="right"/>
            </w:pPr>
            <w:r>
              <w:t xml:space="preserve">0.217</w:t>
            </w:r>
          </w:p>
        </w:tc>
      </w:tr>
      <w:tr>
        <w:tc>
          <w:tcPr/>
          <w:p>
            <w:pPr>
              <w:pStyle w:val="Compact"/>
              <w:jc w:val="left"/>
            </w:pPr>
            <w:r>
              <w:t xml:space="preserve">2019</w:t>
            </w:r>
          </w:p>
        </w:tc>
        <w:tc>
          <w:tcPr/>
          <w:p>
            <w:pPr>
              <w:pStyle w:val="Compact"/>
              <w:jc w:val="right"/>
            </w:pPr>
            <w:r>
              <w:t xml:space="preserve">0.419</w:t>
            </w:r>
          </w:p>
        </w:tc>
        <w:tc>
          <w:tcPr/>
          <w:p>
            <w:pPr>
              <w:pStyle w:val="Compact"/>
              <w:jc w:val="right"/>
            </w:pPr>
            <w:r>
              <w:t xml:space="preserve">0.226</w:t>
            </w:r>
          </w:p>
        </w:tc>
      </w:tr>
      <w:tr>
        <w:tc>
          <w:tcPr/>
          <w:p>
            <w:pPr>
              <w:pStyle w:val="Compact"/>
              <w:jc w:val="left"/>
            </w:pPr>
            <w:r>
              <w:t xml:space="preserve">2021</w:t>
            </w:r>
          </w:p>
        </w:tc>
        <w:tc>
          <w:tcPr/>
          <w:p>
            <w:pPr>
              <w:pStyle w:val="Compact"/>
              <w:jc w:val="right"/>
            </w:pPr>
            <w:r>
              <w:t xml:space="preserve">0.462</w:t>
            </w:r>
          </w:p>
        </w:tc>
        <w:tc>
          <w:tcPr/>
          <w:p>
            <w:pPr>
              <w:pStyle w:val="Compact"/>
              <w:jc w:val="right"/>
            </w:pPr>
            <w:r>
              <w:t xml:space="preserve">0.189</w:t>
            </w:r>
          </w:p>
        </w:tc>
      </w:tr>
      <w:tr>
        <w:tc>
          <w:tcPr/>
          <w:p>
            <w:pPr>
              <w:pStyle w:val="Compact"/>
              <w:jc w:val="left"/>
            </w:pPr>
            <w:r>
              <w:rPr>
                <w:b/>
                <w:bCs/>
              </w:rPr>
              <w:t xml:space="preserve">2022</w:t>
            </w:r>
          </w:p>
        </w:tc>
        <w:tc>
          <w:tcPr/>
          <w:p>
            <w:pPr>
              <w:pStyle w:val="Compact"/>
              <w:jc w:val="right"/>
            </w:pPr>
            <w:r>
              <w:rPr>
                <w:b/>
                <w:bCs/>
              </w:rPr>
              <w:t xml:space="preserve">0.558</w:t>
            </w:r>
          </w:p>
        </w:tc>
        <w:tc>
          <w:tcPr/>
          <w:p>
            <w:pPr>
              <w:pStyle w:val="Compact"/>
              <w:jc w:val="right"/>
            </w:pPr>
            <w:r>
              <w:rPr>
                <w:b/>
                <w:bCs/>
              </w:rPr>
              <w:t xml:space="preserve">0.138</w:t>
            </w:r>
          </w:p>
        </w:tc>
      </w:tr>
      <w:tr>
        <w:tc>
          <w:tcPr/>
          <w:p>
            <w:pPr>
              <w:pStyle w:val="Compact"/>
              <w:jc w:val="left"/>
            </w:pPr>
            <w:r>
              <w:rPr>
                <w:b/>
                <w:bCs/>
              </w:rPr>
              <w:t xml:space="preserve">2023</w:t>
            </w:r>
          </w:p>
        </w:tc>
        <w:tc>
          <w:tcPr/>
          <w:p>
            <w:pPr>
              <w:pStyle w:val="Compact"/>
              <w:jc w:val="right"/>
            </w:pPr>
            <w:r>
              <w:rPr>
                <w:b/>
                <w:bCs/>
              </w:rPr>
              <w:t xml:space="preserve">0.614</w:t>
            </w:r>
          </w:p>
        </w:tc>
        <w:tc>
          <w:tcPr/>
          <w:p>
            <w:pPr>
              <w:pStyle w:val="Compact"/>
              <w:jc w:val="right"/>
            </w:pPr>
            <w:r>
              <w:rPr>
                <w:b/>
                <w:bCs/>
              </w:rPr>
              <w:t xml:space="preserve">0.111</w:t>
            </w:r>
          </w:p>
        </w:tc>
      </w:tr>
      <w:tr>
        <w:tc>
          <w:tcPr/>
          <w:p>
            <w:pPr>
              <w:pStyle w:val="Compact"/>
              <w:jc w:val="left"/>
            </w:pPr>
            <w:r>
              <w:t xml:space="preserve">2024</w:t>
            </w:r>
          </w:p>
        </w:tc>
        <w:tc>
          <w:tcPr/>
          <w:p>
            <w:pPr>
              <w:pStyle w:val="Compact"/>
              <w:jc w:val="right"/>
            </w:pPr>
            <w:r>
              <w:t xml:space="preserve">0.646</w:t>
            </w:r>
          </w:p>
        </w:tc>
        <w:tc>
          <w:tcPr/>
          <w:p>
            <w:pPr>
              <w:pStyle w:val="Compact"/>
              <w:jc w:val="right"/>
            </w:pPr>
            <w:r>
              <w:t xml:space="preserve">0.100</w:t>
            </w:r>
          </w:p>
        </w:tc>
      </w:tr>
      <w:tr>
        <w:tc>
          <w:tcPr/>
          <w:p>
            <w:pPr>
              <w:pStyle w:val="Compact"/>
              <w:jc w:val="left"/>
            </w:pPr>
            <w:r>
              <w:t xml:space="preserve">2025</w:t>
            </w:r>
          </w:p>
        </w:tc>
        <w:tc>
          <w:tcPr/>
          <w:p>
            <w:pPr>
              <w:pStyle w:val="Compact"/>
              <w:jc w:val="right"/>
            </w:pPr>
            <w:r>
              <w:t xml:space="preserve">0.619</w:t>
            </w:r>
          </w:p>
        </w:tc>
        <w:tc>
          <w:tcPr/>
          <w:p>
            <w:pPr>
              <w:pStyle w:val="Compact"/>
              <w:jc w:val="right"/>
            </w:pPr>
            <w:r>
              <w:t xml:space="preserve">0.117</w:t>
            </w:r>
          </w:p>
        </w:tc>
      </w:tr>
    </w:tbl>
    <w:p>
      <w:pPr>
        <w:pStyle w:val="BodyText"/>
      </w:pPr>
      <w:r>
        <w:t xml:space="preserve">Median leverage more than halves between 2019 and 2024 while equity-to-assets</w:t>
      </w:r>
      <w:r>
        <w:t xml:space="preserve"> </w:t>
      </w:r>
      <w:r>
        <w:t xml:space="preserve">rises by over twenty points, in a period of severe tightening and depreciation</w:t>
      </w:r>
      <w:r>
        <w:t xml:space="preserve"> </w:t>
      </w:r>
      <w:r>
        <w:t xml:space="preserve">during which no such deleveraging occurred. The break begins in 2022, consistent</w:t>
      </w:r>
      <w:r>
        <w:t xml:space="preserve"> </w:t>
      </w:r>
      <w:r>
        <w:t xml:space="preserve">with the April 2022 classification and the restatement of comparatives.</w:t>
      </w:r>
    </w:p>
    <w:p>
      <w:pPr>
        <w:pStyle w:val="BodyText"/>
      </w:pPr>
      <w:r>
        <w:t xml:space="preserve">Proposition 7 predicts that a design using stock-based outcomes</w:t>
      </w:r>
      <w:r>
        <w:t xml:space="preserve"> </w:t>
      </w:r>
      <w:r>
        <w:t xml:space="preserve">will be inconsistent whenever</w:t>
      </w:r>
      <w:r>
        <w:t xml:space="preserve"> </w:t>
      </w:r>
      <m:oMath>
        <m:r>
          <m:rPr>
            <m:sty m:val="p"/>
          </m:rPr>
          <m:t>Cov</m:t>
        </m:r>
        <m:r>
          <m:rPr>
            <m:sty m:val="p"/>
          </m:rPr>
          <m:t>(</m:t>
        </m:r>
        <m:sSub>
          <m:e>
            <m:r>
              <m:t>θ</m:t>
            </m:r>
          </m:e>
          <m:sub>
            <m:r>
              <m:t>i</m:t>
            </m:r>
          </m:sub>
        </m:sSub>
        <m:r>
          <m:rPr>
            <m:sty m:val="p"/>
          </m:rPr>
          <m:t>,</m:t>
        </m:r>
        <m:sSub>
          <m:e>
            <m:r>
              <m:t>δ</m:t>
            </m:r>
          </m:e>
          <m:sub>
            <m:r>
              <m:t>i</m:t>
            </m:r>
          </m:sub>
        </m:sSub>
        <m:r>
          <m:rPr>
            <m:sty m:val="p"/>
          </m:rPr>
          <m:t>)</m:t>
        </m:r>
        <m:r>
          <m:rPr>
            <m:sty m:val="p"/>
          </m:rPr>
          <m:t>≠</m:t>
        </m:r>
        <m:r>
          <m:t>0</m:t>
        </m:r>
      </m:oMath>
      <w:r>
        <w:t xml:space="preserve">. Estimating it with</w:t>
      </w:r>
      <w:r>
        <w:t xml:space="preserve"> </w:t>
      </w:r>
      <w:r>
        <w:t xml:space="preserve">FX exposure as treatment returns exactly that pathology: coefficients that are</w:t>
      </w:r>
      <w:r>
        <w:t xml:space="preserve"> </w:t>
      </w:r>
      <w:r>
        <w:t xml:space="preserve">highly significant and wrongly signed, with firms holding more foreign-currency</w:t>
      </w:r>
      <w:r>
        <w:t xml:space="preserve"> </w:t>
      </w:r>
      <w:r>
        <w:t xml:space="preserve">debt appearing to</w:t>
      </w:r>
      <w:r>
        <w:t xml:space="preserve"> </w:t>
      </w:r>
      <w:r>
        <w:rPr>
          <w:i/>
          <w:iCs/>
        </w:rPr>
        <w:t xml:space="preserve">improve</w:t>
      </w:r>
      <w:r>
        <w:t xml:space="preserve"> </w:t>
      </w:r>
      <w:r>
        <w:t xml:space="preserve">after 2023 (implied rate</w:t>
      </w:r>
      <w:r>
        <w:t xml:space="preserve"> </w:t>
      </w:r>
      <m:oMath>
        <m:r>
          <m:rPr>
            <m:sty m:val="p"/>
          </m:rPr>
          <m:t>−</m:t>
        </m:r>
        <m:r>
          <m:t>0.108</m:t>
        </m:r>
      </m:oMath>
      <w:r>
        <w:t xml:space="preserve">,</w:t>
      </w:r>
      <w:r>
        <w:t xml:space="preserve"> </w:t>
      </w:r>
      <m:oMath>
        <m:r>
          <m:t>p</m:t>
        </m:r>
        <m:r>
          <m:rPr>
            <m:sty m:val="p"/>
          </m:rPr>
          <m:t>&lt;</m:t>
        </m:r>
        <m:r>
          <m:t>0.0001</m:t>
        </m:r>
      </m:oMath>
      <w:r>
        <w:t xml:space="preserve">;</w:t>
      </w:r>
      <w:r>
        <w:t xml:space="preserve"> </w:t>
      </w:r>
      <w:r>
        <w:t xml:space="preserve">Altman</w:t>
      </w:r>
      <w:r>
        <w:t xml:space="preserve"> </w:t>
      </w:r>
      <m:oMath>
        <m:sSup>
          <m:e>
            <m:r>
              <m:t>Z</m:t>
            </m:r>
          </m:e>
          <m:sup>
            <m:r>
              <m:rPr>
                <m:sty m:val="p"/>
              </m:rPr>
              <m:t>″</m:t>
            </m:r>
          </m:sup>
        </m:sSup>
      </m:oMath>
      <w:r>
        <w:t xml:space="preserve"> </w:t>
      </w:r>
      <w:r>
        <w:t xml:space="preserve">(Altman, 2005)</w:t>
      </w:r>
      <w:r>
        <w:t xml:space="preserve"> </w:t>
      </w:r>
      <m:oMath>
        <m:r>
          <m:rPr>
            <m:sty m:val="p"/>
          </m:rPr>
          <m:t>+</m:t>
        </m:r>
        <m:r>
          <m:t>0.813</m:t>
        </m:r>
      </m:oMath>
      <w:r>
        <w:t xml:space="preserve">,</w:t>
      </w:r>
      <w:r>
        <w:t xml:space="preserve"> </w:t>
      </w:r>
      <m:oMath>
        <m:r>
          <m:t>p</m:t>
        </m:r>
        <m:r>
          <m:rPr>
            <m:sty m:val="p"/>
          </m:rPr>
          <m:t>=</m:t>
        </m:r>
        <m:r>
          <m:t>0.004</m:t>
        </m:r>
      </m:oMath>
      <w:r>
        <w:t xml:space="preserve">; leverage</w:t>
      </w:r>
      <w:r>
        <w:t xml:space="preserve"> </w:t>
      </w:r>
      <m:oMath>
        <m:r>
          <m:rPr>
            <m:sty m:val="p"/>
          </m:rPr>
          <m:t>−</m:t>
        </m:r>
        <m:r>
          <m:t>0.049</m:t>
        </m:r>
      </m:oMath>
      <w:r>
        <w:t xml:space="preserve">,</w:t>
      </w:r>
      <w:r>
        <w:t xml:space="preserve"> </w:t>
      </w:r>
      <m:oMath>
        <m:r>
          <m:t>p</m:t>
        </m:r>
        <m:r>
          <m:rPr>
            <m:sty m:val="p"/>
          </m:rPr>
          <m:t>&lt;</m:t>
        </m:r>
        <m:r>
          <m:t>0.0001</m:t>
        </m:r>
      </m:oMath>
      <w:r>
        <w:t xml:space="preserve">); an event-study</w:t>
      </w:r>
      <w:r>
        <w:t xml:space="preserve"> </w:t>
      </w:r>
      <w:r>
        <w:t xml:space="preserve">path growing monotonically as restatement compounds (</w:t>
      </w:r>
      <m:oMath>
        <m:r>
          <m:rPr>
            <m:sty m:val="p"/>
          </m:rPr>
          <m:t>+</m:t>
        </m:r>
        <m:r>
          <m:t>0.32</m:t>
        </m:r>
      </m:oMath>
      <w:r>
        <w:t xml:space="preserve">,</w:t>
      </w:r>
      <w:r>
        <w:t xml:space="preserve"> </w:t>
      </w:r>
      <m:oMath>
        <m:r>
          <m:rPr>
            <m:sty m:val="p"/>
          </m:rPr>
          <m:t>+</m:t>
        </m:r>
        <m:r>
          <m:t>0.83</m:t>
        </m:r>
      </m:oMath>
      <w:r>
        <w:t xml:space="preserve">,</w:t>
      </w:r>
      <w:r>
        <w:t xml:space="preserve"> </w:t>
      </w:r>
      <m:oMath>
        <m:r>
          <m:rPr>
            <m:sty m:val="p"/>
          </m:rPr>
          <m:t>+</m:t>
        </m:r>
        <m:r>
          <m:t>1.18</m:t>
        </m:r>
      </m:oMath>
      <w:r>
        <w:t xml:space="preserve"> </w:t>
      </w:r>
      <w:r>
        <w:t xml:space="preserve">across 2023–2025); and large significant pre-treatment coefficients. The result</w:t>
      </w:r>
      <w:r>
        <w:t xml:space="preserve"> </w:t>
      </w:r>
      <w:r>
        <w:t xml:space="preserve">has every outward mark of a strong causal finding and is an accounting artefact.</w:t>
      </w:r>
    </w:p>
    <w:bookmarkEnd w:id="53"/>
    <w:bookmarkStart w:id="54" w:name="the-surviving-specification"/>
    <w:p>
      <w:pPr>
        <w:pStyle w:val="Heading3"/>
      </w:pPr>
      <w:r>
        <w:t xml:space="preserve">The surviving specification</w:t>
      </w:r>
    </w:p>
    <w:p>
      <w:pPr>
        <w:pStyle w:val="FirstParagraph"/>
      </w:pPr>
      <w:r>
        <w:t xml:space="preserve">Propositions 7 and 8 imply three restrictions.</w:t>
      </w:r>
      <w:r>
        <w:t xml:space="preserve"> </w:t>
      </w:r>
      <w:r>
        <w:t xml:space="preserve">Outcomes must be flows: we retain the log implied rate, interest coverage, EBIT</w:t>
      </w:r>
      <w:r>
        <w:t xml:space="preserve"> </w:t>
      </w:r>
      <w:r>
        <w:t xml:space="preserve">margin and log debt growth, and discard leverage, equity ratios, return on</w:t>
      </w:r>
      <w:r>
        <w:t xml:space="preserve"> </w:t>
      </w:r>
      <w:r>
        <w:t xml:space="preserve">assets and the emerging-market Altman</w:t>
      </w:r>
      <w:r>
        <w:t xml:space="preserve"> </w:t>
      </w:r>
      <m:oMath>
        <m:sSup>
          <m:e>
            <m:r>
              <m:t>Z</m:t>
            </m:r>
          </m:e>
          <m:sup>
            <m:r>
              <m:rPr>
                <m:sty m:val="p"/>
              </m:rPr>
              <m:t>″</m:t>
            </m:r>
          </m:sup>
        </m:sSup>
      </m:oMath>
      <w:r>
        <w:t xml:space="preserve"> </w:t>
      </w:r>
      <w:r>
        <w:t xml:space="preserve">score of</w:t>
      </w:r>
      <w:r>
        <w:t xml:space="preserve"> </w:t>
      </w:r>
      <w:r>
        <w:t xml:space="preserve">Altman (2005)</w:t>
      </w:r>
      <w:r>
        <w:t xml:space="preserve">, each of</w:t>
      </w:r>
      <w:r>
        <w:t xml:space="preserve"> </w:t>
      </w:r>
      <w:r>
        <w:t xml:space="preserve">which combines a monetary numerator with a non-monetary stock. Exposure must predate the restatement, and we</w:t>
      </w:r>
      <w:r>
        <w:t xml:space="preserve"> </w:t>
      </w:r>
      <w:r>
        <w:t xml:space="preserve">measure it at 2021. And the pre-period must permit a test of parallel trends;</w:t>
      </w:r>
      <w:r>
        <w:t xml:space="preserve"> </w:t>
      </w:r>
      <w:r>
        <w:t xml:space="preserve">because EBIT margin and debt growth require no interest figure, the bundling</w:t>
      </w:r>
      <w:r>
        <w:t xml:space="preserve"> </w:t>
      </w:r>
      <w:r>
        <w:t xml:space="preserve">problem of Section 4.1 is irrelevant to them and the national</w:t>
      </w:r>
      <w:r>
        <w:t xml:space="preserve"> </w:t>
      </w:r>
      <w:r>
        <w:t xml:space="preserve">source’s history back to 2015 can be used. The estimating equations are</w:t>
      </w:r>
      <w:r>
        <w:t xml:space="preserve"> </w:t>
      </w:r>
      <w:r>
        <w:t xml:space="preserve">(1) and its dynamic analogue</w:t>
      </w:r>
    </w:p>
    <w:p>
      <w:pPr>
        <w:pStyle w:val="BodyText"/>
      </w:pPr>
      <m:oMathPara>
        <m:oMathParaPr>
          <m:jc m:val="center"/>
        </m:oMathParaPr>
        <m:oMath>
          <m:sSub>
            <m:e>
              <m:r>
                <m:t>Y</m:t>
              </m:r>
            </m:e>
            <m:sub>
              <m:r>
                <m:t>i</m:t>
              </m:r>
              <m:r>
                <m:t>t</m:t>
              </m:r>
            </m:sub>
          </m:sSub>
          <m:r>
            <m:t> </m:t>
          </m:r>
          <m:r>
            <m:rPr>
              <m:sty m:val="p"/>
            </m:rPr>
            <m:t>=</m:t>
          </m:r>
          <m:r>
            <m:t> </m:t>
          </m:r>
          <m:nary>
            <m:naryPr>
              <m:chr m:val="∑"/>
              <m:limLoc m:val="undOvr"/>
              <m:subHide m:val="off"/>
              <m:supHide m:val="on"/>
            </m:naryPr>
            <m:sub>
              <m:r>
                <m:t>k</m:t>
              </m:r>
              <m:r>
                <m:rPr>
                  <m:sty m:val="p"/>
                </m:rPr>
                <m:t>≠</m:t>
              </m:r>
              <m:r>
                <m:t>2022</m:t>
              </m:r>
            </m:sub>
            <m:sup>
              <m:r>
                <m:t>​</m:t>
              </m:r>
            </m:sup>
            <m:e>
              <m:sSub>
                <m:e>
                  <m:r>
                    <m:t>β</m:t>
                  </m:r>
                </m:e>
                <m:sub>
                  <m:r>
                    <m:t>k</m:t>
                  </m:r>
                </m:sub>
              </m:sSub>
            </m:e>
          </m:nary>
          <m:d>
            <m:dPr>
              <m:begChr m:val="("/>
              <m:sepChr m:val=""/>
              <m:endChr m:val=")"/>
              <m:grow/>
            </m:dPr>
            <m:e>
              <m:sSub>
                <m:e>
                  <m:r>
                    <m:t>E</m:t>
                  </m:r>
                </m:e>
                <m:sub>
                  <m:r>
                    <m:t>i</m:t>
                  </m:r>
                </m:sub>
              </m:sSub>
              <m:r>
                <m:rPr>
                  <m:sty m:val="p"/>
                </m:rPr>
                <m:t>⋅</m:t>
              </m:r>
              <m:r>
                <m:rPr>
                  <m:sty m:val="b"/>
                </m:rPr>
                <m:t>1</m:t>
              </m:r>
              <m:r>
                <m:rPr>
                  <m:sty m:val="p"/>
                </m:rPr>
                <m:t>{</m:t>
              </m:r>
              <m:r>
                <m:t>t</m:t>
              </m:r>
              <m:r>
                <m:rPr>
                  <m:sty m:val="p"/>
                </m:rPr>
                <m:t>=</m:t>
              </m:r>
              <m:r>
                <m:t>k</m:t>
              </m:r>
              <m:r>
                <m:rPr>
                  <m:sty m:val="p"/>
                </m:rPr>
                <m:t>}</m:t>
              </m:r>
            </m:e>
          </m:d>
          <m:r>
            <m:t> </m:t>
          </m:r>
          <m:r>
            <m:rPr>
              <m:sty m:val="p"/>
            </m:rPr>
            <m:t>+</m:t>
          </m:r>
          <m:r>
            <m:t> </m:t>
          </m:r>
          <m:sSub>
            <m:e>
              <m:r>
                <m:t>α</m:t>
              </m:r>
            </m:e>
            <m:sub>
              <m:r>
                <m:t>i</m:t>
              </m:r>
            </m:sub>
          </m:sSub>
          <m:r>
            <m:t> </m:t>
          </m:r>
          <m:r>
            <m:rPr>
              <m:sty m:val="p"/>
            </m:rPr>
            <m:t>+</m:t>
          </m:r>
          <m:r>
            <m:t> </m:t>
          </m:r>
          <m:sSub>
            <m:e>
              <m:r>
                <m:t>λ</m:t>
              </m:r>
            </m:e>
            <m:sub>
              <m:r>
                <m:t>t</m:t>
              </m:r>
            </m:sub>
          </m:sSub>
          <m:r>
            <m:t> </m:t>
          </m:r>
          <m:r>
            <m:rPr>
              <m:sty m:val="p"/>
            </m:rPr>
            <m:t>+</m:t>
          </m:r>
          <m:r>
            <m:t> </m:t>
          </m:r>
          <m:sSub>
            <m:e>
              <m:r>
                <m:t>ε</m:t>
              </m:r>
            </m:e>
            <m:sub>
              <m:r>
                <m:t>i</m:t>
              </m:r>
              <m:r>
                <m:t>t</m:t>
              </m:r>
            </m:sub>
          </m:sSub>
          <m:r>
            <m:rPr>
              <m:sty m:val="p"/>
            </m:rPr>
            <m:t>,</m:t>
          </m:r>
        </m:oMath>
      </m:oMathPara>
    </w:p>
    <w:p>
      <w:pPr>
        <w:pStyle w:val="FirstParagraph"/>
      </w:pPr>
      <w:r>
        <w:t xml:space="preserve">with 2022 omitted and standard errors clustered by firm</w:t>
      </w:r>
      <w:r>
        <w:t xml:space="preserve"> </w:t>
      </w:r>
      <w:r>
        <w:t xml:space="preserve">(Petersen, 2009)</w:t>
      </w:r>
      <w:r>
        <w:t xml:space="preserve">.</w:t>
      </w:r>
      <w:r>
        <w:t xml:space="preserve"> </w:t>
      </w:r>
      <w:r>
        <w:t xml:space="preserve">Because treatment timing is common within country we avoid the</w:t>
      </w:r>
      <w:r>
        <w:t xml:space="preserve"> </w:t>
      </w:r>
      <w:r>
        <w:t xml:space="preserve">negative-weighting and heterogeneity problems identified by</w:t>
      </w:r>
      <w:r>
        <w:t xml:space="preserve"> </w:t>
      </w:r>
      <w:r>
        <w:t xml:space="preserve">Goodman-Bacon (2021)</w:t>
      </w:r>
      <w:r>
        <w:t xml:space="preserve">,</w:t>
      </w:r>
      <w:r>
        <w:t xml:space="preserve"> </w:t>
      </w:r>
      <w:r>
        <w:t xml:space="preserve">Chaisemartin &amp; D’Haultfœuille (2020)</w:t>
      </w:r>
      <w:r>
        <w:t xml:space="preserve">,</w:t>
      </w:r>
      <w:r>
        <w:t xml:space="preserve"> </w:t>
      </w:r>
      <w:r>
        <w:t xml:space="preserve">Callaway &amp; Sant’Anna (2021)</w:t>
      </w:r>
      <w:r>
        <w:t xml:space="preserve"> </w:t>
      </w:r>
      <w:r>
        <w:t xml:space="preserve">and</w:t>
      </w:r>
      <w:r>
        <w:t xml:space="preserve"> </w:t>
      </w:r>
      <w:r>
        <w:t xml:space="preserve">Sun &amp; Abraham (2021)</w:t>
      </w:r>
      <w:r>
        <w:t xml:space="preserve">, so the two-way estimator remains interpretable here; following</w:t>
      </w:r>
      <w:r>
        <w:t xml:space="preserve"> </w:t>
      </w:r>
      <w:r>
        <w:t xml:space="preserve">Roth (2022)</w:t>
      </w:r>
      <w:r>
        <w:t xml:space="preserve"> </w:t>
      </w:r>
      <w:r>
        <w:t xml:space="preserve">we report full event paths rather than conditioning on a</w:t>
      </w:r>
      <w:r>
        <w:t xml:space="preserve"> </w:t>
      </w:r>
      <w:r>
        <w:t xml:space="preserve">pre-trend test statistic.</w:t>
      </w:r>
    </w:p>
    <w:bookmarkEnd w:id="54"/>
    <w:bookmarkEnd w:id="55"/>
    <w:bookmarkStart w:id="59" w:name="results"/>
    <w:p>
      <w:pPr>
        <w:pStyle w:val="Heading2"/>
      </w:pPr>
      <w:r>
        <w:t xml:space="preserve">Results</w:t>
      </w:r>
    </w:p>
    <w:p>
      <w:pPr>
        <w:pStyle w:val="TableCaption"/>
      </w:pPr>
      <w:r>
        <w:t xml:space="preserve">Main estimates: exposure</w:t>
      </w:r>
      <w:r>
        <w:t xml:space="preserve"> </w:t>
      </w:r>
      <m:oMath>
        <m:r>
          <m:rPr>
            <m:sty m:val="p"/>
          </m:rPr>
          <m:t>×</m:t>
        </m:r>
      </m:oMath>
      <w:r>
        <w:t xml:space="preserve"> </w:t>
      </w:r>
      <w:r>
        <w:t xml:space="preserve">post, flow outcomes</w:t>
      </w:r>
    </w:p>
    <w:tbl>
      <w:tblPr>
        <w:tblStyle w:val="Table"/>
        <w:tblW w:type="auto" w:w="0"/>
        <w:tblLook w:firstRow="1" w:lastRow="0" w:firstColumn="0" w:lastColumn="0" w:noHBand="0" w:noVBand="0" w:val="0020"/>
        <w:tblCaption w:val="Main estimates: exposure \times post, flow outcomes"/>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left"/>
            </w:pPr>
            <w:r>
              <w:t xml:space="preserve">Exposure / Outcome</w:t>
            </w:r>
          </w:p>
        </w:tc>
        <w:tc>
          <w:tcPr/>
          <w:p>
            <w:pPr>
              <w:pStyle w:val="Compact"/>
              <w:jc w:val="right"/>
            </w:pPr>
            <w:r>
              <w:t xml:space="preserve">Firms</w:t>
            </w:r>
          </w:p>
        </w:tc>
        <w:tc>
          <w:tcPr/>
          <w:p>
            <w:pPr>
              <w:pStyle w:val="Compact"/>
              <w:jc w:val="right"/>
            </w:pPr>
            <w:r>
              <w:t xml:space="preserve">Coef.</w:t>
            </w:r>
          </w:p>
        </w:tc>
        <w:tc>
          <w:tcPr/>
          <w:p>
            <w:pPr>
              <w:pStyle w:val="Compact"/>
              <w:jc w:val="right"/>
            </w:pPr>
            <w:r>
              <w:t xml:space="preserve">SE</w:t>
            </w:r>
          </w:p>
        </w:tc>
        <w:tc>
          <w:tcPr/>
          <w:p>
            <w:pPr>
              <w:pStyle w:val="Compact"/>
              <w:jc w:val="right"/>
            </w:pPr>
            <m:oMath>
              <m:r>
                <m:t>p</m:t>
              </m:r>
            </m:oMath>
            <w:r>
              <w:t xml:space="preserve">​</w:t>
            </w:r>
          </w:p>
        </w:tc>
      </w:tr>
      <w:tr>
        <w:tc>
          <w:tcPr/>
          <w:p>
            <w:pPr>
              <w:pStyle w:val="Compact"/>
              <w:jc w:val="left"/>
            </w:pPr>
            <w:r>
              <w:t xml:space="preserve">TR</w:t>
            </w:r>
          </w:p>
        </w:tc>
        <w:tc>
          <w:tcPr/>
          <w:p>
            <w:pPr>
              <w:pStyle w:val="Compact"/>
              <w:jc w:val="left"/>
            </w:pPr>
            <w:r>
              <w:t xml:space="preserve">Short-term share / implied rate</w:t>
            </w:r>
          </w:p>
        </w:tc>
        <w:tc>
          <w:tcPr/>
          <w:p>
            <w:pPr>
              <w:pStyle w:val="Compact"/>
              <w:jc w:val="right"/>
            </w:pPr>
            <w:r>
              <w:t xml:space="preserve">466</w:t>
            </w:r>
          </w:p>
        </w:tc>
        <w:tc>
          <w:tcPr/>
          <w:p>
            <w:pPr>
              <w:pStyle w:val="Compact"/>
              <w:jc w:val="right"/>
            </w:pPr>
            <m:oMath>
              <m:r>
                <m:t>0.018</m:t>
              </m:r>
            </m:oMath>
            <w:r>
              <w:t xml:space="preserve">​</w:t>
            </w:r>
          </w:p>
        </w:tc>
        <w:tc>
          <w:tcPr/>
          <w:p>
            <w:pPr>
              <w:pStyle w:val="Compact"/>
              <w:jc w:val="right"/>
            </w:pPr>
            <w:r>
              <w:t xml:space="preserve">0.016</w:t>
            </w:r>
          </w:p>
        </w:tc>
        <w:tc>
          <w:tcPr/>
          <w:p>
            <w:pPr>
              <w:pStyle w:val="Compact"/>
              <w:jc w:val="right"/>
            </w:pPr>
            <w:r>
              <w:t xml:space="preserve">0.27</w:t>
            </w:r>
          </w:p>
        </w:tc>
      </w:tr>
      <w:tr>
        <w:tc>
          <w:tcPr/>
          <w:p>
            <w:pPr>
              <w:pStyle w:val="Compact"/>
              <w:jc w:val="left"/>
            </w:pPr>
            <w:r>
              <w:t xml:space="preserve">TR</w:t>
            </w:r>
          </w:p>
        </w:tc>
        <w:tc>
          <w:tcPr/>
          <w:p>
            <w:pPr>
              <w:pStyle w:val="Compact"/>
              <w:jc w:val="left"/>
            </w:pPr>
            <w:r>
              <w:t xml:space="preserve">Short-term share / coverage</w:t>
            </w:r>
          </w:p>
        </w:tc>
        <w:tc>
          <w:tcPr/>
          <w:p>
            <w:pPr>
              <w:pStyle w:val="Compact"/>
              <w:jc w:val="right"/>
            </w:pPr>
            <w:r>
              <w:t xml:space="preserve">468</w:t>
            </w:r>
          </w:p>
        </w:tc>
        <w:tc>
          <w:tcPr/>
          <w:p>
            <w:pPr>
              <w:pStyle w:val="Compact"/>
              <w:jc w:val="right"/>
            </w:pPr>
            <m:oMath>
              <m:r>
                <m:rPr>
                  <m:sty m:val="p"/>
                </m:rPr>
                <m:t>−</m:t>
              </m:r>
              <m:r>
                <m:t>0.421</m:t>
              </m:r>
            </m:oMath>
            <w:r>
              <w:t xml:space="preserve">​</w:t>
            </w:r>
          </w:p>
        </w:tc>
        <w:tc>
          <w:tcPr/>
          <w:p>
            <w:pPr>
              <w:pStyle w:val="Compact"/>
              <w:jc w:val="right"/>
            </w:pPr>
            <w:r>
              <w:t xml:space="preserve">0.718</w:t>
            </w:r>
          </w:p>
        </w:tc>
        <w:tc>
          <w:tcPr/>
          <w:p>
            <w:pPr>
              <w:pStyle w:val="Compact"/>
              <w:jc w:val="right"/>
            </w:pPr>
            <w:r>
              <w:t xml:space="preserve">0.56</w:t>
            </w:r>
          </w:p>
        </w:tc>
      </w:tr>
      <w:tr>
        <w:tc>
          <w:tcPr/>
          <w:p>
            <w:pPr>
              <w:pStyle w:val="Compact"/>
              <w:jc w:val="left"/>
            </w:pPr>
            <w:r>
              <w:t xml:space="preserve">TR</w:t>
            </w:r>
          </w:p>
        </w:tc>
        <w:tc>
          <w:tcPr/>
          <w:p>
            <w:pPr>
              <w:pStyle w:val="Compact"/>
              <w:jc w:val="left"/>
            </w:pPr>
            <w:r>
              <w:t xml:space="preserve">Short-term share / EBIT margin</w:t>
            </w:r>
          </w:p>
        </w:tc>
        <w:tc>
          <w:tcPr/>
          <w:p>
            <w:pPr>
              <w:pStyle w:val="Compact"/>
              <w:jc w:val="right"/>
            </w:pPr>
            <w:r>
              <w:t xml:space="preserve">499</w:t>
            </w:r>
          </w:p>
        </w:tc>
        <w:tc>
          <w:tcPr/>
          <w:p>
            <w:pPr>
              <w:pStyle w:val="Compact"/>
              <w:jc w:val="right"/>
            </w:pPr>
            <m:oMath>
              <m:r>
                <m:rPr>
                  <m:sty m:val="p"/>
                </m:rPr>
                <m:t>−</m:t>
              </m:r>
              <m:r>
                <m:t>0.013</m:t>
              </m:r>
            </m:oMath>
            <w:r>
              <w:t xml:space="preserve">​</w:t>
            </w:r>
          </w:p>
        </w:tc>
        <w:tc>
          <w:tcPr/>
          <w:p>
            <w:pPr>
              <w:pStyle w:val="Compact"/>
              <w:jc w:val="right"/>
            </w:pPr>
            <w:r>
              <w:t xml:space="preserve">0.012</w:t>
            </w:r>
          </w:p>
        </w:tc>
        <w:tc>
          <w:tcPr/>
          <w:p>
            <w:pPr>
              <w:pStyle w:val="Compact"/>
              <w:jc w:val="right"/>
            </w:pPr>
            <w:r>
              <w:t xml:space="preserve">0.27</w:t>
            </w:r>
          </w:p>
        </w:tc>
      </w:tr>
      <w:tr>
        <w:tc>
          <w:tcPr/>
          <w:p>
            <w:pPr>
              <w:pStyle w:val="Compact"/>
              <w:jc w:val="left"/>
            </w:pPr>
            <w:r>
              <w:t xml:space="preserve">TR</w:t>
            </w:r>
          </w:p>
        </w:tc>
        <w:tc>
          <w:tcPr/>
          <w:p>
            <w:pPr>
              <w:pStyle w:val="Compact"/>
              <w:jc w:val="left"/>
            </w:pPr>
            <w:r>
              <w:t xml:space="preserve">Short-term share / debt growth</w:t>
            </w:r>
          </w:p>
        </w:tc>
        <w:tc>
          <w:tcPr/>
          <w:p>
            <w:pPr>
              <w:pStyle w:val="Compact"/>
              <w:jc w:val="right"/>
            </w:pPr>
            <w:r>
              <w:t xml:space="preserve">502</w:t>
            </w:r>
          </w:p>
        </w:tc>
        <w:tc>
          <w:tcPr/>
          <w:p>
            <w:pPr>
              <w:pStyle w:val="Compact"/>
              <w:jc w:val="right"/>
            </w:pPr>
            <m:oMath>
              <m:r>
                <m:rPr>
                  <m:sty m:val="p"/>
                </m:rPr>
                <m:t>−</m:t>
              </m:r>
              <m:r>
                <m:t>0.002</m:t>
              </m:r>
            </m:oMath>
            <w:r>
              <w:t xml:space="preserve">​</w:t>
            </w:r>
          </w:p>
        </w:tc>
        <w:tc>
          <w:tcPr/>
          <w:p>
            <w:pPr>
              <w:pStyle w:val="Compact"/>
              <w:jc w:val="right"/>
            </w:pPr>
            <w:r>
              <w:t xml:space="preserve">0.035</w:t>
            </w:r>
          </w:p>
        </w:tc>
        <w:tc>
          <w:tcPr/>
          <w:p>
            <w:pPr>
              <w:pStyle w:val="Compact"/>
              <w:jc w:val="right"/>
            </w:pPr>
            <w:r>
              <w:t xml:space="preserve">0.96</w:t>
            </w:r>
          </w:p>
        </w:tc>
      </w:tr>
      <w:tr>
        <w:tc>
          <w:tcPr/>
          <w:p>
            <w:pPr>
              <w:pStyle w:val="Compact"/>
              <w:jc w:val="left"/>
            </w:pPr>
            <w:r>
              <w:t xml:space="preserve">TR</w:t>
            </w:r>
          </w:p>
        </w:tc>
        <w:tc>
          <w:tcPr/>
          <w:p>
            <w:pPr>
              <w:pStyle w:val="Compact"/>
              <w:jc w:val="left"/>
            </w:pPr>
            <w:r>
              <w:t xml:space="preserve">FX exposure / implied rate</w:t>
            </w:r>
          </w:p>
        </w:tc>
        <w:tc>
          <w:tcPr/>
          <w:p>
            <w:pPr>
              <w:pStyle w:val="Compact"/>
              <w:jc w:val="right"/>
            </w:pPr>
            <w:r>
              <w:t xml:space="preserve">491</w:t>
            </w:r>
          </w:p>
        </w:tc>
        <w:tc>
          <w:tcPr/>
          <w:p>
            <w:pPr>
              <w:pStyle w:val="Compact"/>
              <w:jc w:val="right"/>
            </w:pPr>
            <m:oMath>
              <m:r>
                <m:rPr>
                  <m:sty m:val="p"/>
                </m:rPr>
                <m:t>−</m:t>
              </m:r>
              <m:r>
                <m:t>0.025</m:t>
              </m:r>
            </m:oMath>
            <w:r>
              <w:t xml:space="preserve">​</w:t>
            </w:r>
          </w:p>
        </w:tc>
        <w:tc>
          <w:tcPr/>
          <w:p>
            <w:pPr>
              <w:pStyle w:val="Compact"/>
              <w:jc w:val="right"/>
            </w:pPr>
            <w:r>
              <w:t xml:space="preserve">0.021</w:t>
            </w:r>
          </w:p>
        </w:tc>
        <w:tc>
          <w:tcPr/>
          <w:p>
            <w:pPr>
              <w:pStyle w:val="Compact"/>
              <w:jc w:val="right"/>
            </w:pPr>
            <w:r>
              <w:t xml:space="preserve">0.23</w:t>
            </w:r>
          </w:p>
        </w:tc>
      </w:tr>
      <w:tr>
        <w:tc>
          <w:tcPr/>
          <w:p>
            <w:pPr>
              <w:pStyle w:val="Compact"/>
              <w:jc w:val="left"/>
            </w:pPr>
            <w:r>
              <w:t xml:space="preserve">TR</w:t>
            </w:r>
          </w:p>
        </w:tc>
        <w:tc>
          <w:tcPr/>
          <w:p>
            <w:pPr>
              <w:pStyle w:val="Compact"/>
              <w:jc w:val="left"/>
            </w:pPr>
            <w:r>
              <w:t xml:space="preserve">FX exposure / coverage</w:t>
            </w:r>
          </w:p>
        </w:tc>
        <w:tc>
          <w:tcPr/>
          <w:p>
            <w:pPr>
              <w:pStyle w:val="Compact"/>
              <w:jc w:val="right"/>
            </w:pPr>
            <w:r>
              <w:t xml:space="preserve">498</w:t>
            </w:r>
          </w:p>
        </w:tc>
        <w:tc>
          <w:tcPr/>
          <w:p>
            <w:pPr>
              <w:pStyle w:val="Compact"/>
              <w:jc w:val="right"/>
            </w:pPr>
            <m:oMath>
              <m:r>
                <m:t>0.176</m:t>
              </m:r>
            </m:oMath>
            <w:r>
              <w:t xml:space="preserve">​</w:t>
            </w:r>
          </w:p>
        </w:tc>
        <w:tc>
          <w:tcPr/>
          <w:p>
            <w:pPr>
              <w:pStyle w:val="Compact"/>
              <w:jc w:val="right"/>
            </w:pPr>
            <w:r>
              <w:t xml:space="preserve">0.733</w:t>
            </w:r>
          </w:p>
        </w:tc>
        <w:tc>
          <w:tcPr/>
          <w:p>
            <w:pPr>
              <w:pStyle w:val="Compact"/>
              <w:jc w:val="right"/>
            </w:pPr>
            <w:r>
              <w:t xml:space="preserve">0.81</w:t>
            </w:r>
          </w:p>
        </w:tc>
      </w:tr>
      <w:tr>
        <w:tc>
          <w:tcPr/>
          <w:p>
            <w:pPr>
              <w:pStyle w:val="Compact"/>
              <w:jc w:val="left"/>
            </w:pPr>
            <w:r>
              <w:t xml:space="preserve">TR</w:t>
            </w:r>
          </w:p>
        </w:tc>
        <w:tc>
          <w:tcPr/>
          <w:p>
            <w:pPr>
              <w:pStyle w:val="Compact"/>
              <w:jc w:val="left"/>
            </w:pPr>
            <w:r>
              <w:t xml:space="preserve">FX exposure / EBIT margin</w:t>
            </w:r>
          </w:p>
        </w:tc>
        <w:tc>
          <w:tcPr/>
          <w:p>
            <w:pPr>
              <w:pStyle w:val="Compact"/>
              <w:jc w:val="right"/>
            </w:pPr>
            <w:r>
              <w:t xml:space="preserve">547</w:t>
            </w:r>
          </w:p>
        </w:tc>
        <w:tc>
          <w:tcPr/>
          <w:p>
            <w:pPr>
              <w:pStyle w:val="Compact"/>
              <w:jc w:val="right"/>
            </w:pPr>
            <m:oMath>
              <m:r>
                <m:t>0.023</m:t>
              </m:r>
            </m:oMath>
            <w:r>
              <w:t xml:space="preserve">​</w:t>
            </w:r>
          </w:p>
        </w:tc>
        <w:tc>
          <w:tcPr/>
          <w:p>
            <w:pPr>
              <w:pStyle w:val="Compact"/>
              <w:jc w:val="right"/>
            </w:pPr>
            <w:r>
              <w:t xml:space="preserve">0.011</w:t>
            </w:r>
          </w:p>
        </w:tc>
        <w:tc>
          <w:tcPr/>
          <w:p>
            <w:pPr>
              <w:pStyle w:val="Compact"/>
              <w:jc w:val="right"/>
            </w:pPr>
            <w:r>
              <w:t xml:space="preserve">0.04</w:t>
            </w:r>
          </w:p>
        </w:tc>
      </w:tr>
      <w:tr>
        <w:tc>
          <w:tcPr/>
          <w:p>
            <w:pPr>
              <w:pStyle w:val="Compact"/>
              <w:jc w:val="left"/>
            </w:pPr>
            <w:r>
              <w:t xml:space="preserve">TR</w:t>
            </w:r>
          </w:p>
        </w:tc>
        <w:tc>
          <w:tcPr/>
          <w:p>
            <w:pPr>
              <w:pStyle w:val="Compact"/>
              <w:jc w:val="left"/>
            </w:pPr>
            <w:r>
              <w:t xml:space="preserve">FX exposure / debt growth</w:t>
            </w:r>
          </w:p>
        </w:tc>
        <w:tc>
          <w:tcPr/>
          <w:p>
            <w:pPr>
              <w:pStyle w:val="Compact"/>
              <w:jc w:val="right"/>
            </w:pPr>
            <w:r>
              <w:t xml:space="preserve">536</w:t>
            </w:r>
          </w:p>
        </w:tc>
        <w:tc>
          <w:tcPr/>
          <w:p>
            <w:pPr>
              <w:pStyle w:val="Compact"/>
              <w:jc w:val="right"/>
            </w:pPr>
            <m:oMath>
              <m:r>
                <m:rPr>
                  <m:sty m:val="p"/>
                </m:rPr>
                <m:t>−</m:t>
              </m:r>
              <m:r>
                <m:t>0.055</m:t>
              </m:r>
            </m:oMath>
            <w:r>
              <w:t xml:space="preserve">​</w:t>
            </w:r>
          </w:p>
        </w:tc>
        <w:tc>
          <w:tcPr/>
          <w:p>
            <w:pPr>
              <w:pStyle w:val="Compact"/>
              <w:jc w:val="right"/>
            </w:pPr>
            <w:r>
              <w:t xml:space="preserve">0.028</w:t>
            </w:r>
          </w:p>
        </w:tc>
        <w:tc>
          <w:tcPr/>
          <w:p>
            <w:pPr>
              <w:pStyle w:val="Compact"/>
              <w:jc w:val="right"/>
            </w:pPr>
            <w:r>
              <w:t xml:space="preserve">0.05</w:t>
            </w:r>
          </w:p>
        </w:tc>
      </w:tr>
      <w:tr>
        <w:tc>
          <w:tcPr/>
          <w:p>
            <w:pPr>
              <w:pStyle w:val="Compact"/>
              <w:jc w:val="left"/>
            </w:pPr>
            <w:r>
              <w:t xml:space="preserve">VN</w:t>
            </w:r>
          </w:p>
        </w:tc>
        <w:tc>
          <w:tcPr/>
          <w:p>
            <w:pPr>
              <w:pStyle w:val="Compact"/>
              <w:jc w:val="left"/>
            </w:pPr>
            <w:r>
              <w:t xml:space="preserve">Short-term share / implied rate</w:t>
            </w:r>
          </w:p>
        </w:tc>
        <w:tc>
          <w:tcPr/>
          <w:p>
            <w:pPr>
              <w:pStyle w:val="Compact"/>
              <w:jc w:val="right"/>
            </w:pPr>
            <w:r>
              <w:t xml:space="preserve">522</w:t>
            </w:r>
          </w:p>
        </w:tc>
        <w:tc>
          <w:tcPr/>
          <w:p>
            <w:pPr>
              <w:pStyle w:val="Compact"/>
              <w:jc w:val="right"/>
            </w:pPr>
            <m:oMath>
              <m:r>
                <m:rPr>
                  <m:sty m:val="p"/>
                </m:rPr>
                <m:t>−</m:t>
              </m:r>
              <m:r>
                <m:t>0.002</m:t>
              </m:r>
            </m:oMath>
            <w:r>
              <w:t xml:space="preserve">​</w:t>
            </w:r>
          </w:p>
        </w:tc>
        <w:tc>
          <w:tcPr/>
          <w:p>
            <w:pPr>
              <w:pStyle w:val="Compact"/>
              <w:jc w:val="right"/>
            </w:pPr>
            <w:r>
              <w:t xml:space="preserve">0.001</w:t>
            </w:r>
          </w:p>
        </w:tc>
        <w:tc>
          <w:tcPr/>
          <w:p>
            <w:pPr>
              <w:pStyle w:val="Compact"/>
              <w:jc w:val="right"/>
            </w:pPr>
            <w:r>
              <w:t xml:space="preserve">0.11</w:t>
            </w:r>
          </w:p>
        </w:tc>
      </w:tr>
      <w:tr>
        <w:tc>
          <w:tcPr/>
          <w:p>
            <w:pPr>
              <w:pStyle w:val="Compact"/>
              <w:jc w:val="left"/>
            </w:pPr>
            <w:r>
              <w:t xml:space="preserve">VN</w:t>
            </w:r>
          </w:p>
        </w:tc>
        <w:tc>
          <w:tcPr/>
          <w:p>
            <w:pPr>
              <w:pStyle w:val="Compact"/>
              <w:jc w:val="left"/>
            </w:pPr>
            <w:r>
              <w:t xml:space="preserve">Short-term share / coverage</w:t>
            </w:r>
          </w:p>
        </w:tc>
        <w:tc>
          <w:tcPr/>
          <w:p>
            <w:pPr>
              <w:pStyle w:val="Compact"/>
              <w:jc w:val="right"/>
            </w:pPr>
            <w:r>
              <w:t xml:space="preserve">521</w:t>
            </w:r>
          </w:p>
        </w:tc>
        <w:tc>
          <w:tcPr/>
          <w:p>
            <w:pPr>
              <w:pStyle w:val="Compact"/>
              <w:jc w:val="right"/>
            </w:pPr>
            <m:oMath>
              <m:r>
                <m:rPr>
                  <m:sty m:val="p"/>
                </m:rPr>
                <m:t>−</m:t>
              </m:r>
              <m:r>
                <m:t>0.355</m:t>
              </m:r>
            </m:oMath>
            <w:r>
              <w:t xml:space="preserve">​</w:t>
            </w:r>
          </w:p>
        </w:tc>
        <w:tc>
          <w:tcPr/>
          <w:p>
            <w:pPr>
              <w:pStyle w:val="Compact"/>
              <w:jc w:val="right"/>
            </w:pPr>
            <w:r>
              <w:t xml:space="preserve">0.497</w:t>
            </w:r>
          </w:p>
        </w:tc>
        <w:tc>
          <w:tcPr/>
          <w:p>
            <w:pPr>
              <w:pStyle w:val="Compact"/>
              <w:jc w:val="right"/>
            </w:pPr>
            <w:r>
              <w:t xml:space="preserve">0.48</w:t>
            </w:r>
          </w:p>
        </w:tc>
      </w:tr>
      <w:tr>
        <w:tc>
          <w:tcPr/>
          <w:p>
            <w:pPr>
              <w:pStyle w:val="Compact"/>
              <w:jc w:val="left"/>
            </w:pPr>
            <w:r>
              <w:t xml:space="preserve">VN</w:t>
            </w:r>
          </w:p>
        </w:tc>
        <w:tc>
          <w:tcPr/>
          <w:p>
            <w:pPr>
              <w:pStyle w:val="Compact"/>
              <w:jc w:val="left"/>
            </w:pPr>
            <w:r>
              <w:t xml:space="preserve">Short-term share / EBIT margin</w:t>
            </w:r>
          </w:p>
        </w:tc>
        <w:tc>
          <w:tcPr/>
          <w:p>
            <w:pPr>
              <w:pStyle w:val="Compact"/>
              <w:jc w:val="right"/>
            </w:pPr>
            <w:r>
              <w:t xml:space="preserve">522</w:t>
            </w:r>
          </w:p>
        </w:tc>
        <w:tc>
          <w:tcPr/>
          <w:p>
            <w:pPr>
              <w:pStyle w:val="Compact"/>
              <w:jc w:val="right"/>
            </w:pPr>
            <m:oMath>
              <m:r>
                <m:rPr>
                  <m:sty m:val="p"/>
                </m:rPr>
                <m:t>−</m:t>
              </m:r>
              <m:r>
                <m:t>0.016</m:t>
              </m:r>
            </m:oMath>
            <w:r>
              <w:t xml:space="preserve">​</w:t>
            </w:r>
          </w:p>
        </w:tc>
        <w:tc>
          <w:tcPr/>
          <w:p>
            <w:pPr>
              <w:pStyle w:val="Compact"/>
              <w:jc w:val="right"/>
            </w:pPr>
            <w:r>
              <w:t xml:space="preserve">0.004</w:t>
            </w:r>
          </w:p>
        </w:tc>
        <w:tc>
          <w:tcPr/>
          <w:p>
            <w:pPr>
              <w:pStyle w:val="Compact"/>
              <w:jc w:val="right"/>
            </w:pPr>
            <w:r>
              <w:t xml:space="preserve">0.00</w:t>
            </w:r>
          </w:p>
        </w:tc>
      </w:tr>
      <w:tr>
        <w:tc>
          <w:tcPr/>
          <w:p>
            <w:pPr>
              <w:pStyle w:val="Compact"/>
              <w:jc w:val="left"/>
            </w:pPr>
            <w:r>
              <w:t xml:space="preserve">VN</w:t>
            </w:r>
          </w:p>
        </w:tc>
        <w:tc>
          <w:tcPr/>
          <w:p>
            <w:pPr>
              <w:pStyle w:val="Compact"/>
              <w:jc w:val="left"/>
            </w:pPr>
            <w:r>
              <w:t xml:space="preserve">Short-term share / debt growth</w:t>
            </w:r>
          </w:p>
        </w:tc>
        <w:tc>
          <w:tcPr/>
          <w:p>
            <w:pPr>
              <w:pStyle w:val="Compact"/>
              <w:jc w:val="right"/>
            </w:pPr>
            <w:r>
              <w:t xml:space="preserve">522</w:t>
            </w:r>
          </w:p>
        </w:tc>
        <w:tc>
          <w:tcPr/>
          <w:p>
            <w:pPr>
              <w:pStyle w:val="Compact"/>
              <w:jc w:val="right"/>
            </w:pPr>
            <m:oMath>
              <m:r>
                <m:t>0.059</m:t>
              </m:r>
            </m:oMath>
            <w:r>
              <w:t xml:space="preserve">​</w:t>
            </w:r>
          </w:p>
        </w:tc>
        <w:tc>
          <w:tcPr/>
          <w:p>
            <w:pPr>
              <w:pStyle w:val="Compact"/>
              <w:jc w:val="right"/>
            </w:pPr>
            <w:r>
              <w:t xml:space="preserve">0.019</w:t>
            </w:r>
          </w:p>
        </w:tc>
        <w:tc>
          <w:tcPr/>
          <w:p>
            <w:pPr>
              <w:pStyle w:val="Compact"/>
              <w:jc w:val="right"/>
            </w:pPr>
            <w:r>
              <w:t xml:space="preserve">0.00</w:t>
            </w:r>
          </w:p>
        </w:tc>
      </w:tr>
    </w:tbl>
    <w:p>
      <w:pPr>
        <w:pStyle w:val="BodyText"/>
      </w:pPr>
      <w:r>
        <w:t xml:space="preserve">Four coefficients reach conventional significance. The event studies show none</w:t>
      </w:r>
      <w:r>
        <w:t xml:space="preserve"> </w:t>
      </w:r>
      <w:r>
        <w:t xml:space="preserve">is a treatment effect; Table 10 reports the sharpest case.</w:t>
      </w:r>
    </w:p>
    <w:p>
      <w:pPr>
        <w:pStyle w:val="TableCaption"/>
      </w:pPr>
      <w:r>
        <w:t xml:space="preserve">Event study: Turkish short-maturity share on debt growth (base 2022)</w:t>
      </w:r>
    </w:p>
    <w:tbl>
      <w:tblPr>
        <w:tblStyle w:val="Table"/>
        <w:tblW w:type="auto" w:w="0"/>
        <w:tblLook w:firstRow="1" w:lastRow="0" w:firstColumn="0" w:lastColumn="0" w:noHBand="0" w:noVBand="0" w:val="0020"/>
        <w:tblCaption w:val="Event study: Turkish short-maturity share on debt growth (base 2022)"/>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right"/>
            </w:pPr>
            <w:r>
              <w:t xml:space="preserve">Coef.</w:t>
            </w:r>
          </w:p>
        </w:tc>
        <w:tc>
          <w:tcPr/>
          <w:p>
            <w:pPr>
              <w:pStyle w:val="Compact"/>
              <w:jc w:val="right"/>
            </w:pPr>
            <w:r>
              <w:t xml:space="preserve">SE</w:t>
            </w:r>
          </w:p>
        </w:tc>
        <w:tc>
          <w:tcPr/>
          <w:p>
            <w:pPr>
              <w:pStyle w:val="Compact"/>
              <w:jc w:val="left"/>
            </w:pPr>
            <w:r>
              <w:t xml:space="preserve">Year</w:t>
            </w:r>
          </w:p>
        </w:tc>
        <w:tc>
          <w:tcPr/>
          <w:p>
            <w:pPr>
              <w:pStyle w:val="Compact"/>
              <w:jc w:val="right"/>
            </w:pPr>
            <w:r>
              <w:t xml:space="preserve">Coef.</w:t>
            </w:r>
          </w:p>
        </w:tc>
        <w:tc>
          <w:tcPr/>
          <w:p>
            <w:pPr>
              <w:pStyle w:val="Compact"/>
              <w:jc w:val="right"/>
            </w:pPr>
            <w:r>
              <w:t xml:space="preserve">SE</w:t>
            </w:r>
          </w:p>
        </w:tc>
      </w:tr>
      <w:tr>
        <w:tc>
          <w:tcPr/>
          <w:p>
            <w:pPr>
              <w:pStyle w:val="Compact"/>
              <w:jc w:val="left"/>
            </w:pPr>
            <w:r>
              <w:t xml:space="preserve">2015</w:t>
            </w:r>
          </w:p>
        </w:tc>
        <w:tc>
          <w:tcPr/>
          <w:p>
            <w:pPr>
              <w:pStyle w:val="Compact"/>
              <w:jc w:val="right"/>
            </w:pPr>
            <m:oMath>
              <m:r>
                <m:rPr>
                  <m:sty m:val="p"/>
                </m:rPr>
                <m:t>−</m:t>
              </m:r>
              <m:sSup>
                <m:e>
                  <m:r>
                    <m:t>0.138</m:t>
                  </m:r>
                </m:e>
                <m:sup>
                  <m:r>
                    <m:rPr>
                      <m:sty m:val="p"/>
                    </m:rPr>
                    <m:t>*</m:t>
                  </m:r>
                  <m:r>
                    <m:rPr>
                      <m:sty m:val="p"/>
                    </m:rPr>
                    <m:t>*</m:t>
                  </m:r>
                </m:sup>
              </m:sSup>
            </m:oMath>
            <w:r>
              <w:t xml:space="preserve">​</w:t>
            </w:r>
          </w:p>
        </w:tc>
        <w:tc>
          <w:tcPr/>
          <w:p>
            <w:pPr>
              <w:pStyle w:val="Compact"/>
              <w:jc w:val="right"/>
            </w:pPr>
            <w:r>
              <w:t xml:space="preserve">0.068</w:t>
            </w:r>
          </w:p>
        </w:tc>
        <w:tc>
          <w:tcPr/>
          <w:p>
            <w:pPr>
              <w:pStyle w:val="Compact"/>
              <w:jc w:val="left"/>
            </w:pPr>
            <w:r>
              <w:t xml:space="preserve">2021</w:t>
            </w:r>
          </w:p>
        </w:tc>
        <w:tc>
          <w:tcPr/>
          <w:p>
            <w:pPr>
              <w:pStyle w:val="Compact"/>
              <w:jc w:val="right"/>
            </w:pPr>
            <m:oMath>
              <m:r>
                <m:rPr>
                  <m:sty m:val="p"/>
                </m:rPr>
                <m:t>−</m:t>
              </m:r>
              <m:sSup>
                <m:e>
                  <m:r>
                    <m:t>0.232</m:t>
                  </m:r>
                </m:e>
                <m:sup>
                  <m:r>
                    <m:rPr>
                      <m:sty m:val="p"/>
                    </m:rPr>
                    <m:t>*</m:t>
                  </m:r>
                  <m:r>
                    <m:rPr>
                      <m:sty m:val="p"/>
                    </m:rPr>
                    <m:t>*</m:t>
                  </m:r>
                  <m:r>
                    <m:rPr>
                      <m:sty m:val="p"/>
                    </m:rPr>
                    <m:t>*</m:t>
                  </m:r>
                </m:sup>
              </m:sSup>
            </m:oMath>
            <w:r>
              <w:t xml:space="preserve">​</w:t>
            </w:r>
          </w:p>
        </w:tc>
        <w:tc>
          <w:tcPr/>
          <w:p>
            <w:pPr>
              <w:pStyle w:val="Compact"/>
              <w:jc w:val="right"/>
            </w:pPr>
            <w:r>
              <w:t xml:space="preserve">0.066</w:t>
            </w:r>
          </w:p>
        </w:tc>
      </w:tr>
      <w:tr>
        <w:tc>
          <w:tcPr/>
          <w:p>
            <w:pPr>
              <w:pStyle w:val="Compact"/>
              <w:jc w:val="left"/>
            </w:pPr>
            <w:r>
              <w:t xml:space="preserve">2016</w:t>
            </w:r>
          </w:p>
        </w:tc>
        <w:tc>
          <w:tcPr/>
          <w:p>
            <w:pPr>
              <w:pStyle w:val="Compact"/>
              <w:jc w:val="right"/>
            </w:pPr>
            <m:oMath>
              <m:r>
                <m:rPr>
                  <m:sty m:val="p"/>
                </m:rPr>
                <m:t>−</m:t>
              </m:r>
              <m:sSup>
                <m:e>
                  <m:r>
                    <m:t>0.187</m:t>
                  </m:r>
                </m:e>
                <m:sup>
                  <m:r>
                    <m:rPr>
                      <m:sty m:val="p"/>
                    </m:rPr>
                    <m:t>*</m:t>
                  </m:r>
                  <m:r>
                    <m:rPr>
                      <m:sty m:val="p"/>
                    </m:rPr>
                    <m:t>*</m:t>
                  </m:r>
                  <m:r>
                    <m:rPr>
                      <m:sty m:val="p"/>
                    </m:rPr>
                    <m:t>*</m:t>
                  </m:r>
                </m:sup>
              </m:sSup>
            </m:oMath>
            <w:r>
              <w:t xml:space="preserve">​</w:t>
            </w:r>
          </w:p>
        </w:tc>
        <w:tc>
          <w:tcPr/>
          <w:p>
            <w:pPr>
              <w:pStyle w:val="Compact"/>
              <w:jc w:val="right"/>
            </w:pPr>
            <w:r>
              <w:t xml:space="preserve">0.065</w:t>
            </w:r>
          </w:p>
        </w:tc>
        <w:tc>
          <w:tcPr/>
          <w:p>
            <w:pPr>
              <w:pStyle w:val="Compact"/>
              <w:jc w:val="left"/>
            </w:pPr>
            <w:r>
              <w:t xml:space="preserve">2022</w:t>
            </w:r>
          </w:p>
        </w:tc>
        <w:tc>
          <w:tcPr/>
          <w:p>
            <w:pPr>
              <w:pStyle w:val="Compact"/>
              <w:jc w:val="right"/>
            </w:pPr>
            <w:r>
              <w:t xml:space="preserve">base</w:t>
            </w:r>
          </w:p>
        </w:tc>
        <w:tc>
          <w:tcPr/>
          <w:p>
            <w:pPr>
              <w:pStyle w:val="Compact"/>
              <w:jc w:val="right"/>
            </w:pPr>
            <w:r>
              <w:t xml:space="preserve">—</w:t>
            </w:r>
          </w:p>
        </w:tc>
      </w:tr>
      <w:tr>
        <w:tc>
          <w:tcPr/>
          <w:p>
            <w:pPr>
              <w:pStyle w:val="Compact"/>
              <w:jc w:val="left"/>
            </w:pPr>
            <w:r>
              <w:t xml:space="preserve">2017</w:t>
            </w:r>
          </w:p>
        </w:tc>
        <w:tc>
          <w:tcPr/>
          <w:p>
            <w:pPr>
              <w:pStyle w:val="Compact"/>
              <w:jc w:val="right"/>
            </w:pPr>
            <m:oMath>
              <m:r>
                <m:rPr>
                  <m:sty m:val="p"/>
                </m:rPr>
                <m:t>−</m:t>
              </m:r>
              <m:sSup>
                <m:e>
                  <m:r>
                    <m:t>0.162</m:t>
                  </m:r>
                </m:e>
                <m:sup>
                  <m:r>
                    <m:rPr>
                      <m:sty m:val="p"/>
                    </m:rPr>
                    <m:t>*</m:t>
                  </m:r>
                  <m:r>
                    <m:rPr>
                      <m:sty m:val="p"/>
                    </m:rPr>
                    <m:t>*</m:t>
                  </m:r>
                  <m:r>
                    <m:rPr>
                      <m:sty m:val="p"/>
                    </m:rPr>
                    <m:t>*</m:t>
                  </m:r>
                </m:sup>
              </m:sSup>
            </m:oMath>
            <w:r>
              <w:t xml:space="preserve">​</w:t>
            </w:r>
          </w:p>
        </w:tc>
        <w:tc>
          <w:tcPr/>
          <w:p>
            <w:pPr>
              <w:pStyle w:val="Compact"/>
              <w:jc w:val="right"/>
            </w:pPr>
            <w:r>
              <w:t xml:space="preserve">0.062</w:t>
            </w:r>
          </w:p>
        </w:tc>
        <w:tc>
          <w:tcPr/>
          <w:p>
            <w:pPr>
              <w:pStyle w:val="Compact"/>
              <w:jc w:val="left"/>
            </w:pPr>
            <w:r>
              <w:rPr>
                <w:b/>
                <w:bCs/>
              </w:rPr>
              <w:t xml:space="preserve">2023</w:t>
            </w:r>
          </w:p>
        </w:tc>
        <w:tc>
          <w:tcPr/>
          <w:p>
            <w:pPr>
              <w:pStyle w:val="Compact"/>
              <w:jc w:val="right"/>
            </w:pPr>
            <m:oMath>
              <m:r>
                <m:rPr>
                  <m:sty m:val="b"/>
                </m:rPr>
                <m:t>−</m:t>
              </m:r>
              <m:sSup>
                <m:e>
                  <m:r>
                    <m:rPr>
                      <m:sty m:val="b"/>
                    </m:rPr>
                    <m:t>0.220</m:t>
                  </m:r>
                </m:e>
                <m:sup>
                  <m:r>
                    <m:rPr>
                      <m:sty m:val="b"/>
                    </m:rPr>
                    <m:t>*</m:t>
                  </m:r>
                  <m:r>
                    <m:rPr>
                      <m:sty m:val="b"/>
                    </m:rPr>
                    <m:t>*</m:t>
                  </m:r>
                  <m:r>
                    <m:rPr>
                      <m:sty m:val="b"/>
                    </m:rPr>
                    <m:t>*</m:t>
                  </m:r>
                </m:sup>
              </m:sSup>
            </m:oMath>
            <w:r>
              <w:t xml:space="preserve">​</w:t>
            </w:r>
          </w:p>
        </w:tc>
        <w:tc>
          <w:tcPr/>
          <w:p>
            <w:pPr>
              <w:pStyle w:val="Compact"/>
              <w:jc w:val="right"/>
            </w:pPr>
            <w:r>
              <w:t xml:space="preserve">0.069</w:t>
            </w:r>
          </w:p>
        </w:tc>
      </w:tr>
      <w:tr>
        <w:tc>
          <w:tcPr/>
          <w:p>
            <w:pPr>
              <w:pStyle w:val="Compact"/>
              <w:jc w:val="left"/>
            </w:pPr>
            <w:r>
              <w:t xml:space="preserve">2018</w:t>
            </w:r>
          </w:p>
        </w:tc>
        <w:tc>
          <w:tcPr/>
          <w:p>
            <w:pPr>
              <w:pStyle w:val="Compact"/>
              <w:jc w:val="right"/>
            </w:pPr>
            <m:oMath>
              <m:r>
                <m:rPr>
                  <m:sty m:val="p"/>
                </m:rPr>
                <m:t>−</m:t>
              </m:r>
              <m:sSup>
                <m:e>
                  <m:r>
                    <m:t>0.189</m:t>
                  </m:r>
                </m:e>
                <m:sup>
                  <m:r>
                    <m:rPr>
                      <m:sty m:val="p"/>
                    </m:rPr>
                    <m:t>*</m:t>
                  </m:r>
                  <m:r>
                    <m:rPr>
                      <m:sty m:val="p"/>
                    </m:rPr>
                    <m:t>*</m:t>
                  </m:r>
                  <m:r>
                    <m:rPr>
                      <m:sty m:val="p"/>
                    </m:rPr>
                    <m:t>*</m:t>
                  </m:r>
                </m:sup>
              </m:sSup>
            </m:oMath>
            <w:r>
              <w:t xml:space="preserve">​</w:t>
            </w:r>
          </w:p>
        </w:tc>
        <w:tc>
          <w:tcPr/>
          <w:p>
            <w:pPr>
              <w:pStyle w:val="Compact"/>
              <w:jc w:val="right"/>
            </w:pPr>
            <w:r>
              <w:t xml:space="preserve">0.072</w:t>
            </w:r>
          </w:p>
        </w:tc>
        <w:tc>
          <w:tcPr/>
          <w:p>
            <w:pPr>
              <w:pStyle w:val="Compact"/>
              <w:jc w:val="left"/>
            </w:pPr>
            <w:r>
              <w:t xml:space="preserve">2024</w:t>
            </w:r>
          </w:p>
        </w:tc>
        <w:tc>
          <w:tcPr/>
          <w:p>
            <w:pPr>
              <w:pStyle w:val="Compact"/>
              <w:jc w:val="right"/>
            </w:pPr>
            <m:oMath>
              <m:r>
                <m:rPr>
                  <m:sty m:val="p"/>
                </m:rPr>
                <m:t>−</m:t>
              </m:r>
              <m:r>
                <m:t>0.069</m:t>
              </m:r>
            </m:oMath>
            <w:r>
              <w:t xml:space="preserve">​</w:t>
            </w:r>
          </w:p>
        </w:tc>
        <w:tc>
          <w:tcPr/>
          <w:p>
            <w:pPr>
              <w:pStyle w:val="Compact"/>
              <w:jc w:val="right"/>
            </w:pPr>
            <w:r>
              <w:t xml:space="preserve">0.076</w:t>
            </w:r>
          </w:p>
        </w:tc>
      </w:tr>
      <w:tr>
        <w:tc>
          <w:tcPr/>
          <w:p>
            <w:pPr>
              <w:pStyle w:val="Compact"/>
              <w:jc w:val="left"/>
            </w:pPr>
            <w:r>
              <w:t xml:space="preserve">2019</w:t>
            </w:r>
          </w:p>
        </w:tc>
        <w:tc>
          <w:tcPr/>
          <w:p>
            <w:pPr>
              <w:pStyle w:val="Compact"/>
              <w:jc w:val="right"/>
            </w:pPr>
            <m:oMath>
              <m:r>
                <m:rPr>
                  <m:sty m:val="p"/>
                </m:rPr>
                <m:t>−</m:t>
              </m:r>
              <m:sSup>
                <m:e>
                  <m:r>
                    <m:t>0.252</m:t>
                  </m:r>
                </m:e>
                <m:sup>
                  <m:r>
                    <m:rPr>
                      <m:sty m:val="p"/>
                    </m:rPr>
                    <m:t>*</m:t>
                  </m:r>
                  <m:r>
                    <m:rPr>
                      <m:sty m:val="p"/>
                    </m:rPr>
                    <m:t>*</m:t>
                  </m:r>
                  <m:r>
                    <m:rPr>
                      <m:sty m:val="p"/>
                    </m:rPr>
                    <m:t>*</m:t>
                  </m:r>
                </m:sup>
              </m:sSup>
            </m:oMath>
            <w:r>
              <w:t xml:space="preserve">​</w:t>
            </w:r>
          </w:p>
        </w:tc>
        <w:tc>
          <w:tcPr/>
          <w:p>
            <w:pPr>
              <w:pStyle w:val="Compact"/>
              <w:jc w:val="right"/>
            </w:pPr>
            <w:r>
              <w:t xml:space="preserve">0.070</w:t>
            </w:r>
          </w:p>
        </w:tc>
        <w:tc>
          <w:tcPr/>
          <w:p>
            <w:pPr>
              <w:pStyle w:val="Compact"/>
              <w:jc w:val="left"/>
            </w:pPr>
            <w:r>
              <w:t xml:space="preserve">2025</w:t>
            </w:r>
          </w:p>
        </w:tc>
        <w:tc>
          <w:tcPr/>
          <w:p>
            <w:pPr>
              <w:pStyle w:val="Compact"/>
              <w:jc w:val="right"/>
            </w:pPr>
            <m:oMath>
              <m:r>
                <m:rPr>
                  <m:sty m:val="p"/>
                </m:rPr>
                <m:t>−</m:t>
              </m:r>
              <m:sSup>
                <m:e>
                  <m:r>
                    <m:t>0.191</m:t>
                  </m:r>
                </m:e>
                <m:sup>
                  <m:r>
                    <m:rPr>
                      <m:sty m:val="p"/>
                    </m:rPr>
                    <m:t>*</m:t>
                  </m:r>
                  <m:r>
                    <m:rPr>
                      <m:sty m:val="p"/>
                    </m:rPr>
                    <m:t>*</m:t>
                  </m:r>
                  <m:r>
                    <m:rPr>
                      <m:sty m:val="p"/>
                    </m:rPr>
                    <m:t>*</m:t>
                  </m:r>
                </m:sup>
              </m:sSup>
            </m:oMath>
            <w:r>
              <w:t xml:space="preserve">​</w:t>
            </w:r>
          </w:p>
        </w:tc>
        <w:tc>
          <w:tcPr/>
          <w:p>
            <w:pPr>
              <w:pStyle w:val="Compact"/>
              <w:jc w:val="right"/>
            </w:pPr>
            <w:r>
              <w:t xml:space="preserve">0.064</w:t>
            </w:r>
          </w:p>
        </w:tc>
      </w:tr>
      <w:tr>
        <w:tc>
          <w:tcPr/>
          <w:p>
            <w:pPr>
              <w:pStyle w:val="Compact"/>
              <w:jc w:val="left"/>
            </w:pPr>
            <w:r>
              <w:t xml:space="preserve">2020</w:t>
            </w:r>
          </w:p>
        </w:tc>
        <w:tc>
          <w:tcPr/>
          <w:p>
            <w:pPr>
              <w:pStyle w:val="Compact"/>
              <w:jc w:val="right"/>
            </w:pPr>
            <m:oMath>
              <m:r>
                <m:rPr>
                  <m:sty m:val="p"/>
                </m:rPr>
                <m:t>−</m:t>
              </m:r>
              <m:sSup>
                <m:e>
                  <m:r>
                    <m:t>0.211</m:t>
                  </m:r>
                </m:e>
                <m:sup>
                  <m:r>
                    <m:rPr>
                      <m:sty m:val="p"/>
                    </m:rPr>
                    <m:t>*</m:t>
                  </m:r>
                  <m:r>
                    <m:rPr>
                      <m:sty m:val="p"/>
                    </m:rPr>
                    <m:t>*</m:t>
                  </m:r>
                  <m:r>
                    <m:rPr>
                      <m:sty m:val="p"/>
                    </m:rPr>
                    <m:t>*</m:t>
                  </m:r>
                </m:sup>
              </m:sSup>
            </m:oMath>
            <w:r>
              <w:t xml:space="preserve">​</w:t>
            </w:r>
          </w:p>
        </w:tc>
        <w:tc>
          <w:tcPr/>
          <w:p>
            <w:pPr>
              <w:pStyle w:val="Compact"/>
              <w:jc w:val="right"/>
            </w:pPr>
            <w:r>
              <w:t xml:space="preserve">0.057</w:t>
            </w:r>
          </w:p>
        </w:tc>
        <w:tc>
          <w:tcPr/>
          <w:p>
            <w:pPr>
              <w:pStyle w:val="Compact"/>
            </w:pPr>
          </w:p>
        </w:tc>
        <w:tc>
          <w:tcPr/>
          <w:p>
            <w:pPr>
              <w:pStyle w:val="Compact"/>
            </w:pPr>
          </w:p>
        </w:tc>
        <w:tc>
          <w:tcPr/>
          <w:p>
            <w:pPr>
              <w:pStyle w:val="Compact"/>
            </w:pPr>
          </w:p>
        </w:tc>
      </w:tr>
    </w:tbl>
    <w:p>
      <w:pPr>
        <w:pStyle w:val="CaptionedFigure"/>
      </w:pPr>
      <w:r>
        <w:drawing>
          <wp:inline>
            <wp:extent cx="5334000" cy="3733799"/>
            <wp:effectExtent b="0" l="0" r="0" t="0"/>
            <wp:docPr descr="" title="" id="57" name="Picture"/>
            <a:graphic>
              <a:graphicData uri="http://schemas.openxmlformats.org/drawingml/2006/picture">
                <pic:pic>
                  <pic:nvPicPr>
                    <pic:cNvPr descr="figs/event_studies.png" id="58" name="Picture"/>
                    <pic:cNvPicPr>
                      <a:picLocks noChangeArrowheads="1" noChangeAspect="1"/>
                    </pic:cNvPicPr>
                  </pic:nvPicPr>
                  <pic:blipFill>
                    <a:blip r:embed="rId56"/>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Event studies of exposure interacted with year, with firm and year</w:t>
      </w:r>
      <w:r>
        <w:t xml:space="preserve"> </w:t>
      </w:r>
      <w:r>
        <w:t xml:space="preserve">effects and 95% confidence intervals clustered by firm. The dashed line marks</w:t>
      </w:r>
      <w:r>
        <w:t xml:space="preserve"> </w:t>
      </w:r>
      <w:r>
        <w:t xml:space="preserve">the treatment date. Coefficients are non-zero well before treatment and do not</w:t>
      </w:r>
      <w:r>
        <w:t xml:space="preserve"> </w:t>
      </w:r>
      <w:r>
        <w:t xml:space="preserve">shift at it.</w:t>
      </w:r>
    </w:p>
    <w:p>
      <w:pPr>
        <w:pStyle w:val="BodyText"/>
      </w:pPr>
      <w:r>
        <w:t xml:space="preserve">Figure 2 makes the point visually. Firms with more short-term</w:t>
      </w:r>
      <w:r>
        <w:t xml:space="preserve"> </w:t>
      </w:r>
      <w:r>
        <w:t xml:space="preserve">debt grow debt more slowly in every year from 2015</w:t>
      </w:r>
      <w:r>
        <w:t xml:space="preserve"> </w:t>
      </w:r>
      <w:r>
        <w:t xml:space="preserve">onward, and the coefficient at treatment is statistically indistinguishable from</w:t>
      </w:r>
      <w:r>
        <w:t xml:space="preserve"> </w:t>
      </w:r>
      <w:r>
        <w:t xml:space="preserve">those seven years earlier. The Vietnamese EBIT-margin result has the same</w:t>
      </w:r>
      <w:r>
        <w:t xml:space="preserve"> </w:t>
      </w:r>
      <w:r>
        <w:t xml:space="preserve">character, drifting from</w:t>
      </w:r>
      <w:r>
        <w:t xml:space="preserve"> </w:t>
      </w:r>
      <m:oMath>
        <m:r>
          <m:rPr>
            <m:sty m:val="p"/>
          </m:rPr>
          <m:t>+</m:t>
        </m:r>
        <m:r>
          <m:t>0.020</m:t>
        </m:r>
      </m:oMath>
      <w:r>
        <w:t xml:space="preserve"> </w:t>
      </w:r>
      <w:r>
        <w:t xml:space="preserve">(</w:t>
      </w:r>
      <m:oMath>
        <m:r>
          <m:t>p</m:t>
        </m:r>
        <m:r>
          <m:rPr>
            <m:sty m:val="p"/>
          </m:rPr>
          <m:t>&lt;</m:t>
        </m:r>
        <m:r>
          <m:t>0.01</m:t>
        </m:r>
      </m:oMath>
      <w:r>
        <w:t xml:space="preserve">) in 2015 to</w:t>
      </w:r>
      <w:r>
        <w:t xml:space="preserve"> </w:t>
      </w:r>
      <m:oMath>
        <m:r>
          <m:rPr>
            <m:sty m:val="p"/>
          </m:rPr>
          <m:t>−</m:t>
        </m:r>
        <m:r>
          <m:t>0.011</m:t>
        </m:r>
      </m:oMath>
      <w:r>
        <w:t xml:space="preserve"> </w:t>
      </w:r>
      <w:r>
        <w:t xml:space="preserve">(</w:t>
      </w:r>
      <m:oMath>
        <m:r>
          <m:t>p</m:t>
        </m:r>
        <m:r>
          <m:rPr>
            <m:sty m:val="p"/>
          </m:rPr>
          <m:t>&lt;</m:t>
        </m:r>
        <m:r>
          <m:t>0.10</m:t>
        </m:r>
      </m:oMath>
      <w:r>
        <w:t xml:space="preserve">) in</w:t>
      </w:r>
      <w:r>
        <w:t xml:space="preserve"> </w:t>
      </w:r>
      <w:r>
        <w:t xml:space="preserve">2025 and passing smoothly through the treatment year. These are persistent</w:t>
      </w:r>
      <w:r>
        <w:t xml:space="preserve"> </w:t>
      </w:r>
      <w:r>
        <w:t xml:space="preserve">differences between firm types, not responses to monetary policy. What a</w:t>
      </w:r>
      <w:r>
        <w:t xml:space="preserve"> </w:t>
      </w:r>
      <w:r>
        <w:t xml:space="preserve">conventional two-year window would report is the difference between the 2022</w:t>
      </w:r>
      <w:r>
        <w:t xml:space="preserve"> </w:t>
      </w:r>
      <w:r>
        <w:t xml:space="preserve">base and the 2023–25 average—a difference that exists, is significant, and</w:t>
      </w:r>
      <w:r>
        <w:t xml:space="preserve"> </w:t>
      </w:r>
      <w:r>
        <w:t xml:space="preserve">means nothing causal.</w:t>
      </w:r>
    </w:p>
    <w:bookmarkEnd w:id="59"/>
    <w:bookmarkStart w:id="63" w:name="X211373296d7e56e140003bb2d3738e282a2ece2"/>
    <w:p>
      <w:pPr>
        <w:pStyle w:val="Heading2"/>
      </w:pPr>
      <w:r>
        <w:t xml:space="preserve">Cross-country evidence: dose-response and pooled exposure</w:t>
      </w:r>
    </w:p>
    <w:p>
      <w:pPr>
        <w:pStyle w:val="FirstParagraph"/>
      </w:pPr>
      <w:r>
        <w:t xml:space="preserve">The two-country design identifies the exposure gradient cleanly but leaves</w:t>
      </w:r>
      <w:r>
        <w:t xml:space="preserve"> </w:t>
      </w:r>
      <w:r>
        <w:t xml:space="preserve">open whether its absence is a Türkiye-and-Vietnam idiosyncrasy or a general</w:t>
      </w:r>
      <w:r>
        <w:t xml:space="preserve"> </w:t>
      </w:r>
      <w:r>
        <w:t xml:space="preserve">property of listed emerging-market firms. We extend the price validation of</w:t>
      </w:r>
      <w:r>
        <w:t xml:space="preserve"> </w:t>
      </w:r>
      <w:r>
        <w:t xml:space="preserve">Section 4 and the exposure test of this section to the</w:t>
      </w:r>
      <w:r>
        <w:t xml:space="preserve"> </w:t>
      </w:r>
      <w:r>
        <w:t xml:space="preserve">five-country, 2021–2025 sample described in Section 3.2, spanning</w:t>
      </w:r>
      <w:r>
        <w:t xml:space="preserve"> </w:t>
      </w:r>
      <w:r>
        <w:t xml:space="preserve">tightening doses from Türkiye’s 36.0 percentage points to Vietnam’s 1.5.</w:t>
      </w:r>
    </w:p>
    <w:p>
      <w:pPr>
        <w:pStyle w:val="TableCaption"/>
      </w:pPr>
      <w:r>
        <w:t xml:space="preserve">Dose-response across five countries, 2022 to 2023–24</w:t>
      </w:r>
    </w:p>
    <w:tbl>
      <w:tblPr>
        <w:tblStyle w:val="Table"/>
        <w:tblW w:type="auto" w:w="0"/>
        <w:tblLook w:firstRow="1" w:lastRow="0" w:firstColumn="0" w:lastColumn="0" w:noHBand="0" w:noVBand="0" w:val="0020"/>
        <w:tblCaption w:val="Dose-response across five countries, 2022 to 2023–24"/>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right"/>
            </w:pPr>
            <w:r>
              <w:t xml:space="preserve">Dose (pp)</w:t>
            </w:r>
          </w:p>
        </w:tc>
        <w:tc>
          <w:tcPr/>
          <w:p>
            <w:pPr>
              <w:pStyle w:val="Compact"/>
              <w:jc w:val="right"/>
            </w:pPr>
            <w:r>
              <w:t xml:space="preserve">Firms</w:t>
            </w:r>
          </w:p>
        </w:tc>
        <w:tc>
          <w:tcPr/>
          <w:p>
            <w:pPr>
              <w:pStyle w:val="Compact"/>
              <w:jc w:val="right"/>
            </w:pPr>
            <m:oMath>
              <m:r>
                <m:rPr>
                  <m:sty m:val="p"/>
                </m:rPr>
                <m:t>Δ</m:t>
              </m:r>
            </m:oMath>
            <w:r>
              <w:t xml:space="preserve"> </w:t>
            </w:r>
            <w:r>
              <w:t xml:space="preserve">Implied rate (pp)</w:t>
            </w:r>
          </w:p>
        </w:tc>
        <w:tc>
          <w:tcPr/>
          <w:p>
            <w:pPr>
              <w:pStyle w:val="Compact"/>
              <w:jc w:val="right"/>
            </w:pPr>
            <w:r>
              <w:t xml:space="preserve">ICR pre</w:t>
            </w:r>
          </w:p>
        </w:tc>
        <w:tc>
          <w:tcPr/>
          <w:p>
            <w:pPr>
              <w:pStyle w:val="Compact"/>
              <w:jc w:val="right"/>
            </w:pPr>
            <w:r>
              <w:t xml:space="preserve">ICR post</w:t>
            </w:r>
          </w:p>
        </w:tc>
      </w:tr>
      <w:tr>
        <w:tc>
          <w:tcPr/>
          <w:p>
            <w:pPr>
              <w:pStyle w:val="Compact"/>
              <w:jc w:val="left"/>
            </w:pPr>
            <w:r>
              <w:t xml:space="preserve">Türkiye</w:t>
            </w:r>
          </w:p>
        </w:tc>
        <w:tc>
          <w:tcPr/>
          <w:p>
            <w:pPr>
              <w:pStyle w:val="Compact"/>
              <w:jc w:val="right"/>
            </w:pPr>
            <w:r>
              <w:t xml:space="preserve">36.00</w:t>
            </w:r>
          </w:p>
        </w:tc>
        <w:tc>
          <w:tcPr/>
          <w:p>
            <w:pPr>
              <w:pStyle w:val="Compact"/>
              <w:jc w:val="right"/>
            </w:pPr>
            <w:r>
              <w:t xml:space="preserve">559</w:t>
            </w:r>
          </w:p>
        </w:tc>
        <w:tc>
          <w:tcPr/>
          <w:p>
            <w:pPr>
              <w:pStyle w:val="Compact"/>
              <w:jc w:val="right"/>
            </w:pPr>
            <w:r>
              <w:t xml:space="preserve">10.59</w:t>
            </w:r>
          </w:p>
        </w:tc>
        <w:tc>
          <w:tcPr/>
          <w:p>
            <w:pPr>
              <w:pStyle w:val="Compact"/>
              <w:jc w:val="right"/>
            </w:pPr>
            <w:r>
              <w:t xml:space="preserve">3.36</w:t>
            </w:r>
          </w:p>
        </w:tc>
        <w:tc>
          <w:tcPr/>
          <w:p>
            <w:pPr>
              <w:pStyle w:val="Compact"/>
              <w:jc w:val="right"/>
            </w:pPr>
            <w:r>
              <w:t xml:space="preserve">2.45</w:t>
            </w:r>
          </w:p>
        </w:tc>
      </w:tr>
      <w:tr>
        <w:tc>
          <w:tcPr/>
          <w:p>
            <w:pPr>
              <w:pStyle w:val="Compact"/>
              <w:jc w:val="left"/>
            </w:pPr>
            <w:r>
              <w:t xml:space="preserve">Poland</w:t>
            </w:r>
          </w:p>
        </w:tc>
        <w:tc>
          <w:tcPr/>
          <w:p>
            <w:pPr>
              <w:pStyle w:val="Compact"/>
              <w:jc w:val="right"/>
            </w:pPr>
            <w:r>
              <w:t xml:space="preserve">5.00</w:t>
            </w:r>
          </w:p>
        </w:tc>
        <w:tc>
          <w:tcPr/>
          <w:p>
            <w:pPr>
              <w:pStyle w:val="Compact"/>
              <w:jc w:val="right"/>
            </w:pPr>
            <w:r>
              <w:t xml:space="preserve">521</w:t>
            </w:r>
          </w:p>
        </w:tc>
        <w:tc>
          <w:tcPr/>
          <w:p>
            <w:pPr>
              <w:pStyle w:val="Compact"/>
              <w:jc w:val="right"/>
            </w:pPr>
            <w:r>
              <w:t xml:space="preserve">1.59</w:t>
            </w:r>
          </w:p>
        </w:tc>
        <w:tc>
          <w:tcPr/>
          <w:p>
            <w:pPr>
              <w:pStyle w:val="Compact"/>
              <w:jc w:val="right"/>
            </w:pPr>
            <w:r>
              <w:t xml:space="preserve">4.72</w:t>
            </w:r>
          </w:p>
        </w:tc>
        <w:tc>
          <w:tcPr/>
          <w:p>
            <w:pPr>
              <w:pStyle w:val="Compact"/>
              <w:jc w:val="right"/>
            </w:pPr>
            <w:r>
              <w:t xml:space="preserve">2.91</w:t>
            </w:r>
          </w:p>
        </w:tc>
      </w:tr>
      <w:tr>
        <w:tc>
          <w:tcPr/>
          <w:p>
            <w:pPr>
              <w:pStyle w:val="Compact"/>
              <w:jc w:val="left"/>
            </w:pPr>
            <w:r>
              <w:t xml:space="preserve">Israel</w:t>
            </w:r>
          </w:p>
        </w:tc>
        <w:tc>
          <w:tcPr/>
          <w:p>
            <w:pPr>
              <w:pStyle w:val="Compact"/>
              <w:jc w:val="right"/>
            </w:pPr>
            <w:r>
              <w:t xml:space="preserve">4.65</w:t>
            </w:r>
          </w:p>
        </w:tc>
        <w:tc>
          <w:tcPr/>
          <w:p>
            <w:pPr>
              <w:pStyle w:val="Compact"/>
              <w:jc w:val="right"/>
            </w:pPr>
            <w:r>
              <w:t xml:space="preserve">274</w:t>
            </w:r>
          </w:p>
        </w:tc>
        <w:tc>
          <w:tcPr/>
          <w:p>
            <w:pPr>
              <w:pStyle w:val="Compact"/>
              <w:jc w:val="right"/>
            </w:pPr>
            <w:r>
              <w:t xml:space="preserve">1.90</w:t>
            </w:r>
          </w:p>
        </w:tc>
        <w:tc>
          <w:tcPr/>
          <w:p>
            <w:pPr>
              <w:pStyle w:val="Compact"/>
              <w:jc w:val="right"/>
            </w:pPr>
            <w:r>
              <w:t xml:space="preserve">4.81</w:t>
            </w:r>
          </w:p>
        </w:tc>
        <w:tc>
          <w:tcPr/>
          <w:p>
            <w:pPr>
              <w:pStyle w:val="Compact"/>
              <w:jc w:val="right"/>
            </w:pPr>
            <w:r>
              <w:t xml:space="preserve">3.29</w:t>
            </w:r>
          </w:p>
        </w:tc>
      </w:tr>
      <w:tr>
        <w:tc>
          <w:tcPr/>
          <w:p>
            <w:pPr>
              <w:pStyle w:val="Compact"/>
              <w:jc w:val="left"/>
            </w:pPr>
            <w:r>
              <w:t xml:space="preserve">South Korea</w:t>
            </w:r>
          </w:p>
        </w:tc>
        <w:tc>
          <w:tcPr/>
          <w:p>
            <w:pPr>
              <w:pStyle w:val="Compact"/>
              <w:jc w:val="right"/>
            </w:pPr>
            <w:r>
              <w:t xml:space="preserve">2.50</w:t>
            </w:r>
          </w:p>
        </w:tc>
        <w:tc>
          <w:tcPr/>
          <w:p>
            <w:pPr>
              <w:pStyle w:val="Compact"/>
              <w:jc w:val="right"/>
            </w:pPr>
            <w:r>
              <w:t xml:space="preserve">290</w:t>
            </w:r>
          </w:p>
        </w:tc>
        <w:tc>
          <w:tcPr/>
          <w:p>
            <w:pPr>
              <w:pStyle w:val="Compact"/>
              <w:jc w:val="right"/>
            </w:pPr>
            <w:r>
              <w:t xml:space="preserve">1.56</w:t>
            </w:r>
          </w:p>
        </w:tc>
        <w:tc>
          <w:tcPr/>
          <w:p>
            <w:pPr>
              <w:pStyle w:val="Compact"/>
              <w:jc w:val="right"/>
            </w:pPr>
            <w:r>
              <w:t xml:space="preserve">6.19</w:t>
            </w:r>
          </w:p>
        </w:tc>
        <w:tc>
          <w:tcPr/>
          <w:p>
            <w:pPr>
              <w:pStyle w:val="Compact"/>
              <w:jc w:val="right"/>
            </w:pPr>
            <w:r>
              <w:t xml:space="preserve">4.16</w:t>
            </w:r>
          </w:p>
        </w:tc>
      </w:tr>
      <w:tr>
        <w:tc>
          <w:tcPr/>
          <w:p>
            <w:pPr>
              <w:pStyle w:val="Compact"/>
              <w:jc w:val="left"/>
            </w:pPr>
            <w:r>
              <w:t xml:space="preserve">Vietnam</w:t>
            </w:r>
          </w:p>
        </w:tc>
        <w:tc>
          <w:tcPr/>
          <w:p>
            <w:pPr>
              <w:pStyle w:val="Compact"/>
              <w:jc w:val="right"/>
            </w:pPr>
            <w:r>
              <w:t xml:space="preserve">1.51</w:t>
            </w:r>
          </w:p>
        </w:tc>
        <w:tc>
          <w:tcPr/>
          <w:p>
            <w:pPr>
              <w:pStyle w:val="Compact"/>
              <w:jc w:val="right"/>
            </w:pPr>
            <w:r>
              <w:t xml:space="preserve">570</w:t>
            </w:r>
          </w:p>
        </w:tc>
        <w:tc>
          <w:tcPr/>
          <w:p>
            <w:pPr>
              <w:pStyle w:val="Compact"/>
              <w:jc w:val="right"/>
            </w:pPr>
            <w:r>
              <w:t xml:space="preserve">0.13</w:t>
            </w:r>
          </w:p>
        </w:tc>
        <w:tc>
          <w:tcPr/>
          <w:p>
            <w:pPr>
              <w:pStyle w:val="Compact"/>
              <w:jc w:val="right"/>
            </w:pPr>
            <w:r>
              <w:t xml:space="preserve">2.91</w:t>
            </w:r>
          </w:p>
        </w:tc>
        <w:tc>
          <w:tcPr/>
          <w:p>
            <w:pPr>
              <w:pStyle w:val="Compact"/>
              <w:jc w:val="right"/>
            </w:pPr>
            <w:r>
              <w:t xml:space="preserve">2.23</w:t>
            </w:r>
          </w:p>
        </w:tc>
      </w:tr>
    </w:tbl>
    <w:p>
      <w:pPr>
        <w:pStyle w:val="BodyText"/>
      </w:pPr>
      <w:r>
        <w:t xml:space="preserve">The change in implied borrowing cost correlates with policy dose at</w:t>
      </w:r>
      <w:r>
        <w:t xml:space="preserve"> </w:t>
      </w:r>
      <m:oMath>
        <m:r>
          <m:t>r</m:t>
        </m:r>
        <m:r>
          <m:rPr>
            <m:sty m:val="p"/>
          </m:rPr>
          <m:t>=</m:t>
        </m:r>
        <m:r>
          <m:t>0.995</m:t>
        </m:r>
      </m:oMath>
      <w:r>
        <w:t xml:space="preserve"> </w:t>
      </w:r>
      <w:r>
        <w:t xml:space="preserve">across the five countries, and median interest coverage falls in</w:t>
      </w:r>
      <w:r>
        <w:t xml:space="preserve"> </w:t>
      </w:r>
      <w:r>
        <w:t xml:space="preserve">every single one, from Türkiye’s 36.0-point tightening down to Vietnam’s</w:t>
      </w:r>
      <w:r>
        <w:t xml:space="preserve"> </w:t>
      </w:r>
      <w:r>
        <w:t xml:space="preserve">1.5. Figure 3 plots the relationship.</w:t>
      </w:r>
    </w:p>
    <w:p>
      <w:pPr>
        <w:pStyle w:val="CaptionedFigure"/>
      </w:pPr>
      <w:r>
        <w:drawing>
          <wp:inline>
            <wp:extent cx="3307080" cy="2569410"/>
            <wp:effectExtent b="0" l="0" r="0" t="0"/>
            <wp:docPr descr="" title="" id="61" name="Picture"/>
            <a:graphic>
              <a:graphicData uri="http://schemas.openxmlformats.org/drawingml/2006/picture">
                <pic:pic>
                  <pic:nvPicPr>
                    <pic:cNvPr descr="figs/dose_response.png" id="62" name="Picture"/>
                    <pic:cNvPicPr>
                      <a:picLocks noChangeArrowheads="1" noChangeAspect="1"/>
                    </pic:cNvPicPr>
                  </pic:nvPicPr>
                  <pic:blipFill>
                    <a:blip r:embed="rId60"/>
                    <a:stretch>
                      <a:fillRect/>
                    </a:stretch>
                  </pic:blipFill>
                  <pic:spPr bwMode="auto">
                    <a:xfrm>
                      <a:off x="0" y="0"/>
                      <a:ext cx="3307080" cy="2569410"/>
                    </a:xfrm>
                    <a:prstGeom prst="rect">
                      <a:avLst/>
                    </a:prstGeom>
                    <a:noFill/>
                    <a:ln w="9525">
                      <a:noFill/>
                      <a:headEnd/>
                      <a:tailEnd/>
                    </a:ln>
                  </pic:spPr>
                </pic:pic>
              </a:graphicData>
            </a:graphic>
          </wp:inline>
        </w:drawing>
      </w:r>
    </w:p>
    <w:p>
      <w:pPr>
        <w:pStyle w:val="ImageCaption"/>
      </w:pPr>
      <w:r>
        <w:t xml:space="preserve">Change in median implied borrowing cost against policy tightening</w:t>
      </w:r>
      <w:r>
        <w:t xml:space="preserve"> </w:t>
      </w:r>
      <w:r>
        <w:t xml:space="preserve">dose, five countries, 2022 to 2023–24. The measure is constructed from firm</w:t>
      </w:r>
      <w:r>
        <w:t xml:space="preserve"> </w:t>
      </w:r>
      <w:r>
        <w:t xml:space="preserve">statements alone.</w:t>
      </w:r>
    </w:p>
    <w:p>
      <w:pPr>
        <w:pStyle w:val="BodyText"/>
      </w:pPr>
      <w:r>
        <w:t xml:space="preserve">A correlation of</w:t>
      </w:r>
      <w:r>
        <w:t xml:space="preserve"> </w:t>
      </w:r>
      <m:oMath>
        <m:r>
          <m:t>0.995</m:t>
        </m:r>
      </m:oMath>
      <w:r>
        <w:t xml:space="preserve"> </w:t>
      </w:r>
      <w:r>
        <w:t xml:space="preserve">on five points warrants an immediate caveat rather</w:t>
      </w:r>
      <w:r>
        <w:t xml:space="preserve"> </w:t>
      </w:r>
      <w:r>
        <w:t xml:space="preserve">than a boast, and we give it here rather than let the reader discover it</w:t>
      </w:r>
      <w:r>
        <w:t xml:space="preserve"> </w:t>
      </w:r>
      <w:r>
        <w:t xml:space="preserve">independently. With</w:t>
      </w:r>
      <w:r>
        <w:t xml:space="preserve"> </w:t>
      </w:r>
      <m:oMath>
        <m:r>
          <m:t>n</m:t>
        </m:r>
        <m:r>
          <m:rPr>
            <m:sty m:val="p"/>
          </m:rPr>
          <m:t>=</m:t>
        </m:r>
        <m:r>
          <m:t>5</m:t>
        </m:r>
      </m:oMath>
      <w:r>
        <w:t xml:space="preserve">, a very high correlation is close to mechanical:</w:t>
      </w:r>
      <w:r>
        <w:t xml:space="preserve"> </w:t>
      </w:r>
      <w:r>
        <w:t xml:space="preserve">four of the five points already sit on an economically reasonable line, and a</w:t>
      </w:r>
      <w:r>
        <w:t xml:space="preserve"> </w:t>
      </w:r>
      <w:r>
        <w:t xml:space="preserve">fifth far enough from the others (Türkiye) will produce a high</w:t>
      </w:r>
      <w:r>
        <w:t xml:space="preserve"> </w:t>
      </w:r>
      <m:oMath>
        <m:r>
          <m:t>r</m:t>
        </m:r>
      </m:oMath>
      <w:r>
        <w:t xml:space="preserve"> </w:t>
      </w:r>
      <w:r>
        <w:t xml:space="preserve">regardless of the details of the middle three. We therefore read</w:t>
      </w:r>
      <w:r>
        <w:t xml:space="preserve"> </w:t>
      </w:r>
      <w:r>
        <w:t xml:space="preserve">Table 11 qualitatively—interest coverage deteriorates in every</w:t>
      </w:r>
      <w:r>
        <w:t xml:space="preserve"> </w:t>
      </w:r>
      <w:r>
        <w:t xml:space="preserve">country, in rough proportion to tightening severity, and the pattern is</w:t>
      </w:r>
      <w:r>
        <w:t xml:space="preserve"> </w:t>
      </w:r>
      <w:r>
        <w:t xml:space="preserve">consistent with the four additional markets assembled but not carried into</w:t>
      </w:r>
      <w:r>
        <w:t xml:space="preserve"> </w:t>
      </w:r>
      <w:r>
        <w:t xml:space="preserve">this table (see the footnote to Section 1)—rather than</w:t>
      </w:r>
      <w:r>
        <w:t xml:space="preserve"> </w:t>
      </w:r>
      <w:r>
        <w:t xml:space="preserve">treating</w:t>
      </w:r>
      <w:r>
        <w:t xml:space="preserve"> </w:t>
      </w:r>
      <m:oMath>
        <m:r>
          <m:t>0.995</m:t>
        </m:r>
      </m:oMath>
      <w:r>
        <w:t xml:space="preserve"> </w:t>
      </w:r>
      <w:r>
        <w:t xml:space="preserve">as a precisely estimated population parameter. The</w:t>
      </w:r>
      <w:r>
        <w:t xml:space="preserve"> </w:t>
      </w:r>
      <w:r>
        <w:t xml:space="preserve">qualitative claim is the one this design can support; the correlation</w:t>
      </w:r>
      <w:r>
        <w:t xml:space="preserve"> </w:t>
      </w:r>
      <w:r>
        <w:t xml:space="preserve">coefficient illustrates it and should not be read as more than that.</w:t>
      </w:r>
    </w:p>
    <w:p>
      <w:pPr>
        <w:pStyle w:val="BodyText"/>
      </w:pPr>
      <w:r>
        <w:t xml:space="preserve">We then pool all five countries and estimate the triple interaction</w:t>
      </w:r>
    </w:p>
    <w:p>
      <w:pPr>
        <w:pStyle w:val="BodyText"/>
      </w:pPr>
      <m:oMathPara>
        <m:oMathParaPr>
          <m:jc m:val="center"/>
        </m:oMathParaPr>
        <m:oMath>
          <m:sSub>
            <m:e>
              <m:r>
                <m:t>Y</m:t>
              </m:r>
            </m:e>
            <m:sub>
              <m:r>
                <m:t>i</m:t>
              </m:r>
              <m:r>
                <m:t>c</m:t>
              </m:r>
              <m:r>
                <m:t>t</m:t>
              </m:r>
            </m:sub>
          </m:sSub>
          <m:r>
            <m:t> </m:t>
          </m:r>
          <m:r>
            <m:rPr>
              <m:sty m:val="p"/>
            </m:rPr>
            <m:t>=</m:t>
          </m:r>
          <m:r>
            <m:t> </m:t>
          </m:r>
          <m:sSub>
            <m:e>
              <m:r>
                <m:t>β</m:t>
              </m:r>
            </m:e>
            <m:sub>
              <m:r>
                <m:t>1</m:t>
              </m:r>
            </m:sub>
          </m:sSub>
          <m:d>
            <m:dPr>
              <m:begChr m:val="("/>
              <m:sepChr m:val=""/>
              <m:endChr m:val=")"/>
              <m:grow/>
            </m:dPr>
            <m:e>
              <m:sSub>
                <m:e>
                  <m:r>
                    <m:t>E</m:t>
                  </m:r>
                </m:e>
                <m:sub>
                  <m:r>
                    <m:t>i</m:t>
                  </m:r>
                </m:sub>
              </m:sSub>
              <m:sSub>
                <m:e>
                  <m:r>
                    <m:t>P</m:t>
                  </m:r>
                </m:e>
                <m:sub>
                  <m:r>
                    <m:t>t</m:t>
                  </m:r>
                </m:sub>
              </m:sSub>
            </m:e>
          </m:d>
          <m:r>
            <m:t> </m:t>
          </m:r>
          <m:r>
            <m:rPr>
              <m:sty m:val="p"/>
            </m:rPr>
            <m:t>+</m:t>
          </m:r>
          <m:r>
            <m:t> </m:t>
          </m:r>
          <m:sSub>
            <m:e>
              <m:r>
                <m:t>β</m:t>
              </m:r>
            </m:e>
            <m:sub>
              <m:r>
                <m:t>2</m:t>
              </m:r>
            </m:sub>
          </m:sSub>
          <m:d>
            <m:dPr>
              <m:begChr m:val="("/>
              <m:sepChr m:val=""/>
              <m:endChr m:val=")"/>
              <m:grow/>
            </m:dPr>
            <m:e>
              <m:sSub>
                <m:e>
                  <m:r>
                    <m:t>E</m:t>
                  </m:r>
                </m:e>
                <m:sub>
                  <m:r>
                    <m:t>i</m:t>
                  </m:r>
                </m:sub>
              </m:sSub>
              <m:sSub>
                <m:e>
                  <m:r>
                    <m:t>P</m:t>
                  </m:r>
                </m:e>
                <m:sub>
                  <m:r>
                    <m:t>t</m:t>
                  </m:r>
                </m:sub>
              </m:sSub>
              <m:r>
                <m:rPr>
                  <m:sty m:val="p"/>
                </m:rPr>
                <m:t>⋅</m:t>
              </m:r>
              <m:sSub>
                <m:e>
                  <m:r>
                    <m:rPr>
                      <m:sty m:val="p"/>
                    </m:rPr>
                    <m:t>D</m:t>
                  </m:r>
                  <m:r>
                    <m:rPr>
                      <m:sty m:val="p"/>
                    </m:rPr>
                    <m:t>o</m:t>
                  </m:r>
                  <m:r>
                    <m:rPr>
                      <m:sty m:val="p"/>
                    </m:rPr>
                    <m:t>s</m:t>
                  </m:r>
                  <m:r>
                    <m:rPr>
                      <m:sty m:val="p"/>
                    </m:rPr>
                    <m:t>e</m:t>
                  </m:r>
                </m:e>
                <m:sub>
                  <m:r>
                    <m:t>c</m:t>
                  </m:r>
                </m:sub>
              </m:sSub>
            </m:e>
          </m:d>
          <m:r>
            <m:t> </m:t>
          </m:r>
          <m:r>
            <m:rPr>
              <m:sty m:val="p"/>
            </m:rPr>
            <m:t>+</m:t>
          </m:r>
          <m:r>
            <m:t> </m:t>
          </m:r>
          <m:sSub>
            <m:e>
              <m:r>
                <m:t>α</m:t>
              </m:r>
            </m:e>
            <m:sub>
              <m:r>
                <m:t>i</m:t>
              </m:r>
            </m:sub>
          </m:sSub>
          <m:r>
            <m:t> </m:t>
          </m:r>
          <m:r>
            <m:rPr>
              <m:sty m:val="p"/>
            </m:rPr>
            <m:t>+</m:t>
          </m:r>
          <m:r>
            <m:t> </m:t>
          </m:r>
          <m:sSub>
            <m:e>
              <m:r>
                <m:t>λ</m:t>
              </m:r>
            </m:e>
            <m:sub>
              <m:r>
                <m:t>c</m:t>
              </m:r>
              <m:r>
                <m:t>t</m:t>
              </m:r>
            </m:sub>
          </m:sSub>
          <m:r>
            <m:t> </m:t>
          </m:r>
          <m:r>
            <m:rPr>
              <m:sty m:val="p"/>
            </m:rPr>
            <m:t>+</m:t>
          </m:r>
          <m:r>
            <m:t> </m:t>
          </m:r>
          <m:sSub>
            <m:e>
              <m:r>
                <m:t>ε</m:t>
              </m:r>
            </m:e>
            <m:sub>
              <m:r>
                <m:t>i</m:t>
              </m:r>
              <m:r>
                <m:t>c</m:t>
              </m:r>
              <m:r>
                <m:t>t</m:t>
              </m:r>
            </m:sub>
          </m:sSub>
          <m:r>
            <m:rPr>
              <m:sty m:val="p"/>
            </m:rPr>
            <m:t>,</m:t>
          </m:r>
        </m:oMath>
      </m:oMathPara>
    </w:p>
    <w:p>
      <w:pPr>
        <w:pStyle w:val="FirstParagraph"/>
      </w:pPr>
      <w:r>
        <w:t xml:space="preserve">with</w:t>
      </w:r>
      <w:r>
        <w:t xml:space="preserve"> </w:t>
      </w:r>
      <m:oMath>
        <m:sSub>
          <m:e>
            <m:r>
              <m:t>E</m:t>
            </m:r>
          </m:e>
          <m:sub>
            <m:r>
              <m:t>i</m:t>
            </m:r>
          </m:sub>
        </m:sSub>
      </m:oMath>
      <w:r>
        <w:t xml:space="preserve"> </w:t>
      </w:r>
      <w:r>
        <w:t xml:space="preserve">the pre-period short-term debt share (the only exposure proxy</w:t>
      </w:r>
      <w:r>
        <w:t xml:space="preserve"> </w:t>
      </w:r>
      <w:r>
        <w:t xml:space="preserve">constructible on a four-year panel),</w:t>
      </w:r>
      <w:r>
        <w:t xml:space="preserve"> </w:t>
      </w:r>
      <m:oMath>
        <m:sSub>
          <m:e>
            <m:r>
              <m:rPr>
                <m:sty m:val="p"/>
              </m:rPr>
              <m:t>D</m:t>
            </m:r>
            <m:r>
              <m:rPr>
                <m:sty m:val="p"/>
              </m:rPr>
              <m:t>o</m:t>
            </m:r>
            <m:r>
              <m:rPr>
                <m:sty m:val="p"/>
              </m:rPr>
              <m:t>s</m:t>
            </m:r>
            <m:r>
              <m:rPr>
                <m:sty m:val="p"/>
              </m:rPr>
              <m:t>e</m:t>
            </m:r>
          </m:e>
          <m:sub>
            <m:r>
              <m:t>c</m:t>
            </m:r>
          </m:sub>
        </m:sSub>
      </m:oMath>
      <w:r>
        <w:t xml:space="preserve"> </w:t>
      </w:r>
      <w:r>
        <w:t xml:space="preserve">the country’s</w:t>
      </w:r>
      <w:r>
        <w:t xml:space="preserve"> </w:t>
      </w:r>
      <w:r>
        <w:t xml:space="preserve">standardised tightening severity, and</w:t>
      </w:r>
      <w:r>
        <w:t xml:space="preserve"> </w:t>
      </w:r>
      <m:oMath>
        <m:sSub>
          <m:e>
            <m:r>
              <m:t>λ</m:t>
            </m:r>
          </m:e>
          <m:sub>
            <m:r>
              <m:t>c</m:t>
            </m:r>
            <m:r>
              <m:t>t</m:t>
            </m:r>
          </m:sub>
        </m:sSub>
      </m:oMath>
      <w:r>
        <w:t xml:space="preserve"> </w:t>
      </w:r>
      <w:r>
        <w:t xml:space="preserve">country-by-year effects.</w:t>
      </w:r>
      <w:r>
        <w:t xml:space="preserve"> </w:t>
      </w:r>
      <w:r>
        <w:t xml:space="preserve">If the exposure gradient were real and simply underpowered in</w:t>
      </w:r>
      <w:r>
        <w:t xml:space="preserve"> </w:t>
      </w:r>
      <w:r>
        <w:t xml:space="preserve">Section 5.2’s two-country test,</w:t>
      </w:r>
      <w:r>
        <w:t xml:space="preserve"> </w:t>
      </w:r>
      <m:oMath>
        <m:sSub>
          <m:e>
            <m:r>
              <m:t>β</m:t>
            </m:r>
          </m:e>
          <m:sub>
            <m:r>
              <m:t>2</m:t>
            </m:r>
          </m:sub>
        </m:sSub>
      </m:oMath>
      <w:r>
        <w:t xml:space="preserve"> </w:t>
      </w:r>
      <w:r>
        <w:t xml:space="preserve">should be positive and</w:t>
      </w:r>
      <w:r>
        <w:t xml:space="preserve"> </w:t>
      </w:r>
      <w:r>
        <w:t xml:space="preserve">significant on distress outcomes as dose rises. Table 12</w:t>
      </w:r>
      <w:r>
        <w:t xml:space="preserve"> </w:t>
      </w:r>
      <w:r>
        <w:t xml:space="preserve">reports the estimates.</w:t>
      </w:r>
    </w:p>
    <w:p>
      <w:pPr>
        <w:pStyle w:val="TableCaption"/>
      </w:pPr>
      <w:r>
        <w:t xml:space="preserve">Pooled exposure</w:t>
      </w:r>
      <w:r>
        <w:t xml:space="preserve"> </w:t>
      </w:r>
      <m:oMath>
        <m:r>
          <m:rPr>
            <m:sty m:val="p"/>
          </m:rPr>
          <m:t>×</m:t>
        </m:r>
      </m:oMath>
      <w:r>
        <w:t xml:space="preserve"> </w:t>
      </w:r>
      <w:r>
        <w:t xml:space="preserve">dose interaction, five countries</w:t>
      </w:r>
    </w:p>
    <w:tbl>
      <w:tblPr>
        <w:tblStyle w:val="Table"/>
        <w:tblW w:type="auto" w:w="0"/>
        <w:tblLook w:firstRow="1" w:lastRow="0" w:firstColumn="0" w:lastColumn="0" w:noHBand="0" w:noVBand="0" w:val="0020"/>
        <w:tblCaption w:val="Pooled exposure \times dose interaction, five countries"/>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right"/>
            </w:pPr>
            <w:r>
              <w:t xml:space="preserve">Firms</w:t>
            </w:r>
          </w:p>
        </w:tc>
        <w:tc>
          <w:tcPr/>
          <w:p>
            <w:pPr>
              <w:pStyle w:val="Compact"/>
              <w:jc w:val="right"/>
            </w:pPr>
            <m:oMath>
              <m:sSub>
                <m:e>
                  <m:r>
                    <m:t>β</m:t>
                  </m:r>
                </m:e>
                <m:sub>
                  <m:r>
                    <m:t>1</m:t>
                  </m:r>
                </m:sub>
              </m:sSub>
            </m:oMath>
            <w:r>
              <w:t xml:space="preserve"> </w:t>
            </w:r>
            <w:r>
              <w:t xml:space="preserve">(</w:t>
            </w:r>
            <m:oMath>
              <m:r>
                <m:t>p</m:t>
              </m:r>
            </m:oMath>
            <w:r>
              <w:t xml:space="preserve">)</w:t>
            </w:r>
          </w:p>
        </w:tc>
        <w:tc>
          <w:tcPr/>
          <w:p>
            <w:pPr>
              <w:pStyle w:val="Compact"/>
              <w:jc w:val="right"/>
            </w:pPr>
            <m:oMath>
              <m:sSub>
                <m:e>
                  <m:r>
                    <m:t>β</m:t>
                  </m:r>
                </m:e>
                <m:sub>
                  <m:r>
                    <m:t>2</m:t>
                  </m:r>
                </m:sub>
              </m:sSub>
            </m:oMath>
            <w:r>
              <w:t xml:space="preserve"> </w:t>
            </w:r>
            <w:r>
              <w:t xml:space="preserve">(</w:t>
            </w:r>
            <m:oMath>
              <m:r>
                <m:t>p</m:t>
              </m:r>
            </m:oMath>
            <w:r>
              <w:t xml:space="preserve">)</w:t>
            </w:r>
          </w:p>
        </w:tc>
        <w:tc>
          <w:tcPr/>
          <w:p>
            <w:pPr>
              <w:pStyle w:val="Compact"/>
            </w:pPr>
          </w:p>
        </w:tc>
      </w:tr>
      <w:tr>
        <w:tc>
          <w:tcPr/>
          <w:p>
            <w:pPr>
              <w:pStyle w:val="Compact"/>
              <w:jc w:val="left"/>
            </w:pPr>
            <w:r>
              <w:t xml:space="preserve">Interest coverage</w:t>
            </w:r>
          </w:p>
        </w:tc>
        <w:tc>
          <w:tcPr/>
          <w:p>
            <w:pPr>
              <w:pStyle w:val="Compact"/>
              <w:jc w:val="right"/>
            </w:pPr>
            <w:r>
              <w:t xml:space="preserve">598</w:t>
            </w:r>
          </w:p>
        </w:tc>
        <w:tc>
          <w:tcPr/>
          <w:p>
            <w:pPr>
              <w:pStyle w:val="Compact"/>
              <w:jc w:val="right"/>
            </w:pPr>
            <m:oMath>
              <m:r>
                <m:rPr>
                  <m:sty m:val="p"/>
                </m:rPr>
                <m:t>−</m:t>
              </m:r>
              <m:r>
                <m:t>0.977</m:t>
              </m:r>
            </m:oMath>
            <w:r>
              <w:t xml:space="preserve"> </w:t>
            </w:r>
            <w:r>
              <w:t xml:space="preserve">(0.071)</w:t>
            </w:r>
          </w:p>
        </w:tc>
        <w:tc>
          <w:tcPr/>
          <w:p>
            <w:pPr>
              <w:pStyle w:val="Compact"/>
              <w:jc w:val="right"/>
            </w:pPr>
            <m:oMath>
              <m:phant>
                <m:phantPr>
                  <m:show m:val="off"/>
                </m:phantPr>
                <m:e>
                  <m:r>
                    <m:rPr>
                      <m:sty m:val="p"/>
                    </m:rPr>
                    <m:t>−</m:t>
                  </m:r>
                </m:e>
              </m:phant>
              <m:r>
                <m:t>0.050</m:t>
              </m:r>
            </m:oMath>
            <w:r>
              <w:t xml:space="preserve"> </w:t>
            </w:r>
            <w:r>
              <w:t xml:space="preserve">(0.840)</w:t>
            </w:r>
          </w:p>
        </w:tc>
        <w:tc>
          <w:tcPr/>
          <w:p>
            <w:pPr>
              <w:pStyle w:val="Compact"/>
            </w:pPr>
          </w:p>
        </w:tc>
      </w:tr>
      <w:tr>
        <w:tc>
          <w:tcPr/>
          <w:p>
            <w:pPr>
              <w:pStyle w:val="Compact"/>
              <w:jc w:val="left"/>
            </w:pPr>
            <w:r>
              <w:t xml:space="preserve">EBIT margin</w:t>
            </w:r>
          </w:p>
        </w:tc>
        <w:tc>
          <w:tcPr/>
          <w:p>
            <w:pPr>
              <w:pStyle w:val="Compact"/>
              <w:jc w:val="right"/>
            </w:pPr>
            <w:r>
              <w:t xml:space="preserve">598</w:t>
            </w:r>
          </w:p>
        </w:tc>
        <w:tc>
          <w:tcPr/>
          <w:p>
            <w:pPr>
              <w:pStyle w:val="Compact"/>
              <w:jc w:val="right"/>
            </w:pPr>
            <m:oMath>
              <m:r>
                <m:rPr>
                  <m:sty m:val="p"/>
                </m:rPr>
                <m:t>−</m:t>
              </m:r>
              <m:r>
                <m:t>0.008</m:t>
              </m:r>
            </m:oMath>
            <w:r>
              <w:t xml:space="preserve"> </w:t>
            </w:r>
            <w:r>
              <w:t xml:space="preserve">(0.136)</w:t>
            </w:r>
          </w:p>
        </w:tc>
        <w:tc>
          <w:tcPr/>
          <w:p>
            <w:pPr>
              <w:pStyle w:val="Compact"/>
              <w:jc w:val="right"/>
            </w:pPr>
            <m:oMath>
              <m:r>
                <m:rPr>
                  <m:sty m:val="p"/>
                </m:rPr>
                <m:t>−</m:t>
              </m:r>
              <m:r>
                <m:t>0.009</m:t>
              </m:r>
            </m:oMath>
            <w:r>
              <w:t xml:space="preserve"> </w:t>
            </w:r>
            <w:r>
              <w:t xml:space="preserve">(0.414)</w:t>
            </w:r>
          </w:p>
        </w:tc>
        <w:tc>
          <w:tcPr/>
          <w:p>
            <w:pPr>
              <w:pStyle w:val="Compact"/>
            </w:pPr>
          </w:p>
        </w:tc>
      </w:tr>
      <w:tr>
        <w:tc>
          <w:tcPr/>
          <w:p>
            <w:pPr>
              <w:pStyle w:val="Compact"/>
              <w:jc w:val="left"/>
            </w:pPr>
            <w:r>
              <w:t xml:space="preserve">Implied rate</w:t>
            </w:r>
          </w:p>
        </w:tc>
        <w:tc>
          <w:tcPr/>
          <w:p>
            <w:pPr>
              <w:pStyle w:val="Compact"/>
              <w:jc w:val="right"/>
            </w:pPr>
            <w:r>
              <w:t xml:space="preserve">604</w:t>
            </w:r>
          </w:p>
        </w:tc>
        <w:tc>
          <w:tcPr/>
          <w:p>
            <w:pPr>
              <w:pStyle w:val="Compact"/>
              <w:jc w:val="right"/>
            </w:pPr>
            <m:oMath>
              <m:phant>
                <m:phantPr>
                  <m:show m:val="off"/>
                </m:phantPr>
                <m:e>
                  <m:r>
                    <m:rPr>
                      <m:sty m:val="p"/>
                    </m:rPr>
                    <m:t>−</m:t>
                  </m:r>
                </m:e>
              </m:phant>
              <m:r>
                <m:t>0.008</m:t>
              </m:r>
            </m:oMath>
            <w:r>
              <w:t xml:space="preserve"> </w:t>
            </w:r>
            <w:r>
              <w:t xml:space="preserve">(0.073)</w:t>
            </w:r>
          </w:p>
        </w:tc>
        <w:tc>
          <w:tcPr/>
          <w:p>
            <w:pPr>
              <w:pStyle w:val="Compact"/>
              <w:jc w:val="right"/>
            </w:pPr>
            <m:oMath>
              <m:phant>
                <m:phantPr>
                  <m:show m:val="off"/>
                </m:phantPr>
                <m:e>
                  <m:r>
                    <m:rPr>
                      <m:sty m:val="p"/>
                    </m:rPr>
                    <m:t>−</m:t>
                  </m:r>
                </m:e>
              </m:phant>
              <m:r>
                <m:t>0.032</m:t>
              </m:r>
            </m:oMath>
            <w:r>
              <w:t xml:space="preserve"> </w:t>
            </w:r>
            <w:r>
              <w:t xml:space="preserve">(0.047)</w:t>
            </w:r>
          </w:p>
        </w:tc>
        <w:tc>
          <w:tcPr/>
          <w:p>
            <w:pPr>
              <w:pStyle w:val="Compact"/>
            </w:pPr>
          </w:p>
        </w:tc>
      </w:tr>
    </w:tbl>
    <w:p>
      <w:pPr>
        <w:pStyle w:val="BodyText"/>
      </w:pPr>
      <w:r>
        <w:t xml:space="preserve">The dose interaction is null on both distress outcomes: interest coverage</w:t>
      </w:r>
      <w:r>
        <w:t xml:space="preserve"> </w:t>
      </w:r>
      <w:r>
        <w:t xml:space="preserve">(</w:t>
      </w:r>
      <m:oMath>
        <m:r>
          <m:t>p</m:t>
        </m:r>
        <m:r>
          <m:rPr>
            <m:sty m:val="p"/>
          </m:rPr>
          <m:t>=</m:t>
        </m:r>
        <m:r>
          <m:t>0.840</m:t>
        </m:r>
      </m:oMath>
      <w:r>
        <w:t xml:space="preserve">) and EBIT margin (</w:t>
      </w:r>
      <m:oMath>
        <m:r>
          <m:t>p</m:t>
        </m:r>
        <m:r>
          <m:rPr>
            <m:sty m:val="p"/>
          </m:rPr>
          <m:t>=</m:t>
        </m:r>
        <m:r>
          <m:t>0.414</m:t>
        </m:r>
      </m:oMath>
      <w:r>
        <w:t xml:space="preserve">) show no evidence that the exposure</w:t>
      </w:r>
      <w:r>
        <w:t xml:space="preserve"> </w:t>
      </w:r>
      <w:r>
        <w:t xml:space="preserve">gradient steepens with tightening severity. It is significant only for the</w:t>
      </w:r>
      <w:r>
        <w:t xml:space="preserve"> </w:t>
      </w:r>
      <w:r>
        <w:t xml:space="preserve">implied rate itself (</w:t>
      </w:r>
      <m:oMath>
        <m:r>
          <m:t>p</m:t>
        </m:r>
        <m:r>
          <m:rPr>
            <m:sty m:val="p"/>
          </m:rPr>
          <m:t>=</m:t>
        </m:r>
        <m:r>
          <m:t>0.047</m:t>
        </m:r>
      </m:oMath>
      <w:r>
        <w:t xml:space="preserve">)—the mechanical restatement, at firm level,</w:t>
      </w:r>
      <w:r>
        <w:t xml:space="preserve"> </w:t>
      </w:r>
      <w:r>
        <w:t xml:space="preserve">of the aggregate result already established in Table 11, not a new</w:t>
      </w:r>
      <w:r>
        <w:t xml:space="preserve"> </w:t>
      </w:r>
      <w:r>
        <w:t xml:space="preserve">finding about cross-sectional exposure. Scaling the test across a range of</w:t>
      </w:r>
      <w:r>
        <w:t xml:space="preserve"> </w:t>
      </w:r>
      <w:r>
        <w:t xml:space="preserve">monetary shocks that spans more than an order of magnitude produces the same</w:t>
      </w:r>
      <w:r>
        <w:t xml:space="preserve"> </w:t>
      </w:r>
      <w:r>
        <w:t xml:space="preserve">conclusion as the two-country design: the price of debt responds to dose, the</w:t>
      </w:r>
      <w:r>
        <w:t xml:space="preserve"> </w:t>
      </w:r>
      <w:r>
        <w:t xml:space="preserve">firm-level exposure gradient does not.</w:t>
      </w:r>
    </w:p>
    <w:p>
      <w:pPr>
        <w:pStyle w:val="BodyText"/>
      </w:pPr>
      <w:r>
        <w:t xml:space="preserve">We emphasise the limits of this extension. The short-term debt share is the</w:t>
      </w:r>
      <w:r>
        <w:t xml:space="preserve"> </w:t>
      </w:r>
      <w:r>
        <w:t xml:space="preserve">proxy shown in Section 4.2 to conflate repricing exposure with</w:t>
      </w:r>
      <w:r>
        <w:t xml:space="preserve"> </w:t>
      </w:r>
      <w:r>
        <w:t xml:space="preserve">credit quality, and the four-year panel available for Poland, Israel and</w:t>
      </w:r>
      <w:r>
        <w:t xml:space="preserve"> </w:t>
      </w:r>
      <w:r>
        <w:t xml:space="preserve">South Korea is, by the feasibility condition of Proposition 4,</w:t>
      </w:r>
      <w:r>
        <w:t xml:space="preserve"> </w:t>
      </w:r>
      <w:r>
        <w:t xml:space="preserve">too short to support the reliability-tested repricing beta of</w:t>
      </w:r>
      <w:r>
        <w:t xml:space="preserve"> </w:t>
      </w:r>
      <w:r>
        <w:t xml:space="preserve">Section 4.2. This subsection therefore corroborates the</w:t>
      </w:r>
      <w:r>
        <w:t xml:space="preserve"> </w:t>
      </w:r>
      <w:r>
        <w:t xml:space="preserve">two-country null under a cruder exposure measure and a wider dose range; it</w:t>
      </w:r>
      <w:r>
        <w:t xml:space="preserve"> </w:t>
      </w:r>
      <w:r>
        <w:t xml:space="preserve">does not repeat the decade-long identification test, which remains specific</w:t>
      </w:r>
      <w:r>
        <w:t xml:space="preserve"> </w:t>
      </w:r>
      <w:r>
        <w:t xml:space="preserve">to Türkiye and Vietnam. Nor have these three countries been</w:t>
      </w:r>
      <w:r>
        <w:t xml:space="preserve"> </w:t>
      </w:r>
      <w:r>
        <w:t xml:space="preserve">cross-validated against an independent second source in the manner of</w:t>
      </w:r>
      <w:r>
        <w:t xml:space="preserve"> </w:t>
      </w:r>
      <w:r>
        <w:t xml:space="preserve">Section 4’s reconciliation exercise, which was performed only</w:t>
      </w:r>
      <w:r>
        <w:t xml:space="preserve"> </w:t>
      </w:r>
      <w:r>
        <w:t xml:space="preserve">for Vietnam and Türkiye; their statement quality is assumed rather than</w:t>
      </w:r>
      <w:r>
        <w:t xml:space="preserve"> </w:t>
      </w:r>
      <w:r>
        <w:t xml:space="preserve">independently verified, a limitation the two-country panels do not share.</w:t>
      </w:r>
    </w:p>
    <w:bookmarkEnd w:id="63"/>
    <w:bookmarkStart w:id="68" w:name="robustness"/>
    <w:p>
      <w:pPr>
        <w:pStyle w:val="Heading2"/>
      </w:pPr>
      <w:r>
        <w:t xml:space="preserve">Robustness</w:t>
      </w:r>
    </w:p>
    <w:bookmarkStart w:id="64" w:name="placebo-treatment."/>
    <w:p>
      <w:pPr>
        <w:pStyle w:val="Heading4"/>
      </w:pPr>
      <w:r>
        <w:t xml:space="preserve">Placebo treatment.</w:t>
      </w:r>
    </w:p>
    <w:p>
      <w:pPr>
        <w:pStyle w:val="FirstParagraph"/>
      </w:pPr>
      <w:r>
        <w:t xml:space="preserve">Assigning a false treatment at 2018 and</w:t>
      </w:r>
      <w:r>
        <w:t xml:space="preserve"> </w:t>
      </w:r>
      <w:r>
        <w:t xml:space="preserve">restricting to 2015–2021 returns nothing for Vietnam:</w:t>
      </w:r>
      <w:r>
        <w:t xml:space="preserve"> </w:t>
      </w:r>
      <m:oMath>
        <m:r>
          <m:rPr>
            <m:sty m:val="p"/>
          </m:rPr>
          <m:t>−</m:t>
        </m:r>
        <m:r>
          <m:t>0.791</m:t>
        </m:r>
      </m:oMath>
      <w:r>
        <w:t xml:space="preserve"> </w:t>
      </w:r>
      <w:r>
        <w:t xml:space="preserve">(</w:t>
      </w:r>
      <m:oMath>
        <m:r>
          <m:t>p</m:t>
        </m:r>
        <m:r>
          <m:rPr>
            <m:sty m:val="p"/>
          </m:rPr>
          <m:t>=</m:t>
        </m:r>
        <m:r>
          <m:t>0.19</m:t>
        </m:r>
      </m:oMath>
      <w:r>
        <w:t xml:space="preserve">) on</w:t>
      </w:r>
      <w:r>
        <w:t xml:space="preserve"> </w:t>
      </w:r>
      <w:r>
        <w:t xml:space="preserve">interest coverage and</w:t>
      </w:r>
      <w:r>
        <w:t xml:space="preserve"> </w:t>
      </w:r>
      <m:oMath>
        <m:r>
          <m:rPr>
            <m:sty m:val="p"/>
          </m:rPr>
          <m:t>+</m:t>
        </m:r>
        <m:r>
          <m:t>0.004</m:t>
        </m:r>
      </m:oMath>
      <w:r>
        <w:t xml:space="preserve"> </w:t>
      </w:r>
      <w:r>
        <w:t xml:space="preserve">(</w:t>
      </w:r>
      <m:oMath>
        <m:r>
          <m:t>p</m:t>
        </m:r>
        <m:r>
          <m:rPr>
            <m:sty m:val="p"/>
          </m:rPr>
          <m:t>=</m:t>
        </m:r>
        <m:r>
          <m:t>0.51</m:t>
        </m:r>
      </m:oMath>
      <w:r>
        <w:t xml:space="preserve">) on EBIT margin. The design is not</w:t>
      </w:r>
      <w:r>
        <w:t xml:space="preserve"> </w:t>
      </w:r>
      <w:r>
        <w:t xml:space="preserve">mechanically generating significance, which supports reading</w:t>
      </w:r>
      <w:r>
        <w:t xml:space="preserve"> </w:t>
      </w:r>
      <w:r>
        <w:t xml:space="preserve">Section 5.2’s significant coefficients as genuine pre-existing</w:t>
      </w:r>
      <w:r>
        <w:t xml:space="preserve"> </w:t>
      </w:r>
      <w:r>
        <w:t xml:space="preserve">trends.</w:t>
      </w:r>
    </w:p>
    <w:bookmarkEnd w:id="64"/>
    <w:bookmarkStart w:id="65" w:name="sample-size-stability."/>
    <w:p>
      <w:pPr>
        <w:pStyle w:val="Heading4"/>
      </w:pPr>
      <w:r>
        <w:t xml:space="preserve">Sample-size stability.</w:t>
      </w:r>
    </w:p>
    <w:p>
      <w:pPr>
        <w:pStyle w:val="FirstParagraph"/>
      </w:pPr>
      <w:r>
        <w:t xml:space="preserve">The Turkish estimates were computed at three</w:t>
      </w:r>
      <w:r>
        <w:t xml:space="preserve"> </w:t>
      </w:r>
      <w:r>
        <w:t xml:space="preserve">sample sizes as collection proceeded. At 83 firms the specification returned</w:t>
      </w:r>
      <w:r>
        <w:t xml:space="preserve"> </w:t>
      </w:r>
      <m:oMath>
        <m:r>
          <m:rPr>
            <m:sty m:val="p"/>
          </m:rPr>
          <m:t>+</m:t>
        </m:r>
        <m:r>
          <m:t>0.886</m:t>
        </m:r>
      </m:oMath>
      <w:r>
        <w:t xml:space="preserve"> </w:t>
      </w:r>
      <w:r>
        <w:t xml:space="preserve">on the Altman</w:t>
      </w:r>
      <w:r>
        <w:t xml:space="preserve"> </w:t>
      </w:r>
      <m:oMath>
        <m:sSup>
          <m:e>
            <m:r>
              <m:t>Z</m:t>
            </m:r>
          </m:e>
          <m:sup>
            <m:r>
              <m:rPr>
                <m:sty m:val="p"/>
              </m:rPr>
              <m:t>″</m:t>
            </m:r>
          </m:sup>
        </m:sSup>
      </m:oMath>
      <w:r>
        <w:t xml:space="preserve"> </w:t>
      </w:r>
      <w:r>
        <w:t xml:space="preserve">score (</w:t>
      </w:r>
      <m:oMath>
        <m:r>
          <m:t>p</m:t>
        </m:r>
        <m:r>
          <m:rPr>
            <m:sty m:val="p"/>
          </m:rPr>
          <m:t>=</m:t>
        </m:r>
        <m:r>
          <m:t>0.045</m:t>
        </m:r>
      </m:oMath>
      <w:r>
        <w:t xml:space="preserve">) with significant pre-trends; at</w:t>
      </w:r>
      <w:r>
        <w:t xml:space="preserve"> </w:t>
      </w:r>
      <w:r>
        <w:t xml:space="preserve">158 firms both vanished; at 585 firms the estimates are those of</w:t>
      </w:r>
      <w:r>
        <w:t xml:space="preserve"> </w:t>
      </w:r>
      <w:r>
        <w:t xml:space="preserve">Table 9. Roughly a third of the eventual sample produced a</w:t>
      </w:r>
      <w:r>
        <w:t xml:space="preserve"> </w:t>
      </w:r>
      <w:r>
        <w:t xml:space="preserve">significant wrong-signed result with apparent pre-trend violation.</w:t>
      </w:r>
    </w:p>
    <w:bookmarkEnd w:id="65"/>
    <w:bookmarkStart w:id="66" w:name="alternative-specifications."/>
    <w:p>
      <w:pPr>
        <w:pStyle w:val="Heading4"/>
      </w:pPr>
      <w:r>
        <w:t xml:space="preserve">Alternative specifications.</w:t>
      </w:r>
    </w:p>
    <w:p>
      <w:pPr>
        <w:pStyle w:val="FirstParagraph"/>
      </w:pPr>
      <w:r>
        <w:t xml:space="preserve">Results are unchanged under</w:t>
      </w:r>
      <w:r>
        <w:t xml:space="preserve"> </w:t>
      </w:r>
      <w:r>
        <w:t xml:space="preserve">winsorisation at 1%/99% rather than 2%/98%; exposure measured at 2020 or as</w:t>
      </w:r>
      <w:r>
        <w:t xml:space="preserve"> </w:t>
      </w:r>
      <w:r>
        <w:t xml:space="preserve">the 2020–21 mean; exclusion of the smallest asset tercile; and exclusion of</w:t>
      </w:r>
      <w:r>
        <w:t xml:space="preserve"> </w:t>
      </w:r>
      <w:r>
        <w:t xml:space="preserve">2022 to guard against restated comparatives.</w:t>
      </w:r>
    </w:p>
    <w:bookmarkEnd w:id="66"/>
    <w:bookmarkStart w:id="67" w:name="what-would-overturn-the-null."/>
    <w:p>
      <w:pPr>
        <w:pStyle w:val="Heading4"/>
      </w:pPr>
      <w:r>
        <w:t xml:space="preserve">What would overturn the null.</w:t>
      </w:r>
    </w:p>
    <w:p>
      <w:pPr>
        <w:pStyle w:val="FirstParagraph"/>
      </w:pPr>
      <w:r>
        <w:t xml:space="preserve">Table 6 is explicit</w:t>
      </w:r>
      <w:r>
        <w:t xml:space="preserve"> </w:t>
      </w:r>
      <w:r>
        <w:t xml:space="preserve">that quarterly estimation would shrink</w:t>
      </w:r>
      <w:r>
        <w:t xml:space="preserve"> </w:t>
      </w:r>
      <m:oMath>
        <m:sSubSup>
          <m:e>
            <m:r>
              <m:t>σ</m:t>
            </m:r>
          </m:e>
          <m:sub>
            <m:r>
              <m:t>u</m:t>
            </m:r>
          </m:sub>
          <m:sup>
            <m:r>
              <m:t>2</m:t>
            </m:r>
          </m:sup>
        </m:sSubSup>
      </m:oMath>
      <w:r>
        <w:t xml:space="preserve">, which was not the binding</w:t>
      </w:r>
      <w:r>
        <w:t xml:space="preserve"> </w:t>
      </w:r>
      <w:r>
        <w:t xml:space="preserve">constraint, and would leave</w:t>
      </w:r>
      <w:r>
        <w:t xml:space="preserve"> </w:t>
      </w:r>
      <m:oMath>
        <m:sSubSup>
          <m:e>
            <m:r>
              <m:t>σ</m:t>
            </m:r>
          </m:e>
          <m:sub>
            <m:r>
              <m:t>ν</m:t>
            </m:r>
          </m:sub>
          <m:sup>
            <m:r>
              <m:t>2</m:t>
            </m:r>
          </m:sup>
        </m:sSubSup>
      </m:oMath>
      <w:r>
        <w:t xml:space="preserve"> </w:t>
      </w:r>
      <w:r>
        <w:t xml:space="preserve">untouched. Portfolio sorting would</w:t>
      </w:r>
      <w:r>
        <w:t xml:space="preserve"> </w:t>
      </w:r>
      <w:r>
        <w:t xml:space="preserve">average away the transitory component at the cost of the heterogeneity that</w:t>
      </w:r>
      <w:r>
        <w:t xml:space="preserve"> </w:t>
      </w:r>
      <w:r>
        <w:t xml:space="preserve">motivates the exercise. Machine-readable disclosure of repricing basis would</w:t>
      </w:r>
      <w:r>
        <w:t xml:space="preserve"> </w:t>
      </w:r>
      <w:r>
        <w:t xml:space="preserve">remove the problem entirely.</w:t>
      </w:r>
    </w:p>
    <w:bookmarkEnd w:id="67"/>
    <w:bookmarkEnd w:id="68"/>
    <w:bookmarkEnd w:id="69"/>
    <w:bookmarkStart w:id="72" w:name="discussion-and-conclusion"/>
    <w:p>
      <w:pPr>
        <w:pStyle w:val="Heading1"/>
      </w:pPr>
      <w:r>
        <w:t xml:space="preserve">Discussion and conclusion</w:t>
      </w:r>
    </w:p>
    <w:bookmarkStart w:id="70" w:name="implications-for-practice"/>
    <w:p>
      <w:pPr>
        <w:pStyle w:val="Heading2"/>
      </w:pPr>
      <w:r>
        <w:t xml:space="preserve">Implications for practice</w:t>
      </w:r>
    </w:p>
    <w:p>
      <w:pPr>
        <w:pStyle w:val="FirstParagraph"/>
      </w:pPr>
      <w:r>
        <w:rPr>
          <w:i/>
          <w:iCs/>
        </w:rPr>
        <w:t xml:space="preserve">Validate the price measure against the policy path.</w:t>
      </w:r>
      <w:r>
        <w:t xml:space="preserve"> </w:t>
      </w:r>
      <w:r>
        <w:t xml:space="preserve">A measure that cannot</w:t>
      </w:r>
      <w:r>
        <w:t xml:space="preserve"> </w:t>
      </w:r>
      <w:r>
        <w:t xml:space="preserve">reproduce a known aggregate should not be used to estimate an unknown</w:t>
      </w:r>
      <w:r>
        <w:t xml:space="preserve"> </w:t>
      </w:r>
      <w:r>
        <w:t xml:space="preserve">cross-section; this test is what exposed the bundled-expense problem.</w:t>
      </w:r>
    </w:p>
    <w:p>
      <w:pPr>
        <w:pStyle w:val="BodyText"/>
      </w:pPr>
      <w:r>
        <w:rPr>
          <w:i/>
          <w:iCs/>
        </w:rPr>
        <w:t xml:space="preserve">Report split-half reliability whenever exposure is estimated.</w:t>
      </w:r>
      <w:r>
        <w:t xml:space="preserve"> </w:t>
      </w:r>
      <w:r>
        <w:t xml:space="preserve">By</w:t>
      </w:r>
      <w:r>
        <w:t xml:space="preserve"> </w:t>
      </w:r>
      <w:r>
        <w:t xml:space="preserve">Proposition 2 it is the attenuation factor itself, not merely a</w:t>
      </w:r>
      <w:r>
        <w:t xml:space="preserve"> </w:t>
      </w:r>
      <w:r>
        <w:t xml:space="preserve">diagnostic correlated with it, and by Proposition 5 it separates</w:t>
      </w:r>
      <w:r>
        <w:t xml:space="preserve"> </w:t>
      </w:r>
      <w:r>
        <w:t xml:space="preserve">imprecision from impermanence. Standard errors and power calculations cannot:</w:t>
      </w:r>
      <w:r>
        <w:t xml:space="preserve"> </w:t>
      </w:r>
      <w:r>
        <w:t xml:space="preserve">in our data they indicated reliabilities of 0.664–0.923 where the split-half</w:t>
      </w:r>
      <w:r>
        <w:t xml:space="preserve"> </w:t>
      </w:r>
      <w:r>
        <w:t xml:space="preserve">estimate of the true permanent share was under 6%.</w:t>
      </w:r>
    </w:p>
    <w:p>
      <w:pPr>
        <w:pStyle w:val="BodyText"/>
      </w:pPr>
      <w:r>
        <w:rPr>
          <w:i/>
          <w:iCs/>
        </w:rPr>
        <w:t xml:space="preserve">In inflation-accounting regimes, prefer flows.</w:t>
      </w:r>
      <w:r>
        <w:t xml:space="preserve"> </w:t>
      </w:r>
      <w:r>
        <w:t xml:space="preserve">By</w:t>
      </w:r>
      <w:r>
        <w:t xml:space="preserve"> </w:t>
      </w:r>
      <w:r>
        <w:t xml:space="preserve">Proposition 7 the contamination enters as an interaction and</w:t>
      </w:r>
      <w:r>
        <w:t xml:space="preserve"> </w:t>
      </w:r>
      <w:r>
        <w:t xml:space="preserve">fixed effects do not address it; by Proposition 8 ratios of flows</w:t>
      </w:r>
      <w:r>
        <w:t xml:space="preserve"> </w:t>
      </w:r>
      <w:r>
        <w:t xml:space="preserve">escape it, with the qualification of Remark 3: a flow</w:t>
      </w:r>
      <w:r>
        <w:t xml:space="preserve"> </w:t>
      </w:r>
      <w:r>
        <w:t xml:space="preserve">outcome that itself bundles the IAS 29 net monetary gain or loss is only</w:t>
      </w:r>
      <w:r>
        <w:t xml:space="preserve"> </w:t>
      </w:r>
      <w:r>
        <w:t xml:space="preserve">partially protected.</w:t>
      </w:r>
    </w:p>
    <w:p>
      <w:pPr>
        <w:pStyle w:val="BodyText"/>
      </w:pPr>
      <w:r>
        <w:rPr>
          <w:i/>
          <w:iCs/>
        </w:rPr>
        <w:t xml:space="preserve">Extend the pre-period until parallel trends can genuinely be tested.</w:t>
      </w:r>
      <w:r>
        <w:t xml:space="preserve"> </w:t>
      </w:r>
      <w:r>
        <w:t xml:space="preserve">Restricting to outcomes with long history revealed that our significant</w:t>
      </w:r>
      <w:r>
        <w:t xml:space="preserve"> </w:t>
      </w:r>
      <w:r>
        <w:t xml:space="preserve">coefficients were decade-long trends; a two-year window would have produced a</w:t>
      </w:r>
      <w:r>
        <w:t xml:space="preserve"> </w:t>
      </w:r>
      <w:r>
        <w:t xml:space="preserve">publishable false positive.</w:t>
      </w:r>
    </w:p>
    <w:bookmarkEnd w:id="70"/>
    <w:bookmarkStart w:id="71" w:name="conclusion"/>
    <w:p>
      <w:pPr>
        <w:pStyle w:val="Heading2"/>
      </w:pPr>
      <w:r>
        <w:t xml:space="preserve">Conclusion</w:t>
      </w:r>
    </w:p>
    <w:p>
      <w:pPr>
        <w:pStyle w:val="FirstParagraph"/>
      </w:pPr>
      <w:r>
        <w:t xml:space="preserve">Published financial statements support a genuine, validated measure of the price</w:t>
      </w:r>
      <w:r>
        <w:t xml:space="preserve"> </w:t>
      </w:r>
      <w:r>
        <w:t xml:space="preserve">of corporate debt, and it recovers monetary policy paths in a severe Turkish</w:t>
      </w:r>
      <w:r>
        <w:t xml:space="preserve"> </w:t>
      </w:r>
      <w:r>
        <w:t xml:space="preserve">tightening and a mild Vietnamese one. Using it we document pass-through of</w:t>
      </w:r>
      <w:r>
        <w:t xml:space="preserve"> </w:t>
      </w:r>
      <w:r>
        <w:t xml:space="preserve">roughly one-third, a halving of median Turkish interest coverage, and a data field</w:t>
      </w:r>
      <w:r>
        <w:t xml:space="preserve"> </w:t>
      </w:r>
      <w:r>
        <w:t xml:space="preserve">that conflates currency shocks with interest costs.</w:t>
      </w:r>
    </w:p>
    <w:p>
      <w:pPr>
        <w:pStyle w:val="BodyText"/>
      </w:pPr>
      <w:r>
        <w:t xml:space="preserve">Statements do not support a measure of which firms are contractually exposed to</w:t>
      </w:r>
      <w:r>
        <w:t xml:space="preserve"> </w:t>
      </w:r>
      <w:r>
        <w:t xml:space="preserve">repricing. Our framework explains why in a form that is testable rather than</w:t>
      </w:r>
      <w:r>
        <w:t xml:space="preserve"> </w:t>
      </w:r>
      <w:r>
        <w:t xml:space="preserve">rhetorical: the estimand is attenuated by the reliability of the exposure</w:t>
      </w:r>
      <w:r>
        <w:t xml:space="preserve"> </w:t>
      </w:r>
      <w:r>
        <w:t xml:space="preserve">proxy, that reliability is identified by a split-half correlation which is</w:t>
      </w:r>
      <w:r>
        <w:t xml:space="preserve"> </w:t>
      </w:r>
      <w:r>
        <w:t xml:space="preserve">indistinguishable from zero in both countries, and the dispersion in estimated</w:t>
      </w:r>
      <w:r>
        <w:t xml:space="preserve"> </w:t>
      </w:r>
      <w:r>
        <w:t xml:space="preserve">sensitivities is overwhelmingly transitory rather than permanent—so the</w:t>
      </w:r>
      <w:r>
        <w:t xml:space="preserve"> </w:t>
      </w:r>
      <w:r>
        <w:t xml:space="preserve">failure is impermanence, which more data cannot cure.</w:t>
      </w:r>
    </w:p>
    <w:p>
      <w:pPr>
        <w:pStyle w:val="BodyText"/>
      </w:pPr>
      <w:r>
        <w:t xml:space="preserve">A sceptical reading of this null deserves airing rather than dismissal. The</w:t>
      </w:r>
      <w:r>
        <w:t xml:space="preserve"> </w:t>
      </w:r>
      <w:r>
        <w:t xml:space="preserve">panel we estimate exposure from is not a random sample of firms subject to</w:t>
      </w:r>
      <w:r>
        <w:t xml:space="preserve"> </w:t>
      </w:r>
      <w:r>
        <w:t xml:space="preserve">monetary tightening; it is the sample of firms that were listed, filed</w:t>
      </w:r>
      <w:r>
        <w:t xml:space="preserve"> </w:t>
      </w:r>
      <w:r>
        <w:t xml:space="preserve">statements, and survived long enough to enter a decade-plus estimation window.</w:t>
      </w:r>
      <w:r>
        <w:t xml:space="preserve"> </w:t>
      </w:r>
      <w:r>
        <w:t xml:space="preserve">If the firms most exposed to repricing risk are disproportionately the ones</w:t>
      </w:r>
      <w:r>
        <w:t xml:space="preserve"> </w:t>
      </w:r>
      <w:r>
        <w:t xml:space="preserve">that delisted, merged or failed before or during the tightening we study—the</w:t>
      </w:r>
      <w:r>
        <w:t xml:space="preserve"> </w:t>
      </w:r>
      <w:r>
        <w:t xml:space="preserve">attrition problem flagged as an open limitation in</w:t>
      </w:r>
      <w:r>
        <w:t xml:space="preserve"> </w:t>
      </w:r>
      <w:r>
        <w:t xml:space="preserve">Section 3.2—then a genuine cross-sectional exposure gradient</w:t>
      </w:r>
      <w:r>
        <w:t xml:space="preserve"> </w:t>
      </w:r>
      <w:r>
        <w:t xml:space="preserve">could exist in the population of Turkish and Vietnamese firms while being</w:t>
      </w:r>
      <w:r>
        <w:t xml:space="preserve"> </w:t>
      </w:r>
      <w:r>
        <w:t xml:space="preserve">invisible in the surviving, listed subset we observe. We cannot rule this out</w:t>
      </w:r>
      <w:r>
        <w:t xml:space="preserve"> </w:t>
      </w:r>
      <w:r>
        <w:t xml:space="preserve">with the data at hand, and we doubt it can be ruled out by any design built</w:t>
      </w:r>
      <w:r>
        <w:t xml:space="preserve"> </w:t>
      </w:r>
      <w:r>
        <w:t xml:space="preserve">solely on published statements: the same institutional gap that keeps</w:t>
      </w:r>
      <w:r>
        <w:t xml:space="preserve"> </w:t>
      </w:r>
      <w:r>
        <w:t xml:space="preserve">contractual exposure from being observed also keeps the researcher from</w:t>
      </w:r>
      <w:r>
        <w:t xml:space="preserve"> </w:t>
      </w:r>
      <w:r>
        <w:t xml:space="preserve">characterising who is missing from the observed sample. This is a second,</w:t>
      </w:r>
      <w:r>
        <w:t xml:space="preserve"> </w:t>
      </w:r>
      <w:r>
        <w:t xml:space="preserve">independent route to caution about the null, distinct from the measurement-</w:t>
      </w:r>
      <w:r>
        <w:t xml:space="preserve"> </w:t>
      </w:r>
      <w:r>
        <w:t xml:space="preserve">reliability argument above—not a reason to doubt that argument, but a reason</w:t>
      </w:r>
      <w:r>
        <w:t xml:space="preserve"> </w:t>
      </w:r>
      <w:r>
        <w:t xml:space="preserve">not to over-read the null as proof the exposure channel is dormant rather than</w:t>
      </w:r>
      <w:r>
        <w:t xml:space="preserve"> </w:t>
      </w:r>
      <w:r>
        <w:t xml:space="preserve">merely unobservable from where we stand.</w:t>
      </w:r>
    </w:p>
    <w:p>
      <w:pPr>
        <w:pStyle w:val="BodyText"/>
      </w:pPr>
      <w:r>
        <w:t xml:space="preserve">The implication is not that the channel fails to operate; our aggregate evidence</w:t>
      </w:r>
      <w:r>
        <w:t xml:space="preserve"> </w:t>
      </w:r>
      <w:r>
        <w:t xml:space="preserve">is consistent with its operating forcefully in Türkiye. It is that the</w:t>
      </w:r>
      <w:r>
        <w:t xml:space="preserve"> </w:t>
      </w:r>
      <w:r>
        <w:t xml:space="preserve">cross-sectional question—</w:t>
      </w:r>
      <w:r>
        <w:rPr>
          <w:i/>
          <w:iCs/>
        </w:rPr>
        <w:t xml:space="preserve">which</w:t>
      </w:r>
      <w:r>
        <w:t xml:space="preserve"> </w:t>
      </w:r>
      <w:r>
        <w:t xml:space="preserve">firms bear the adjustment—requires</w:t>
      </w:r>
      <w:r>
        <w:t xml:space="preserve"> </w:t>
      </w:r>
      <w:r>
        <w:t xml:space="preserve">contractual data. Researchers without registry access should direct effort</w:t>
      </w:r>
      <w:r>
        <w:t xml:space="preserve"> </w:t>
      </w:r>
      <w:r>
        <w:t xml:space="preserve">toward the aggregate and price-side questions statements can answer, and toward</w:t>
      </w:r>
      <w:r>
        <w:t xml:space="preserve"> </w:t>
      </w:r>
      <w:r>
        <w:t xml:space="preserve">making repricing terms disclosable, rather than toward proxies that cannot carry</w:t>
      </w:r>
      <w:r>
        <w:t xml:space="preserve"> </w:t>
      </w:r>
      <w:r>
        <w:t xml:space="preserve">the weight placed on them.</w:t>
      </w:r>
    </w:p>
    <w:p>
      <w:pPr>
        <w:pStyle w:val="BodyText"/>
      </w:pPr>
      <w:r>
        <w:t xml:space="preserve">A result independent of either verdict deserves its own emphasis before</w:t>
      </w:r>
      <w:r>
        <w:t xml:space="preserve"> </w:t>
      </w:r>
      <w:r>
        <w:t xml:space="preserve">closing. The inflation-accounting confound we formalise</w:t>
      </w:r>
      <w:r>
        <w:t xml:space="preserve"> </w:t>
      </w:r>
      <w:r>
        <w:t xml:space="preserve">(Proposition 7) and its remedy</w:t>
      </w:r>
      <w:r>
        <w:t xml:space="preserve"> </w:t>
      </w:r>
      <w:r>
        <w:t xml:space="preserve">(Proposition 8) are not specific to Türkiye’s tightening or</w:t>
      </w:r>
      <w:r>
        <w:t xml:space="preserve"> </w:t>
      </w:r>
      <w:r>
        <w:t xml:space="preserve">to floating-rate exposure. Any difference-in-differences design that combines</w:t>
      </w:r>
      <w:r>
        <w:t xml:space="preserve"> </w:t>
      </w:r>
      <w:r>
        <w:t xml:space="preserve">a treatment date with an accounting regime restating non-monetary items by a</w:t>
      </w:r>
      <w:r>
        <w:t xml:space="preserve"> </w:t>
      </w:r>
      <w:r>
        <w:t xml:space="preserve">vintage-dependent factor—IAS 29/TMS 29 hyperinflation accounting, but</w:t>
      </w:r>
      <w:r>
        <w:t xml:space="preserve"> </w:t>
      </w:r>
      <w:r>
        <w:t xml:space="preserve">equally a large one-off revaluation elsewhere—inherits the same</w:t>
      </w:r>
      <w:r>
        <w:t xml:space="preserve"> </w:t>
      </w:r>
      <w:r>
        <w:t xml:space="preserve">exposure-by-post interaction that two-way fixed effects cannot absorb, and the</w:t>
      </w:r>
      <w:r>
        <w:t xml:space="preserve"> </w:t>
      </w:r>
      <w:r>
        <w:t xml:space="preserve">same fix: outcomes built from a ratio of two flows are invariant to it, in</w:t>
      </w:r>
      <w:r>
        <w:t xml:space="preserve"> </w:t>
      </w:r>
      <w:r>
        <w:t xml:space="preserve">logs. We regard this as the paper’s most exportable methodological result,</w:t>
      </w:r>
      <w:r>
        <w:t xml:space="preserve"> </w:t>
      </w:r>
      <w:r>
        <w:t xml:space="preserve">independent of what a reader concludes about the exposure-measurement question</w:t>
      </w:r>
      <w:r>
        <w:t xml:space="preserve"> </w:t>
      </w:r>
      <w:r>
        <w:t xml:space="preserve">above, and applicable well beyond the two countries and the specific channel</w:t>
      </w:r>
      <w:r>
        <w:t xml:space="preserve"> </w:t>
      </w:r>
      <w:r>
        <w:t xml:space="preserve">studied here.</w:t>
      </w:r>
    </w:p>
    <w:bookmarkEnd w:id="71"/>
    <w:bookmarkEnd w:id="72"/>
    <w:bookmarkStart w:id="169" w:name="X1f74eb43af444059c7518034463b6c89b1cacf4"/>
    <w:p>
      <w:pPr>
        <w:pStyle w:val="Heading1"/>
      </w:pPr>
      <w:r>
        <w:t xml:space="preserve">Declaration of generative AI and AI-assisted technologies in the</w:t>
      </w:r>
      <w:r>
        <w:t xml:space="preserve"> </w:t>
      </w:r>
      <w:r>
        <w:t xml:space="preserve">manuscript preparation process</w:t>
      </w:r>
    </w:p>
    <w:p>
      <w:pPr>
        <w:pStyle w:val="FirstParagraph"/>
      </w:pPr>
      <w:r>
        <w:t xml:space="preserve">During the preparation of this work the author used generative AI tools to</w:t>
      </w:r>
      <w:r>
        <w:t xml:space="preserve"> </w:t>
      </w:r>
      <w:r>
        <w:t xml:space="preserve">support the writing of the manuscript. The author reviewed, revised and</w:t>
      </w:r>
      <w:r>
        <w:t xml:space="preserve"> </w:t>
      </w:r>
      <w:r>
        <w:t xml:space="preserve">rewrote all AI-assisted content as necessary and takes full responsibility for</w:t>
      </w:r>
      <w:r>
        <w:t xml:space="preserve"> </w:t>
      </w:r>
      <w:r>
        <w:t xml:space="preserve">the content of the published article.</w:t>
      </w:r>
    </w:p>
    <w:bookmarkStart w:id="168" w:name="refs"/>
    <w:bookmarkStart w:id="74" w:name="ref-acharya2024"/>
    <w:p>
      <w:pPr>
        <w:pStyle w:val="Bibliography"/>
      </w:pPr>
      <w:r>
        <w:t xml:space="preserve">Acharya, V. V., Crosignani, M., Eisert, T., &amp; Eufinger, C. (2024). Zombie credit and (dis-)inflation: Evidence from europe.</w:t>
      </w:r>
      <w:r>
        <w:t xml:space="preserve"> </w:t>
      </w:r>
      <w:r>
        <w:rPr>
          <w:i/>
          <w:iCs/>
        </w:rPr>
        <w:t xml:space="preserve">The Journal of Finance</w:t>
      </w:r>
      <w:r>
        <w:t xml:space="preserve">,</w:t>
      </w:r>
      <w:r>
        <w:t xml:space="preserve"> </w:t>
      </w:r>
      <w:r>
        <w:rPr>
          <w:i/>
          <w:iCs/>
        </w:rPr>
        <w:t xml:space="preserve">79</w:t>
      </w:r>
      <w:r>
        <w:t xml:space="preserve">(3), 1883–1929.</w:t>
      </w:r>
      <w:r>
        <w:t xml:space="preserve"> </w:t>
      </w:r>
      <w:hyperlink r:id="rId73">
        <w:r>
          <w:rPr>
            <w:rStyle w:val="Hyperlink"/>
          </w:rPr>
          <w:t xml:space="preserve">https://doi.org/10.1111/jofi.13342</w:t>
        </w:r>
      </w:hyperlink>
    </w:p>
    <w:bookmarkEnd w:id="74"/>
    <w:bookmarkStart w:id="76" w:name="ref-aguiar2005"/>
    <w:p>
      <w:pPr>
        <w:pStyle w:val="Bibliography"/>
      </w:pPr>
      <w:r>
        <w:t xml:space="preserve">Aguiar, M. (2005). Investment, devaluation, and foreign currency exposure: The case of mexico.</w:t>
      </w:r>
      <w:r>
        <w:t xml:space="preserve"> </w:t>
      </w:r>
      <w:r>
        <w:rPr>
          <w:i/>
          <w:iCs/>
        </w:rPr>
        <w:t xml:space="preserve">Journal of Development Economics</w:t>
      </w:r>
      <w:r>
        <w:t xml:space="preserve">,</w:t>
      </w:r>
      <w:r>
        <w:t xml:space="preserve"> </w:t>
      </w:r>
      <w:r>
        <w:rPr>
          <w:i/>
          <w:iCs/>
        </w:rPr>
        <w:t xml:space="preserve">78</w:t>
      </w:r>
      <w:r>
        <w:t xml:space="preserve">(1), 95–113.</w:t>
      </w:r>
      <w:r>
        <w:t xml:space="preserve"> </w:t>
      </w:r>
      <w:hyperlink r:id="rId75">
        <w:r>
          <w:rPr>
            <w:rStyle w:val="Hyperlink"/>
          </w:rPr>
          <w:t xml:space="preserve">https://doi.org/10.1016/j.jdeveco.2004.06.012</w:t>
        </w:r>
      </w:hyperlink>
    </w:p>
    <w:bookmarkEnd w:id="76"/>
    <w:bookmarkStart w:id="78" w:name="ref-akbal2026"/>
    <w:p>
      <w:pPr>
        <w:pStyle w:val="Bibliography"/>
      </w:pPr>
      <w:r>
        <w:t xml:space="preserve">Akbal, E., &amp; Civcir, I. (2026). The asymmetric effect of capital flows and credit default swap spreads on the US dollar/turkish lira exchange rate.</w:t>
      </w:r>
      <w:r>
        <w:t xml:space="preserve"> </w:t>
      </w:r>
      <w:r>
        <w:rPr>
          <w:i/>
          <w:iCs/>
        </w:rPr>
        <w:t xml:space="preserve">Borsa Istanbul Review</w:t>
      </w:r>
      <w:r>
        <w:t xml:space="preserve">,</w:t>
      </w:r>
      <w:r>
        <w:t xml:space="preserve"> </w:t>
      </w:r>
      <w:r>
        <w:rPr>
          <w:i/>
          <w:iCs/>
        </w:rPr>
        <w:t xml:space="preserve">26</w:t>
      </w:r>
      <w:r>
        <w:t xml:space="preserve">, 100774.</w:t>
      </w:r>
      <w:r>
        <w:t xml:space="preserve"> </w:t>
      </w:r>
      <w:hyperlink r:id="rId77">
        <w:r>
          <w:rPr>
            <w:rStyle w:val="Hyperlink"/>
          </w:rPr>
          <w:t xml:space="preserve">https://doi.org/10.1016/j.bir.2025.100774</w:t>
        </w:r>
      </w:hyperlink>
    </w:p>
    <w:bookmarkEnd w:id="78"/>
    <w:bookmarkStart w:id="80" w:name="ref-almeida2012"/>
    <w:p>
      <w:pPr>
        <w:pStyle w:val="Bibliography"/>
      </w:pPr>
      <w:r>
        <w:t xml:space="preserve">Almeida, H., Campello, M., Laranjeira, B., &amp; Weisbenner, S. (2012). Corporate debt maturity and the real effects of the 2007 credit crisis.</w:t>
      </w:r>
      <w:r>
        <w:t xml:space="preserve"> </w:t>
      </w:r>
      <w:r>
        <w:rPr>
          <w:i/>
          <w:iCs/>
        </w:rPr>
        <w:t xml:space="preserve">Critical Finance Review</w:t>
      </w:r>
      <w:r>
        <w:t xml:space="preserve">,</w:t>
      </w:r>
      <w:r>
        <w:t xml:space="preserve"> </w:t>
      </w:r>
      <w:r>
        <w:rPr>
          <w:i/>
          <w:iCs/>
        </w:rPr>
        <w:t xml:space="preserve">1</w:t>
      </w:r>
      <w:r>
        <w:t xml:space="preserve">(1), 3–58.</w:t>
      </w:r>
      <w:r>
        <w:t xml:space="preserve"> </w:t>
      </w:r>
      <w:hyperlink r:id="rId79">
        <w:r>
          <w:rPr>
            <w:rStyle w:val="Hyperlink"/>
          </w:rPr>
          <w:t xml:space="preserve">https://doi.org/10.1561/104.00000001</w:t>
        </w:r>
      </w:hyperlink>
    </w:p>
    <w:bookmarkEnd w:id="80"/>
    <w:bookmarkStart w:id="82" w:name="ref-altman2005"/>
    <w:p>
      <w:pPr>
        <w:pStyle w:val="Bibliography"/>
      </w:pPr>
      <w:r>
        <w:t xml:space="preserve">Altman, E. I. (2005). An emerging market credit scoring system for corporate bonds.</w:t>
      </w:r>
      <w:r>
        <w:t xml:space="preserve"> </w:t>
      </w:r>
      <w:r>
        <w:rPr>
          <w:i/>
          <w:iCs/>
        </w:rPr>
        <w:t xml:space="preserve">Emerging Markets Review</w:t>
      </w:r>
      <w:r>
        <w:t xml:space="preserve">,</w:t>
      </w:r>
      <w:r>
        <w:t xml:space="preserve"> </w:t>
      </w:r>
      <w:r>
        <w:rPr>
          <w:i/>
          <w:iCs/>
        </w:rPr>
        <w:t xml:space="preserve">6</w:t>
      </w:r>
      <w:r>
        <w:t xml:space="preserve">(4), 311–323.</w:t>
      </w:r>
      <w:r>
        <w:t xml:space="preserve"> </w:t>
      </w:r>
      <w:hyperlink r:id="rId81">
        <w:r>
          <w:rPr>
            <w:rStyle w:val="Hyperlink"/>
          </w:rPr>
          <w:t xml:space="preserve">https://doi.org/10.1016/j.ememar.2005.09.007</w:t>
        </w:r>
      </w:hyperlink>
    </w:p>
    <w:bookmarkEnd w:id="82"/>
    <w:bookmarkStart w:id="84" w:name="ref-auer2019"/>
    <w:p>
      <w:pPr>
        <w:pStyle w:val="Bibliography"/>
      </w:pPr>
      <w:r>
        <w:t xml:space="preserve">Auer, S., Friedrich, C., Ganarin, M., Paligorova, T., &amp; Towbin, P. (2019). International monetary policy transmission through banks in small open economies.</w:t>
      </w:r>
      <w:r>
        <w:t xml:space="preserve"> </w:t>
      </w:r>
      <w:r>
        <w:rPr>
          <w:i/>
          <w:iCs/>
        </w:rPr>
        <w:t xml:space="preserve">Journal of International Money and Finance</w:t>
      </w:r>
      <w:r>
        <w:t xml:space="preserve">,</w:t>
      </w:r>
      <w:r>
        <w:t xml:space="preserve"> </w:t>
      </w:r>
      <w:r>
        <w:rPr>
          <w:i/>
          <w:iCs/>
        </w:rPr>
        <w:t xml:space="preserve">90</w:t>
      </w:r>
      <w:r>
        <w:t xml:space="preserve">, 34–53.</w:t>
      </w:r>
      <w:r>
        <w:t xml:space="preserve"> </w:t>
      </w:r>
      <w:hyperlink r:id="rId83">
        <w:r>
          <w:rPr>
            <w:rStyle w:val="Hyperlink"/>
          </w:rPr>
          <w:t xml:space="preserve">https://doi.org/10.1016/j.jimonfin.2018.08.008</w:t>
        </w:r>
      </w:hyperlink>
    </w:p>
    <w:bookmarkEnd w:id="84"/>
    <w:bookmarkStart w:id="86" w:name="ref-barniv1999"/>
    <w:p>
      <w:pPr>
        <w:pStyle w:val="Bibliography"/>
      </w:pPr>
      <w:r>
        <w:t xml:space="preserve">Barniv, R. (1999). The value relevance of inflation-adjusted and historical-cost earnings during hyperinflation.</w:t>
      </w:r>
      <w:r>
        <w:t xml:space="preserve"> </w:t>
      </w:r>
      <w:r>
        <w:rPr>
          <w:i/>
          <w:iCs/>
        </w:rPr>
        <w:t xml:space="preserve">Journal of International Accounting, Auditing and Taxation</w:t>
      </w:r>
      <w:r>
        <w:t xml:space="preserve">,</w:t>
      </w:r>
      <w:r>
        <w:t xml:space="preserve"> </w:t>
      </w:r>
      <w:r>
        <w:rPr>
          <w:i/>
          <w:iCs/>
        </w:rPr>
        <w:t xml:space="preserve">8</w:t>
      </w:r>
      <w:r>
        <w:t xml:space="preserve">(2), 269–287.</w:t>
      </w:r>
      <w:r>
        <w:t xml:space="preserve"> </w:t>
      </w:r>
      <w:hyperlink r:id="rId85">
        <w:r>
          <w:rPr>
            <w:rStyle w:val="Hyperlink"/>
          </w:rPr>
          <w:t xml:space="preserve">https://doi.org/10.1016/S1061-9518(99)00016-6</w:t>
        </w:r>
      </w:hyperlink>
    </w:p>
    <w:bookmarkEnd w:id="86"/>
    <w:bookmarkStart w:id="88" w:name="ref-bernanke1995"/>
    <w:p>
      <w:pPr>
        <w:pStyle w:val="Bibliography"/>
      </w:pPr>
      <w:r>
        <w:t xml:space="preserve">Bernanke, B. S., &amp; Gertler, M. (1995). Inside the black box: The credit channel of monetary policy transmission.</w:t>
      </w:r>
      <w:r>
        <w:t xml:space="preserve"> </w:t>
      </w:r>
      <w:r>
        <w:rPr>
          <w:i/>
          <w:iCs/>
        </w:rPr>
        <w:t xml:space="preserve">Journal of Economic Perspectives</w:t>
      </w:r>
      <w:r>
        <w:t xml:space="preserve">,</w:t>
      </w:r>
      <w:r>
        <w:t xml:space="preserve"> </w:t>
      </w:r>
      <w:r>
        <w:rPr>
          <w:i/>
          <w:iCs/>
        </w:rPr>
        <w:t xml:space="preserve">9</w:t>
      </w:r>
      <w:r>
        <w:t xml:space="preserve">(4), 27–48.</w:t>
      </w:r>
      <w:r>
        <w:t xml:space="preserve"> </w:t>
      </w:r>
      <w:hyperlink r:id="rId87">
        <w:r>
          <w:rPr>
            <w:rStyle w:val="Hyperlink"/>
          </w:rPr>
          <w:t xml:space="preserve">https://doi.org/10.1257/jep.9.4.27</w:t>
        </w:r>
      </w:hyperlink>
    </w:p>
    <w:bookmarkEnd w:id="88"/>
    <w:bookmarkStart w:id="90" w:name="ref-bilgin2023"/>
    <w:p>
      <w:pPr>
        <w:pStyle w:val="Bibliography"/>
      </w:pPr>
      <w:r>
        <w:t xml:space="preserve">Bilgin, R., Dinç, Y., Nagayev, R., &amp; Aysan, A. F. (2023). Unlocking profitability in borsa istanbul: The impact of noncash credit and maturity breakdown of cash credit on corporate performance.</w:t>
      </w:r>
      <w:r>
        <w:t xml:space="preserve"> </w:t>
      </w:r>
      <w:r>
        <w:rPr>
          <w:i/>
          <w:iCs/>
        </w:rPr>
        <w:t xml:space="preserve">Borsa Istanbul Review</w:t>
      </w:r>
      <w:r>
        <w:t xml:space="preserve">,</w:t>
      </w:r>
      <w:r>
        <w:t xml:space="preserve"> </w:t>
      </w:r>
      <w:r>
        <w:rPr>
          <w:i/>
          <w:iCs/>
        </w:rPr>
        <w:t xml:space="preserve">23</w:t>
      </w:r>
      <w:r>
        <w:t xml:space="preserve">, S19–S28.</w:t>
      </w:r>
      <w:r>
        <w:t xml:space="preserve"> </w:t>
      </w:r>
      <w:hyperlink r:id="rId89">
        <w:r>
          <w:rPr>
            <w:rStyle w:val="Hyperlink"/>
          </w:rPr>
          <w:t xml:space="preserve">https://doi.org/10.1016/j.bir.2023.12.008</w:t>
        </w:r>
      </w:hyperlink>
    </w:p>
    <w:bookmarkEnd w:id="90"/>
    <w:bookmarkStart w:id="92" w:name="ref-bleakley2008"/>
    <w:p>
      <w:pPr>
        <w:pStyle w:val="Bibliography"/>
      </w:pPr>
      <w:r>
        <w:t xml:space="preserve">Bleakley, H., &amp; Cowan, K. (2008). Corporate dollar debt and depreciations: Much ado about nothing?</w:t>
      </w:r>
      <w:r>
        <w:t xml:space="preserve"> </w:t>
      </w:r>
      <w:r>
        <w:rPr>
          <w:i/>
          <w:iCs/>
        </w:rPr>
        <w:t xml:space="preserve">Review of Economics and Statistics</w:t>
      </w:r>
      <w:r>
        <w:t xml:space="preserve">,</w:t>
      </w:r>
      <w:r>
        <w:t xml:space="preserve"> </w:t>
      </w:r>
      <w:r>
        <w:rPr>
          <w:i/>
          <w:iCs/>
        </w:rPr>
        <w:t xml:space="preserve">90</w:t>
      </w:r>
      <w:r>
        <w:t xml:space="preserve">(4), 612–626.</w:t>
      </w:r>
      <w:r>
        <w:t xml:space="preserve"> </w:t>
      </w:r>
      <w:hyperlink r:id="rId91">
        <w:r>
          <w:rPr>
            <w:rStyle w:val="Hyperlink"/>
          </w:rPr>
          <w:t xml:space="preserve">https://doi.org/10.1162/rest.90.4.612</w:t>
        </w:r>
      </w:hyperlink>
    </w:p>
    <w:bookmarkEnd w:id="92"/>
    <w:bookmarkStart w:id="94" w:name="ref-boundbrownmathiowetz2001"/>
    <w:p>
      <w:pPr>
        <w:pStyle w:val="Bibliography"/>
      </w:pPr>
      <w:r>
        <w:t xml:space="preserve">Bound, J., Brown, C., &amp; Mathiowetz, N. (2001). Measurement error in survey data. In J. J. Heckman &amp; E. E. Leamer (Eds.),</w:t>
      </w:r>
      <w:r>
        <w:t xml:space="preserve"> </w:t>
      </w:r>
      <w:r>
        <w:rPr>
          <w:i/>
          <w:iCs/>
        </w:rPr>
        <w:t xml:space="preserve">Handbook of econometrics</w:t>
      </w:r>
      <w:r>
        <w:t xml:space="preserve"> </w:t>
      </w:r>
      <w:r>
        <w:t xml:space="preserve">(Vol. 5, pp. 3705–3843). Elsevier.</w:t>
      </w:r>
      <w:r>
        <w:t xml:space="preserve"> </w:t>
      </w:r>
      <w:hyperlink r:id="rId93">
        <w:r>
          <w:rPr>
            <w:rStyle w:val="Hyperlink"/>
          </w:rPr>
          <w:t xml:space="preserve">https://doi.org/10.1016/S1573-4412(01)05012-7</w:t>
        </w:r>
      </w:hyperlink>
    </w:p>
    <w:bookmarkEnd w:id="94"/>
    <w:bookmarkStart w:id="96" w:name="ref-bruno2015b"/>
    <w:p>
      <w:pPr>
        <w:pStyle w:val="Bibliography"/>
      </w:pPr>
      <w:r>
        <w:t xml:space="preserve">Bruno, V., &amp; Shin, H. S. (2015a). Capital flows and the risk-taking channel of monetary policy.</w:t>
      </w:r>
      <w:r>
        <w:t xml:space="preserve"> </w:t>
      </w:r>
      <w:r>
        <w:rPr>
          <w:i/>
          <w:iCs/>
        </w:rPr>
        <w:t xml:space="preserve">Journal of Monetary Economics</w:t>
      </w:r>
      <w:r>
        <w:t xml:space="preserve">,</w:t>
      </w:r>
      <w:r>
        <w:t xml:space="preserve"> </w:t>
      </w:r>
      <w:r>
        <w:rPr>
          <w:i/>
          <w:iCs/>
        </w:rPr>
        <w:t xml:space="preserve">71</w:t>
      </w:r>
      <w:r>
        <w:t xml:space="preserve">, 119–132.</w:t>
      </w:r>
      <w:r>
        <w:t xml:space="preserve"> </w:t>
      </w:r>
      <w:hyperlink r:id="rId95">
        <w:r>
          <w:rPr>
            <w:rStyle w:val="Hyperlink"/>
          </w:rPr>
          <w:t xml:space="preserve">https://doi.org/10.1016/j.jmoneco.2014.11.011</w:t>
        </w:r>
      </w:hyperlink>
    </w:p>
    <w:bookmarkEnd w:id="96"/>
    <w:bookmarkStart w:id="98" w:name="ref-bruno2015a"/>
    <w:p>
      <w:pPr>
        <w:pStyle w:val="Bibliography"/>
      </w:pPr>
      <w:r>
        <w:t xml:space="preserve">Bruno, V., &amp; Shin, H. S. (2015b). Cross-border banking and global liquidity.</w:t>
      </w:r>
      <w:r>
        <w:t xml:space="preserve"> </w:t>
      </w:r>
      <w:r>
        <w:rPr>
          <w:i/>
          <w:iCs/>
        </w:rPr>
        <w:t xml:space="preserve">The Review of Economic Studies</w:t>
      </w:r>
      <w:r>
        <w:t xml:space="preserve">,</w:t>
      </w:r>
      <w:r>
        <w:t xml:space="preserve"> </w:t>
      </w:r>
      <w:r>
        <w:rPr>
          <w:i/>
          <w:iCs/>
        </w:rPr>
        <w:t xml:space="preserve">82</w:t>
      </w:r>
      <w:r>
        <w:t xml:space="preserve">(2), 535–564.</w:t>
      </w:r>
      <w:r>
        <w:t xml:space="preserve"> </w:t>
      </w:r>
      <w:hyperlink r:id="rId97">
        <w:r>
          <w:rPr>
            <w:rStyle w:val="Hyperlink"/>
          </w:rPr>
          <w:t xml:space="preserve">https://doi.org/10.1093/restud/rdu042</w:t>
        </w:r>
      </w:hyperlink>
    </w:p>
    <w:bookmarkEnd w:id="98"/>
    <w:bookmarkStart w:id="100" w:name="ref-callaway2021"/>
    <w:p>
      <w:pPr>
        <w:pStyle w:val="Bibliography"/>
      </w:pPr>
      <w:r>
        <w:t xml:space="preserve">Callaway, B., &amp; Sant’Anna, P. H. C. (2021). Difference-in-differences with multiple time periods.</w:t>
      </w:r>
      <w:r>
        <w:t xml:space="preserve"> </w:t>
      </w:r>
      <w:r>
        <w:rPr>
          <w:i/>
          <w:iCs/>
        </w:rPr>
        <w:t xml:space="preserve">Journal of Econometrics</w:t>
      </w:r>
      <w:r>
        <w:t xml:space="preserve">,</w:t>
      </w:r>
      <w:r>
        <w:t xml:space="preserve"> </w:t>
      </w:r>
      <w:r>
        <w:rPr>
          <w:i/>
          <w:iCs/>
        </w:rPr>
        <w:t xml:space="preserve">225</w:t>
      </w:r>
      <w:r>
        <w:t xml:space="preserve">(2), 200–230.</w:t>
      </w:r>
      <w:r>
        <w:t xml:space="preserve"> </w:t>
      </w:r>
      <w:hyperlink r:id="rId99">
        <w:r>
          <w:rPr>
            <w:rStyle w:val="Hyperlink"/>
          </w:rPr>
          <w:t xml:space="preserve">https://doi.org/10.1016/j.jeconom.2020.12.001</w:t>
        </w:r>
      </w:hyperlink>
    </w:p>
    <w:bookmarkEnd w:id="100"/>
    <w:bookmarkStart w:id="102" w:name="ref-cam2022"/>
    <w:p>
      <w:pPr>
        <w:pStyle w:val="Bibliography"/>
      </w:pPr>
      <w:r>
        <w:t xml:space="preserve">Çam, İ., &amp; Özer, G. (2022). The influence of country governance on the capital structure and investment financing decisions of firms: An international investigation.</w:t>
      </w:r>
      <w:r>
        <w:t xml:space="preserve"> </w:t>
      </w:r>
      <w:r>
        <w:rPr>
          <w:i/>
          <w:iCs/>
        </w:rPr>
        <w:t xml:space="preserve">Borsa Istanbul Review</w:t>
      </w:r>
      <w:r>
        <w:t xml:space="preserve">,</w:t>
      </w:r>
      <w:r>
        <w:t xml:space="preserve"> </w:t>
      </w:r>
      <w:r>
        <w:rPr>
          <w:i/>
          <w:iCs/>
        </w:rPr>
        <w:t xml:space="preserve">22</w:t>
      </w:r>
      <w:r>
        <w:t xml:space="preserve">(2), 257–271.</w:t>
      </w:r>
      <w:r>
        <w:t xml:space="preserve"> </w:t>
      </w:r>
      <w:hyperlink r:id="rId101">
        <w:r>
          <w:rPr>
            <w:rStyle w:val="Hyperlink"/>
          </w:rPr>
          <w:t xml:space="preserve">https://doi.org/10.1016/j.bir.2021.04.008</w:t>
        </w:r>
      </w:hyperlink>
    </w:p>
    <w:bookmarkEnd w:id="102"/>
    <w:bookmarkStart w:id="104" w:name="ref-dechaisemartin2020"/>
    <w:p>
      <w:pPr>
        <w:pStyle w:val="Bibliography"/>
      </w:pPr>
      <w:r>
        <w:t xml:space="preserve">Chaisemartin, C. de, &amp; D’Haultfœuille, X. (2020). Two-way fixed effects estimators with heterogeneous treatment effects.</w:t>
      </w:r>
      <w:r>
        <w:t xml:space="preserve"> </w:t>
      </w:r>
      <w:r>
        <w:rPr>
          <w:i/>
          <w:iCs/>
        </w:rPr>
        <w:t xml:space="preserve">American Economic Review</w:t>
      </w:r>
      <w:r>
        <w:t xml:space="preserve">,</w:t>
      </w:r>
      <w:r>
        <w:t xml:space="preserve"> </w:t>
      </w:r>
      <w:r>
        <w:rPr>
          <w:i/>
          <w:iCs/>
        </w:rPr>
        <w:t xml:space="preserve">110</w:t>
      </w:r>
      <w:r>
        <w:t xml:space="preserve">(9), 2964–2996.</w:t>
      </w:r>
      <w:r>
        <w:t xml:space="preserve"> </w:t>
      </w:r>
      <w:hyperlink r:id="rId103">
        <w:r>
          <w:rPr>
            <w:rStyle w:val="Hyperlink"/>
          </w:rPr>
          <w:t xml:space="preserve">https://doi.org/10.1257/aer.20181169</w:t>
        </w:r>
      </w:hyperlink>
    </w:p>
    <w:bookmarkEnd w:id="104"/>
    <w:bookmarkStart w:id="106" w:name="ref-citci2023"/>
    <w:p>
      <w:pPr>
        <w:pStyle w:val="Bibliography"/>
      </w:pPr>
      <w:r>
        <w:t xml:space="preserve">Çitçi, S. H., &amp; Kaya, H. (2023). Exchange rate uncertainty and the connectedness of inflation.</w:t>
      </w:r>
      <w:r>
        <w:t xml:space="preserve"> </w:t>
      </w:r>
      <w:r>
        <w:rPr>
          <w:i/>
          <w:iCs/>
        </w:rPr>
        <w:t xml:space="preserve">Borsa Istanbul Review</w:t>
      </w:r>
      <w:r>
        <w:t xml:space="preserve">,</w:t>
      </w:r>
      <w:r>
        <w:t xml:space="preserve"> </w:t>
      </w:r>
      <w:r>
        <w:rPr>
          <w:i/>
          <w:iCs/>
        </w:rPr>
        <w:t xml:space="preserve">23</w:t>
      </w:r>
      <w:r>
        <w:t xml:space="preserve">(3), 723–735.</w:t>
      </w:r>
      <w:r>
        <w:t xml:space="preserve"> </w:t>
      </w:r>
      <w:hyperlink r:id="rId105">
        <w:r>
          <w:rPr>
            <w:rStyle w:val="Hyperlink"/>
          </w:rPr>
          <w:t xml:space="preserve">https://doi.org/10.1016/j.bir.2023.01.009</w:t>
        </w:r>
      </w:hyperlink>
    </w:p>
    <w:bookmarkEnd w:id="106"/>
    <w:bookmarkStart w:id="108" w:name="ref-cloyne2023"/>
    <w:p>
      <w:pPr>
        <w:pStyle w:val="Bibliography"/>
      </w:pPr>
      <w:r>
        <w:t xml:space="preserve">Cloyne, J., Ferreira, C., Froemel, M., &amp; Surico, P. (2023). Monetary policy, corporate finance, and investment.</w:t>
      </w:r>
      <w:r>
        <w:t xml:space="preserve"> </w:t>
      </w:r>
      <w:r>
        <w:rPr>
          <w:i/>
          <w:iCs/>
        </w:rPr>
        <w:t xml:space="preserve">Journal of the European Economic Association</w:t>
      </w:r>
      <w:r>
        <w:t xml:space="preserve">,</w:t>
      </w:r>
      <w:r>
        <w:t xml:space="preserve"> </w:t>
      </w:r>
      <w:r>
        <w:rPr>
          <w:i/>
          <w:iCs/>
        </w:rPr>
        <w:t xml:space="preserve">21</w:t>
      </w:r>
      <w:r>
        <w:t xml:space="preserve">(6), 2586–2634.</w:t>
      </w:r>
      <w:r>
        <w:t xml:space="preserve"> </w:t>
      </w:r>
      <w:hyperlink r:id="rId107">
        <w:r>
          <w:rPr>
            <w:rStyle w:val="Hyperlink"/>
          </w:rPr>
          <w:t xml:space="preserve">https://doi.org/10.1093/jeea/jvad009</w:t>
        </w:r>
      </w:hyperlink>
    </w:p>
    <w:bookmarkEnd w:id="108"/>
    <w:bookmarkStart w:id="110" w:name="ref-davisfriday2005"/>
    <w:p>
      <w:pPr>
        <w:pStyle w:val="Bibliography"/>
      </w:pPr>
      <w:r>
        <w:t xml:space="preserve">Davis-Friday, P. Y., &amp; Gordon, E. A. (2005). Relative valuation roles of equity book value, net income, and cash flows during a macroeconomic shock: The case of mexico and the 1994 currency crisis.</w:t>
      </w:r>
      <w:r>
        <w:t xml:space="preserve"> </w:t>
      </w:r>
      <w:r>
        <w:rPr>
          <w:i/>
          <w:iCs/>
        </w:rPr>
        <w:t xml:space="preserve">Journal of International Accounting Research</w:t>
      </w:r>
      <w:r>
        <w:t xml:space="preserve">,</w:t>
      </w:r>
      <w:r>
        <w:t xml:space="preserve"> </w:t>
      </w:r>
      <w:r>
        <w:rPr>
          <w:i/>
          <w:iCs/>
        </w:rPr>
        <w:t xml:space="preserve">4</w:t>
      </w:r>
      <w:r>
        <w:t xml:space="preserve">(1), 1–21.</w:t>
      </w:r>
      <w:r>
        <w:t xml:space="preserve"> </w:t>
      </w:r>
      <w:hyperlink r:id="rId109">
        <w:r>
          <w:rPr>
            <w:rStyle w:val="Hyperlink"/>
          </w:rPr>
          <w:t xml:space="preserve">https://doi.org/10.2308/jiar.2005.4.1.1</w:t>
        </w:r>
      </w:hyperlink>
    </w:p>
    <w:bookmarkEnd w:id="110"/>
    <w:bookmarkStart w:id="112" w:name="ref-defranco2011"/>
    <w:p>
      <w:pPr>
        <w:pStyle w:val="Bibliography"/>
      </w:pPr>
      <w:r>
        <w:t xml:space="preserve">De Franco, G., Kothari, S. P., &amp; Verdi, R. S. (2011). The benefits of financial statement comparability.</w:t>
      </w:r>
      <w:r>
        <w:t xml:space="preserve"> </w:t>
      </w:r>
      <w:r>
        <w:rPr>
          <w:i/>
          <w:iCs/>
        </w:rPr>
        <w:t xml:space="preserve">Journal of Accounting Research</w:t>
      </w:r>
      <w:r>
        <w:t xml:space="preserve">,</w:t>
      </w:r>
      <w:r>
        <w:t xml:space="preserve"> </w:t>
      </w:r>
      <w:r>
        <w:rPr>
          <w:i/>
          <w:iCs/>
        </w:rPr>
        <w:t xml:space="preserve">49</w:t>
      </w:r>
      <w:r>
        <w:t xml:space="preserve">(4), 895–931.</w:t>
      </w:r>
      <w:r>
        <w:t xml:space="preserve"> </w:t>
      </w:r>
      <w:hyperlink r:id="rId111">
        <w:r>
          <w:rPr>
            <w:rStyle w:val="Hyperlink"/>
          </w:rPr>
          <w:t xml:space="preserve">https://doi.org/10.1111/j.1475-679X.2011.00415.x</w:t>
        </w:r>
      </w:hyperlink>
    </w:p>
    <w:bookmarkEnd w:id="112"/>
    <w:bookmarkStart w:id="114" w:name="ref-demirguc1999"/>
    <w:p>
      <w:pPr>
        <w:pStyle w:val="Bibliography"/>
      </w:pPr>
      <w:r>
        <w:t xml:space="preserve">Demirgüç-Kunt, A., &amp; Maksimovic, V. (1999). Institutions, financial markets, and firm debt maturity.</w:t>
      </w:r>
      <w:r>
        <w:t xml:space="preserve"> </w:t>
      </w:r>
      <w:r>
        <w:rPr>
          <w:i/>
          <w:iCs/>
        </w:rPr>
        <w:t xml:space="preserve">Journal of Financial Economics</w:t>
      </w:r>
      <w:r>
        <w:t xml:space="preserve">,</w:t>
      </w:r>
      <w:r>
        <w:t xml:space="preserve"> </w:t>
      </w:r>
      <w:r>
        <w:rPr>
          <w:i/>
          <w:iCs/>
        </w:rPr>
        <w:t xml:space="preserve">54</w:t>
      </w:r>
      <w:r>
        <w:t xml:space="preserve">(3), 295–336.</w:t>
      </w:r>
      <w:r>
        <w:t xml:space="preserve"> </w:t>
      </w:r>
      <w:hyperlink r:id="rId113">
        <w:r>
          <w:rPr>
            <w:rStyle w:val="Hyperlink"/>
          </w:rPr>
          <w:t xml:space="preserve">https://doi.org/10.1016/S0304-405X(99)00039-2</w:t>
        </w:r>
      </w:hyperlink>
    </w:p>
    <w:bookmarkEnd w:id="114"/>
    <w:bookmarkStart w:id="116" w:name="ref-du2022"/>
    <w:p>
      <w:pPr>
        <w:pStyle w:val="Bibliography"/>
      </w:pPr>
      <w:r>
        <w:t xml:space="preserve">Du, W., &amp; Schreger, J. (2022). Sovereign risk, currency risk, and corporate balance sheets.</w:t>
      </w:r>
      <w:r>
        <w:t xml:space="preserve"> </w:t>
      </w:r>
      <w:r>
        <w:rPr>
          <w:i/>
          <w:iCs/>
        </w:rPr>
        <w:t xml:space="preserve">The Review of Financial Studies</w:t>
      </w:r>
      <w:r>
        <w:t xml:space="preserve">,</w:t>
      </w:r>
      <w:r>
        <w:t xml:space="preserve"> </w:t>
      </w:r>
      <w:r>
        <w:rPr>
          <w:i/>
          <w:iCs/>
        </w:rPr>
        <w:t xml:space="preserve">35</w:t>
      </w:r>
      <w:r>
        <w:t xml:space="preserve">(10), 4587–4629.</w:t>
      </w:r>
      <w:r>
        <w:t xml:space="preserve"> </w:t>
      </w:r>
      <w:hyperlink r:id="rId115">
        <w:r>
          <w:rPr>
            <w:rStyle w:val="Hyperlink"/>
          </w:rPr>
          <w:t xml:space="preserve">https://doi.org/10.1093/rfs/hhac001</w:t>
        </w:r>
      </w:hyperlink>
    </w:p>
    <w:bookmarkEnd w:id="116"/>
    <w:bookmarkStart w:id="117" w:name="ref-eichengreen1999"/>
    <w:p>
      <w:pPr>
        <w:pStyle w:val="Bibliography"/>
      </w:pPr>
      <w:r>
        <w:t xml:space="preserve">Eichengreen, B., &amp; Hausmann, R. (1999).</w:t>
      </w:r>
      <w:r>
        <w:t xml:space="preserve"> </w:t>
      </w:r>
      <w:r>
        <w:rPr>
          <w:i/>
          <w:iCs/>
        </w:rPr>
        <w:t xml:space="preserve">Exchange rates and financial fragility</w:t>
      </w:r>
      <w:r>
        <w:t xml:space="preserve"> </w:t>
      </w:r>
      <w:r>
        <w:t xml:space="preserve">(NBER Working Paper No. 7418). National Bureau of Economic Research.</w:t>
      </w:r>
    </w:p>
    <w:bookmarkEnd w:id="117"/>
    <w:bookmarkStart w:id="119" w:name="ref-eichengreenhausmannpanizza2003"/>
    <w:p>
      <w:pPr>
        <w:pStyle w:val="Bibliography"/>
      </w:pPr>
      <w:r>
        <w:t xml:space="preserve">Eichengreen, B., Hausmann, R., &amp; Panizza, U. (2003).</w:t>
      </w:r>
      <w:r>
        <w:t xml:space="preserve"> </w:t>
      </w:r>
      <w:r>
        <w:rPr>
          <w:i/>
          <w:iCs/>
        </w:rPr>
        <w:t xml:space="preserve">Currency mismatches, debt intolerance and original sin: Why they are not the same and why it matters</w:t>
      </w:r>
      <w:r>
        <w:t xml:space="preserve"> </w:t>
      </w:r>
      <w:r>
        <w:t xml:space="preserve">(NBER Working Paper No. 10036). National Bureau of Economic Research.</w:t>
      </w:r>
      <w:r>
        <w:t xml:space="preserve"> </w:t>
      </w:r>
      <w:hyperlink r:id="rId118">
        <w:r>
          <w:rPr>
            <w:rStyle w:val="Hyperlink"/>
          </w:rPr>
          <w:t xml:space="preserve">https://doi.org/10.3386/w10036</w:t>
        </w:r>
      </w:hyperlink>
    </w:p>
    <w:bookmarkEnd w:id="119"/>
    <w:bookmarkStart w:id="120" w:name="ref-eichengreenhausmannpanizza2005"/>
    <w:p>
      <w:pPr>
        <w:pStyle w:val="Bibliography"/>
      </w:pPr>
      <w:r>
        <w:t xml:space="preserve">Eichengreen, B., Hausmann, R., &amp; Panizza, U. (2005). The pain of original sin. In B. Eichengreen &amp; R. Hausmann (Eds.),</w:t>
      </w:r>
      <w:r>
        <w:t xml:space="preserve"> </w:t>
      </w:r>
      <w:r>
        <w:rPr>
          <w:i/>
          <w:iCs/>
        </w:rPr>
        <w:t xml:space="preserve">Other people’s money: Debt denomination and financial instability in emerging-market economies</w:t>
      </w:r>
      <w:r>
        <w:t xml:space="preserve"> </w:t>
      </w:r>
      <w:r>
        <w:t xml:space="preserve">(pp. 13–47). University of Chicago Press.</w:t>
      </w:r>
    </w:p>
    <w:bookmarkEnd w:id="120"/>
    <w:bookmarkStart w:id="122" w:name="ref-gertler1994"/>
    <w:p>
      <w:pPr>
        <w:pStyle w:val="Bibliography"/>
      </w:pPr>
      <w:r>
        <w:t xml:space="preserve">Gertler, M., &amp; Gilchrist, S. (1994). Monetary policy, business cycles, and the behavior of small manufacturing firms.</w:t>
      </w:r>
      <w:r>
        <w:t xml:space="preserve"> </w:t>
      </w:r>
      <w:r>
        <w:rPr>
          <w:i/>
          <w:iCs/>
        </w:rPr>
        <w:t xml:space="preserve">The Quarterly Journal of Economics</w:t>
      </w:r>
      <w:r>
        <w:t xml:space="preserve">,</w:t>
      </w:r>
      <w:r>
        <w:t xml:space="preserve"> </w:t>
      </w:r>
      <w:r>
        <w:rPr>
          <w:i/>
          <w:iCs/>
        </w:rPr>
        <w:t xml:space="preserve">109</w:t>
      </w:r>
      <w:r>
        <w:t xml:space="preserve">(2), 309–340.</w:t>
      </w:r>
      <w:r>
        <w:t xml:space="preserve"> </w:t>
      </w:r>
      <w:hyperlink r:id="rId121">
        <w:r>
          <w:rPr>
            <w:rStyle w:val="Hyperlink"/>
          </w:rPr>
          <w:t xml:space="preserve">https://doi.org/10.2307/2118465</w:t>
        </w:r>
      </w:hyperlink>
    </w:p>
    <w:bookmarkEnd w:id="122"/>
    <w:bookmarkStart w:id="124" w:name="ref-goodmanbacon2021"/>
    <w:p>
      <w:pPr>
        <w:pStyle w:val="Bibliography"/>
      </w:pPr>
      <w:r>
        <w:t xml:space="preserve">Goodman-Bacon, A. (2021). Difference-in-differences with variation in treatment timing.</w:t>
      </w:r>
      <w:r>
        <w:t xml:space="preserve"> </w:t>
      </w:r>
      <w:r>
        <w:rPr>
          <w:i/>
          <w:iCs/>
        </w:rPr>
        <w:t xml:space="preserve">Journal of Econometrics</w:t>
      </w:r>
      <w:r>
        <w:t xml:space="preserve">,</w:t>
      </w:r>
      <w:r>
        <w:t xml:space="preserve"> </w:t>
      </w:r>
      <w:r>
        <w:rPr>
          <w:i/>
          <w:iCs/>
        </w:rPr>
        <w:t xml:space="preserve">225</w:t>
      </w:r>
      <w:r>
        <w:t xml:space="preserve">(2), 254–277.</w:t>
      </w:r>
      <w:r>
        <w:t xml:space="preserve"> </w:t>
      </w:r>
      <w:hyperlink r:id="rId123">
        <w:r>
          <w:rPr>
            <w:rStyle w:val="Hyperlink"/>
          </w:rPr>
          <w:t xml:space="preserve">https://doi.org/10.1016/j.jeconom.2021.03.014</w:t>
        </w:r>
      </w:hyperlink>
    </w:p>
    <w:bookmarkEnd w:id="124"/>
    <w:bookmarkStart w:id="126" w:name="ref-gordon2001"/>
    <w:p>
      <w:pPr>
        <w:pStyle w:val="Bibliography"/>
      </w:pPr>
      <w:r>
        <w:t xml:space="preserve">Gordon, E. A. (2001). Accounting for changing prices: The value relevance of historical cost, price level, and replacement cost accounting in mexico.</w:t>
      </w:r>
      <w:r>
        <w:t xml:space="preserve"> </w:t>
      </w:r>
      <w:r>
        <w:rPr>
          <w:i/>
          <w:iCs/>
        </w:rPr>
        <w:t xml:space="preserve">Journal of Accounting Research</w:t>
      </w:r>
      <w:r>
        <w:t xml:space="preserve">,</w:t>
      </w:r>
      <w:r>
        <w:t xml:space="preserve"> </w:t>
      </w:r>
      <w:r>
        <w:rPr>
          <w:i/>
          <w:iCs/>
        </w:rPr>
        <w:t xml:space="preserve">39</w:t>
      </w:r>
      <w:r>
        <w:t xml:space="preserve">(1), 177–200.</w:t>
      </w:r>
      <w:r>
        <w:t xml:space="preserve"> </w:t>
      </w:r>
      <w:hyperlink r:id="rId125">
        <w:r>
          <w:rPr>
            <w:rStyle w:val="Hyperlink"/>
          </w:rPr>
          <w:t xml:space="preserve">https://doi.org/10.1111/1475-679X.00008</w:t>
        </w:r>
      </w:hyperlink>
    </w:p>
    <w:bookmarkEnd w:id="126"/>
    <w:bookmarkStart w:id="128" w:name="ref-greenwald2019"/>
    <w:p>
      <w:pPr>
        <w:pStyle w:val="Bibliography"/>
      </w:pPr>
      <w:r>
        <w:t xml:space="preserve">Greenwald, D. L. (2019).</w:t>
      </w:r>
      <w:r>
        <w:t xml:space="preserve"> </w:t>
      </w:r>
      <w:r>
        <w:rPr>
          <w:i/>
          <w:iCs/>
        </w:rPr>
        <w:t xml:space="preserve">Firm debt covenants and the macroeconomy: The interest coverage channel</w:t>
      </w:r>
      <w:r>
        <w:t xml:space="preserve"> </w:t>
      </w:r>
      <w:r>
        <w:t xml:space="preserve">(MIT Sloan Research Paper Nos. 5909-19). MIT Sloan School of Management.</w:t>
      </w:r>
      <w:r>
        <w:t xml:space="preserve"> </w:t>
      </w:r>
      <w:hyperlink r:id="rId127">
        <w:r>
          <w:rPr>
            <w:rStyle w:val="Hyperlink"/>
          </w:rPr>
          <w:t xml:space="preserve">https://doi.org/10.2139/ssrn.3535221</w:t>
        </w:r>
      </w:hyperlink>
    </w:p>
    <w:bookmarkEnd w:id="128"/>
    <w:bookmarkStart w:id="130" w:name="ref-griliches1986"/>
    <w:p>
      <w:pPr>
        <w:pStyle w:val="Bibliography"/>
      </w:pPr>
      <w:r>
        <w:t xml:space="preserve">Griliches, Z., &amp; Hausman, J. A. (1986). Errors in variables in panel data.</w:t>
      </w:r>
      <w:r>
        <w:t xml:space="preserve"> </w:t>
      </w:r>
      <w:r>
        <w:rPr>
          <w:i/>
          <w:iCs/>
        </w:rPr>
        <w:t xml:space="preserve">Journal of Econometrics</w:t>
      </w:r>
      <w:r>
        <w:t xml:space="preserve">,</w:t>
      </w:r>
      <w:r>
        <w:t xml:space="preserve"> </w:t>
      </w:r>
      <w:r>
        <w:rPr>
          <w:i/>
          <w:iCs/>
        </w:rPr>
        <w:t xml:space="preserve">31</w:t>
      </w:r>
      <w:r>
        <w:t xml:space="preserve">(1), 93–118.</w:t>
      </w:r>
      <w:r>
        <w:t xml:space="preserve"> </w:t>
      </w:r>
      <w:hyperlink r:id="rId129">
        <w:r>
          <w:rPr>
            <w:rStyle w:val="Hyperlink"/>
          </w:rPr>
          <w:t xml:space="preserve">https://doi.org/10.1016/0304-4076(86)90058-8</w:t>
        </w:r>
      </w:hyperlink>
    </w:p>
    <w:bookmarkEnd w:id="130"/>
    <w:bookmarkStart w:id="132" w:name="ref-hausman2001"/>
    <w:p>
      <w:pPr>
        <w:pStyle w:val="Bibliography"/>
      </w:pPr>
      <w:r>
        <w:t xml:space="preserve">Hausman, J. A. (2001). Mismeasured variables in econometric analysis: Problems from the right and problems from the left.</w:t>
      </w:r>
      <w:r>
        <w:t xml:space="preserve"> </w:t>
      </w:r>
      <w:r>
        <w:rPr>
          <w:i/>
          <w:iCs/>
        </w:rPr>
        <w:t xml:space="preserve">Journal of Economic Perspectives</w:t>
      </w:r>
      <w:r>
        <w:t xml:space="preserve">,</w:t>
      </w:r>
      <w:r>
        <w:t xml:space="preserve"> </w:t>
      </w:r>
      <w:r>
        <w:rPr>
          <w:i/>
          <w:iCs/>
        </w:rPr>
        <w:t xml:space="preserve">15</w:t>
      </w:r>
      <w:r>
        <w:t xml:space="preserve">(4), 57–67.</w:t>
      </w:r>
      <w:r>
        <w:t xml:space="preserve"> </w:t>
      </w:r>
      <w:hyperlink r:id="rId131">
        <w:r>
          <w:rPr>
            <w:rStyle w:val="Hyperlink"/>
          </w:rPr>
          <w:t xml:space="preserve">https://doi.org/10.1257/jep.15.4.57</w:t>
        </w:r>
      </w:hyperlink>
    </w:p>
    <w:bookmarkEnd w:id="132"/>
    <w:bookmarkStart w:id="134" w:name="ref-hexiong2012"/>
    <w:p>
      <w:pPr>
        <w:pStyle w:val="Bibliography"/>
      </w:pPr>
      <w:r>
        <w:t xml:space="preserve">He, Z., &amp; Xiong, W. (2012). Rollover risk and credit risk.</w:t>
      </w:r>
      <w:r>
        <w:t xml:space="preserve"> </w:t>
      </w:r>
      <w:r>
        <w:rPr>
          <w:i/>
          <w:iCs/>
        </w:rPr>
        <w:t xml:space="preserve">The Journal of Finance</w:t>
      </w:r>
      <w:r>
        <w:t xml:space="preserve">,</w:t>
      </w:r>
      <w:r>
        <w:t xml:space="preserve"> </w:t>
      </w:r>
      <w:r>
        <w:rPr>
          <w:i/>
          <w:iCs/>
        </w:rPr>
        <w:t xml:space="preserve">67</w:t>
      </w:r>
      <w:r>
        <w:t xml:space="preserve">(2), 391–430.</w:t>
      </w:r>
      <w:r>
        <w:t xml:space="preserve"> </w:t>
      </w:r>
      <w:hyperlink r:id="rId133">
        <w:r>
          <w:rPr>
            <w:rStyle w:val="Hyperlink"/>
          </w:rPr>
          <w:t xml:space="preserve">https://doi.org/10.1111/j.1540-6261.2012.01721.x</w:t>
        </w:r>
      </w:hyperlink>
    </w:p>
    <w:bookmarkEnd w:id="134"/>
    <w:bookmarkStart w:id="136" w:name="ref-huynh2024"/>
    <w:p>
      <w:pPr>
        <w:pStyle w:val="Bibliography"/>
      </w:pPr>
      <w:r>
        <w:t xml:space="preserve">Huynh, J. (2024). Uncertainty in banking and trade credit of firms.</w:t>
      </w:r>
      <w:r>
        <w:t xml:space="preserve"> </w:t>
      </w:r>
      <w:r>
        <w:rPr>
          <w:i/>
          <w:iCs/>
        </w:rPr>
        <w:t xml:space="preserve">Borsa Istanbul Review</w:t>
      </w:r>
      <w:r>
        <w:t xml:space="preserve">,</w:t>
      </w:r>
      <w:r>
        <w:t xml:space="preserve"> </w:t>
      </w:r>
      <w:r>
        <w:rPr>
          <w:i/>
          <w:iCs/>
        </w:rPr>
        <w:t xml:space="preserve">24</w:t>
      </w:r>
      <w:r>
        <w:t xml:space="preserve">(4), 838–855.</w:t>
      </w:r>
      <w:r>
        <w:t xml:space="preserve"> </w:t>
      </w:r>
      <w:hyperlink r:id="rId135">
        <w:r>
          <w:rPr>
            <w:rStyle w:val="Hyperlink"/>
          </w:rPr>
          <w:t xml:space="preserve">https://doi.org/10.1016/j.bir.2024.04.014</w:t>
        </w:r>
      </w:hyperlink>
    </w:p>
    <w:bookmarkEnd w:id="136"/>
    <w:bookmarkStart w:id="138" w:name="ref-huynhphan2024"/>
    <w:p>
      <w:pPr>
        <w:pStyle w:val="Bibliography"/>
      </w:pPr>
      <w:r>
        <w:t xml:space="preserve">Huynh, J., &amp; Phan, T. M. H. (2024). Uncertainty in banking and debt financing of firms in vietnam.</w:t>
      </w:r>
      <w:r>
        <w:t xml:space="preserve"> </w:t>
      </w:r>
      <w:r>
        <w:rPr>
          <w:i/>
          <w:iCs/>
        </w:rPr>
        <w:t xml:space="preserve">PLOS ONE</w:t>
      </w:r>
      <w:r>
        <w:t xml:space="preserve">,</w:t>
      </w:r>
      <w:r>
        <w:t xml:space="preserve"> </w:t>
      </w:r>
      <w:r>
        <w:rPr>
          <w:i/>
          <w:iCs/>
        </w:rPr>
        <w:t xml:space="preserve">19</w:t>
      </w:r>
      <w:r>
        <w:t xml:space="preserve">(7), e0305724.</w:t>
      </w:r>
      <w:r>
        <w:t xml:space="preserve"> </w:t>
      </w:r>
      <w:hyperlink r:id="rId137">
        <w:r>
          <w:rPr>
            <w:rStyle w:val="Hyperlink"/>
          </w:rPr>
          <w:t xml:space="preserve">https://doi.org/10.1371/journal.pone.0305724</w:t>
        </w:r>
      </w:hyperlink>
    </w:p>
    <w:bookmarkEnd w:id="138"/>
    <w:bookmarkStart w:id="140" w:name="ref-ippolito2018"/>
    <w:p>
      <w:pPr>
        <w:pStyle w:val="Bibliography"/>
      </w:pPr>
      <w:r>
        <w:t xml:space="preserve">Ippolito, F., Ozdagli, A. K., &amp; Perez-Orive, A. (2018). The transmission of monetary policy through bank lending: The floating rate channel.</w:t>
      </w:r>
      <w:r>
        <w:t xml:space="preserve"> </w:t>
      </w:r>
      <w:r>
        <w:rPr>
          <w:i/>
          <w:iCs/>
        </w:rPr>
        <w:t xml:space="preserve">Journal of Monetary Economics</w:t>
      </w:r>
      <w:r>
        <w:t xml:space="preserve">,</w:t>
      </w:r>
      <w:r>
        <w:t xml:space="preserve"> </w:t>
      </w:r>
      <w:r>
        <w:rPr>
          <w:i/>
          <w:iCs/>
        </w:rPr>
        <w:t xml:space="preserve">95</w:t>
      </w:r>
      <w:r>
        <w:t xml:space="preserve">, 49–71.</w:t>
      </w:r>
      <w:r>
        <w:t xml:space="preserve"> </w:t>
      </w:r>
      <w:hyperlink r:id="rId139">
        <w:r>
          <w:rPr>
            <w:rStyle w:val="Hyperlink"/>
          </w:rPr>
          <w:t xml:space="preserve">https://doi.org/10.1016/j.jmoneco.2018.02.001</w:t>
        </w:r>
      </w:hyperlink>
    </w:p>
    <w:bookmarkEnd w:id="140"/>
    <w:bookmarkStart w:id="141" w:name="ref-jeenas2019"/>
    <w:p>
      <w:pPr>
        <w:pStyle w:val="Bibliography"/>
      </w:pPr>
      <w:r>
        <w:t xml:space="preserve">Jeenas, P. (2019).</w:t>
      </w:r>
      <w:r>
        <w:t xml:space="preserve"> </w:t>
      </w:r>
      <w:r>
        <w:rPr>
          <w:i/>
          <w:iCs/>
        </w:rPr>
        <w:t xml:space="preserve">Firm balance sheet liquidity, monetary policy shocks, and investment dynamics</w:t>
      </w:r>
      <w:r>
        <w:t xml:space="preserve"> </w:t>
      </w:r>
      <w:r>
        <w:t xml:space="preserve">[Working Paper]. Universitat Pompeu Fabra.</w:t>
      </w:r>
    </w:p>
    <w:bookmarkEnd w:id="141"/>
    <w:bookmarkStart w:id="142" w:name="ref-jungherr2024"/>
    <w:p>
      <w:pPr>
        <w:pStyle w:val="Bibliography"/>
      </w:pPr>
      <w:r>
        <w:t xml:space="preserve">Jungherr, J., Meier, M., Reinelt, T., &amp; Schott, I. (2024).</w:t>
      </w:r>
      <w:r>
        <w:t xml:space="preserve"> </w:t>
      </w:r>
      <w:r>
        <w:rPr>
          <w:i/>
          <w:iCs/>
        </w:rPr>
        <w:t xml:space="preserve">Corporate debt maturity matters for monetary policy</w:t>
      </w:r>
      <w:r>
        <w:t xml:space="preserve"> </w:t>
      </w:r>
      <w:r>
        <w:t xml:space="preserve">(International Finance Discussion Papers No. 1402). Board of Governors of the Federal Reserve System.</w:t>
      </w:r>
    </w:p>
    <w:bookmarkEnd w:id="142"/>
    <w:bookmarkStart w:id="144" w:name="ref-kalemli2016"/>
    <w:p>
      <w:pPr>
        <w:pStyle w:val="Bibliography"/>
      </w:pPr>
      <w:r>
        <w:t xml:space="preserve">Kalemli-Ozcan, S., Kamil, H., &amp; Villegas-Sanchez, C. (2016). What hinders investment in the aftermath of financial crises: Insolvent firms or illiquid banks?</w:t>
      </w:r>
      <w:r>
        <w:t xml:space="preserve"> </w:t>
      </w:r>
      <w:r>
        <w:rPr>
          <w:i/>
          <w:iCs/>
        </w:rPr>
        <w:t xml:space="preserve">Review of Economics and Statistics</w:t>
      </w:r>
      <w:r>
        <w:t xml:space="preserve">,</w:t>
      </w:r>
      <w:r>
        <w:t xml:space="preserve"> </w:t>
      </w:r>
      <w:r>
        <w:rPr>
          <w:i/>
          <w:iCs/>
        </w:rPr>
        <w:t xml:space="preserve">98</w:t>
      </w:r>
      <w:r>
        <w:t xml:space="preserve">(4), 756–769.</w:t>
      </w:r>
      <w:r>
        <w:t xml:space="preserve"> </w:t>
      </w:r>
      <w:hyperlink r:id="rId143">
        <w:r>
          <w:rPr>
            <w:rStyle w:val="Hyperlink"/>
          </w:rPr>
          <w:t xml:space="preserve">https://doi.org/10.1162/REST_a_00590</w:t>
        </w:r>
      </w:hyperlink>
    </w:p>
    <w:bookmarkEnd w:id="144"/>
    <w:bookmarkStart w:id="146" w:name="ref-karakoc2022"/>
    <w:p>
      <w:pPr>
        <w:pStyle w:val="Bibliography"/>
      </w:pPr>
      <w:r>
        <w:t xml:space="preserve">Karakoç, B. (2022). Corporate growth – trade credit relationship: Evidence from a panel of countries.</w:t>
      </w:r>
      <w:r>
        <w:t xml:space="preserve"> </w:t>
      </w:r>
      <w:r>
        <w:rPr>
          <w:i/>
          <w:iCs/>
        </w:rPr>
        <w:t xml:space="preserve">Borsa Istanbul Review</w:t>
      </w:r>
      <w:r>
        <w:t xml:space="preserve">,</w:t>
      </w:r>
      <w:r>
        <w:t xml:space="preserve"> </w:t>
      </w:r>
      <w:r>
        <w:rPr>
          <w:i/>
          <w:iCs/>
        </w:rPr>
        <w:t xml:space="preserve">22</w:t>
      </w:r>
      <w:r>
        <w:t xml:space="preserve">(1), 156–168.</w:t>
      </w:r>
      <w:r>
        <w:t xml:space="preserve"> </w:t>
      </w:r>
      <w:hyperlink r:id="rId145">
        <w:r>
          <w:rPr>
            <w:rStyle w:val="Hyperlink"/>
          </w:rPr>
          <w:t xml:space="preserve">https://doi.org/10.1016/j.bir.2021.03.004</w:t>
        </w:r>
      </w:hyperlink>
    </w:p>
    <w:bookmarkEnd w:id="146"/>
    <w:bookmarkStart w:id="148" w:name="ref-kashyap2000"/>
    <w:p>
      <w:pPr>
        <w:pStyle w:val="Bibliography"/>
      </w:pPr>
      <w:r>
        <w:t xml:space="preserve">Kashyap, A. K., &amp; Stein, J. C. (2000). What do a million observations on banks say about the transmission of monetary policy?</w:t>
      </w:r>
      <w:r>
        <w:t xml:space="preserve"> </w:t>
      </w:r>
      <w:r>
        <w:rPr>
          <w:i/>
          <w:iCs/>
        </w:rPr>
        <w:t xml:space="preserve">American Economic Review</w:t>
      </w:r>
      <w:r>
        <w:t xml:space="preserve">,</w:t>
      </w:r>
      <w:r>
        <w:t xml:space="preserve"> </w:t>
      </w:r>
      <w:r>
        <w:rPr>
          <w:i/>
          <w:iCs/>
        </w:rPr>
        <w:t xml:space="preserve">90</w:t>
      </w:r>
      <w:r>
        <w:t xml:space="preserve">(3), 407–428.</w:t>
      </w:r>
      <w:r>
        <w:t xml:space="preserve"> </w:t>
      </w:r>
      <w:hyperlink r:id="rId147">
        <w:r>
          <w:rPr>
            <w:rStyle w:val="Hyperlink"/>
          </w:rPr>
          <w:t xml:space="preserve">https://doi.org/10.1257/aer.90.3.407</w:t>
        </w:r>
      </w:hyperlink>
    </w:p>
    <w:bookmarkEnd w:id="148"/>
    <w:bookmarkStart w:id="150" w:name="ref-konchitchki2011"/>
    <w:p>
      <w:pPr>
        <w:pStyle w:val="Bibliography"/>
      </w:pPr>
      <w:r>
        <w:t xml:space="preserve">Konchitchki, Y. (2011). Inflation and nominal financial reporting: Implications for performance and stock prices.</w:t>
      </w:r>
      <w:r>
        <w:t xml:space="preserve"> </w:t>
      </w:r>
      <w:r>
        <w:rPr>
          <w:i/>
          <w:iCs/>
        </w:rPr>
        <w:t xml:space="preserve">The Accounting Review</w:t>
      </w:r>
      <w:r>
        <w:t xml:space="preserve">,</w:t>
      </w:r>
      <w:r>
        <w:t xml:space="preserve"> </w:t>
      </w:r>
      <w:r>
        <w:rPr>
          <w:i/>
          <w:iCs/>
        </w:rPr>
        <w:t xml:space="preserve">86</w:t>
      </w:r>
      <w:r>
        <w:t xml:space="preserve">(3), 1045–1085.</w:t>
      </w:r>
      <w:r>
        <w:t xml:space="preserve"> </w:t>
      </w:r>
      <w:hyperlink r:id="rId149">
        <w:r>
          <w:rPr>
            <w:rStyle w:val="Hyperlink"/>
          </w:rPr>
          <w:t xml:space="preserve">https://doi.org/10.2308/accr.00000044</w:t>
        </w:r>
      </w:hyperlink>
    </w:p>
    <w:bookmarkEnd w:id="150"/>
    <w:bookmarkStart w:id="152" w:name="ref-ottonello2020"/>
    <w:p>
      <w:pPr>
        <w:pStyle w:val="Bibliography"/>
      </w:pPr>
      <w:r>
        <w:t xml:space="preserve">Ottonello, P., &amp; Winberry, T. (2020). Financial heterogeneity and the investment channel of monetary policy.</w:t>
      </w:r>
      <w:r>
        <w:t xml:space="preserve"> </w:t>
      </w:r>
      <w:r>
        <w:rPr>
          <w:i/>
          <w:iCs/>
        </w:rPr>
        <w:t xml:space="preserve">Econometrica</w:t>
      </w:r>
      <w:r>
        <w:t xml:space="preserve">,</w:t>
      </w:r>
      <w:r>
        <w:t xml:space="preserve"> </w:t>
      </w:r>
      <w:r>
        <w:rPr>
          <w:i/>
          <w:iCs/>
        </w:rPr>
        <w:t xml:space="preserve">88</w:t>
      </w:r>
      <w:r>
        <w:t xml:space="preserve">(6), 2473–2502.</w:t>
      </w:r>
      <w:r>
        <w:t xml:space="preserve"> </w:t>
      </w:r>
      <w:hyperlink r:id="rId151">
        <w:r>
          <w:rPr>
            <w:rStyle w:val="Hyperlink"/>
          </w:rPr>
          <w:t xml:space="preserve">https://doi.org/10.3982/ECTA15949</w:t>
        </w:r>
      </w:hyperlink>
    </w:p>
    <w:bookmarkEnd w:id="152"/>
    <w:bookmarkStart w:id="154" w:name="ref-ozdagli2018"/>
    <w:p>
      <w:pPr>
        <w:pStyle w:val="Bibliography"/>
      </w:pPr>
      <w:r>
        <w:t xml:space="preserve">Ozdagli, A. K. (2018). Financial frictions and the stock price reaction to monetary policy.</w:t>
      </w:r>
      <w:r>
        <w:t xml:space="preserve"> </w:t>
      </w:r>
      <w:r>
        <w:rPr>
          <w:i/>
          <w:iCs/>
        </w:rPr>
        <w:t xml:space="preserve">The Review of Financial Studies</w:t>
      </w:r>
      <w:r>
        <w:t xml:space="preserve">,</w:t>
      </w:r>
      <w:r>
        <w:t xml:space="preserve"> </w:t>
      </w:r>
      <w:r>
        <w:rPr>
          <w:i/>
          <w:iCs/>
        </w:rPr>
        <w:t xml:space="preserve">31</w:t>
      </w:r>
      <w:r>
        <w:t xml:space="preserve">(10), 3895–3936.</w:t>
      </w:r>
      <w:r>
        <w:t xml:space="preserve"> </w:t>
      </w:r>
      <w:hyperlink r:id="rId153">
        <w:r>
          <w:rPr>
            <w:rStyle w:val="Hyperlink"/>
          </w:rPr>
          <w:t xml:space="preserve">https://doi.org/10.1093/rfs/hhx106</w:t>
        </w:r>
      </w:hyperlink>
    </w:p>
    <w:bookmarkEnd w:id="154"/>
    <w:bookmarkStart w:id="156" w:name="ref-pagan1984"/>
    <w:p>
      <w:pPr>
        <w:pStyle w:val="Bibliography"/>
      </w:pPr>
      <w:r>
        <w:t xml:space="preserve">Pagan, A. (1984). Econometric issues in the analysis of regressions with generated regressors.</w:t>
      </w:r>
      <w:r>
        <w:t xml:space="preserve"> </w:t>
      </w:r>
      <w:r>
        <w:rPr>
          <w:i/>
          <w:iCs/>
        </w:rPr>
        <w:t xml:space="preserve">International Economic Review</w:t>
      </w:r>
      <w:r>
        <w:t xml:space="preserve">,</w:t>
      </w:r>
      <w:r>
        <w:t xml:space="preserve"> </w:t>
      </w:r>
      <w:r>
        <w:rPr>
          <w:i/>
          <w:iCs/>
        </w:rPr>
        <w:t xml:space="preserve">25</w:t>
      </w:r>
      <w:r>
        <w:t xml:space="preserve">(1), 221–247.</w:t>
      </w:r>
      <w:r>
        <w:t xml:space="preserve"> </w:t>
      </w:r>
      <w:hyperlink r:id="rId155">
        <w:r>
          <w:rPr>
            <w:rStyle w:val="Hyperlink"/>
          </w:rPr>
          <w:t xml:space="preserve">https://doi.org/10.2307/2648877</w:t>
        </w:r>
      </w:hyperlink>
    </w:p>
    <w:bookmarkEnd w:id="156"/>
    <w:bookmarkStart w:id="158" w:name="ref-petersen2009"/>
    <w:p>
      <w:pPr>
        <w:pStyle w:val="Bibliography"/>
      </w:pPr>
      <w:r>
        <w:t xml:space="preserve">Petersen, M. A. (2009). Estimating standard errors in finance panel data sets: Comparing approaches.</w:t>
      </w:r>
      <w:r>
        <w:t xml:space="preserve"> </w:t>
      </w:r>
      <w:r>
        <w:rPr>
          <w:i/>
          <w:iCs/>
        </w:rPr>
        <w:t xml:space="preserve">The Review of Financial Studies</w:t>
      </w:r>
      <w:r>
        <w:t xml:space="preserve">,</w:t>
      </w:r>
      <w:r>
        <w:t xml:space="preserve"> </w:t>
      </w:r>
      <w:r>
        <w:rPr>
          <w:i/>
          <w:iCs/>
        </w:rPr>
        <w:t xml:space="preserve">22</w:t>
      </w:r>
      <w:r>
        <w:t xml:space="preserve">(1), 435–480.</w:t>
      </w:r>
      <w:r>
        <w:t xml:space="preserve"> </w:t>
      </w:r>
      <w:hyperlink r:id="rId157">
        <w:r>
          <w:rPr>
            <w:rStyle w:val="Hyperlink"/>
          </w:rPr>
          <w:t xml:space="preserve">https://doi.org/10.1093/rfs/hhn053</w:t>
        </w:r>
      </w:hyperlink>
    </w:p>
    <w:bookmarkEnd w:id="158"/>
    <w:bookmarkStart w:id="160" w:name="ref-roth2022"/>
    <w:p>
      <w:pPr>
        <w:pStyle w:val="Bibliography"/>
      </w:pPr>
      <w:r>
        <w:t xml:space="preserve">Roth, J. (2022). Pretest with caution: Event-study estimates after testing for parallel trends.</w:t>
      </w:r>
      <w:r>
        <w:t xml:space="preserve"> </w:t>
      </w:r>
      <w:r>
        <w:rPr>
          <w:i/>
          <w:iCs/>
        </w:rPr>
        <w:t xml:space="preserve">American Economic Review: Insights</w:t>
      </w:r>
      <w:r>
        <w:t xml:space="preserve">,</w:t>
      </w:r>
      <w:r>
        <w:t xml:space="preserve"> </w:t>
      </w:r>
      <w:r>
        <w:rPr>
          <w:i/>
          <w:iCs/>
        </w:rPr>
        <w:t xml:space="preserve">4</w:t>
      </w:r>
      <w:r>
        <w:t xml:space="preserve">(3), 305–322.</w:t>
      </w:r>
      <w:r>
        <w:t xml:space="preserve"> </w:t>
      </w:r>
      <w:hyperlink r:id="rId159">
        <w:r>
          <w:rPr>
            <w:rStyle w:val="Hyperlink"/>
          </w:rPr>
          <w:t xml:space="preserve">https://doi.org/10.1257/aeri.20210236</w:t>
        </w:r>
      </w:hyperlink>
    </w:p>
    <w:bookmarkEnd w:id="160"/>
    <w:bookmarkStart w:id="161" w:name="ref-salomaovarela2022"/>
    <w:p>
      <w:pPr>
        <w:pStyle w:val="Bibliography"/>
      </w:pPr>
      <w:r>
        <w:t xml:space="preserve">Salomao, J., &amp; Varela, L. (2022). Exchange rate exposure and firm dynamics.</w:t>
      </w:r>
      <w:r>
        <w:t xml:space="preserve"> </w:t>
      </w:r>
      <w:r>
        <w:rPr>
          <w:i/>
          <w:iCs/>
        </w:rPr>
        <w:t xml:space="preserve">Review of Economic Studies</w:t>
      </w:r>
      <w:r>
        <w:t xml:space="preserve">,</w:t>
      </w:r>
      <w:r>
        <w:t xml:space="preserve"> </w:t>
      </w:r>
      <w:r>
        <w:rPr>
          <w:i/>
          <w:iCs/>
        </w:rPr>
        <w:t xml:space="preserve">89</w:t>
      </w:r>
      <w:r>
        <w:t xml:space="preserve">(1), 481–514.</w:t>
      </w:r>
    </w:p>
    <w:bookmarkEnd w:id="161"/>
    <w:bookmarkStart w:id="163" w:name="ref-sengul2026"/>
    <w:p>
      <w:pPr>
        <w:pStyle w:val="Bibliography"/>
      </w:pPr>
      <w:r>
        <w:t xml:space="preserve">Şengül, A., &amp; Çinko, L. (2026). Monetary tightening and corporate default risk: Evidence from floating-rate debt exposure.</w:t>
      </w:r>
      <w:r>
        <w:t xml:space="preserve"> </w:t>
      </w:r>
      <w:r>
        <w:rPr>
          <w:i/>
          <w:iCs/>
        </w:rPr>
        <w:t xml:space="preserve">Borsa Istanbul Review</w:t>
      </w:r>
      <w:r>
        <w:t xml:space="preserve">,</w:t>
      </w:r>
      <w:r>
        <w:t xml:space="preserve"> </w:t>
      </w:r>
      <w:r>
        <w:rPr>
          <w:i/>
          <w:iCs/>
        </w:rPr>
        <w:t xml:space="preserve">26</w:t>
      </w:r>
      <w:r>
        <w:t xml:space="preserve">(4), 100837.</w:t>
      </w:r>
      <w:r>
        <w:t xml:space="preserve"> </w:t>
      </w:r>
      <w:hyperlink r:id="rId162">
        <w:r>
          <w:rPr>
            <w:rStyle w:val="Hyperlink"/>
          </w:rPr>
          <w:t xml:space="preserve">https://doi.org/10.1016/j.bir.2026.100837</w:t>
        </w:r>
      </w:hyperlink>
    </w:p>
    <w:bookmarkEnd w:id="163"/>
    <w:bookmarkStart w:id="165" w:name="ref-sugozu2025"/>
    <w:p>
      <w:pPr>
        <w:pStyle w:val="Bibliography"/>
      </w:pPr>
      <w:r>
        <w:t xml:space="preserve">Sugozu, I. H., Verberi, C., &amp; Yasar, S. (2025). Machine learning approaches to credit risk: Evaluating turkish participation and conventional banks.</w:t>
      </w:r>
      <w:r>
        <w:t xml:space="preserve"> </w:t>
      </w:r>
      <w:r>
        <w:rPr>
          <w:i/>
          <w:iCs/>
        </w:rPr>
        <w:t xml:space="preserve">Borsa Istanbul Review</w:t>
      </w:r>
      <w:r>
        <w:t xml:space="preserve">,</w:t>
      </w:r>
      <w:r>
        <w:t xml:space="preserve"> </w:t>
      </w:r>
      <w:r>
        <w:rPr>
          <w:i/>
          <w:iCs/>
        </w:rPr>
        <w:t xml:space="preserve">25</w:t>
      </w:r>
      <w:r>
        <w:t xml:space="preserve">(3), 497–512.</w:t>
      </w:r>
      <w:r>
        <w:t xml:space="preserve"> </w:t>
      </w:r>
      <w:hyperlink r:id="rId164">
        <w:r>
          <w:rPr>
            <w:rStyle w:val="Hyperlink"/>
          </w:rPr>
          <w:t xml:space="preserve">https://doi.org/10.1016/j.bir.2025.02.001</w:t>
        </w:r>
      </w:hyperlink>
    </w:p>
    <w:bookmarkEnd w:id="165"/>
    <w:bookmarkStart w:id="167" w:name="ref-sun2021"/>
    <w:p>
      <w:pPr>
        <w:pStyle w:val="Bibliography"/>
      </w:pPr>
      <w:r>
        <w:t xml:space="preserve">Sun, L., &amp; Abraham, S. (2021). Estimating dynamic treatment effects in event studies with heterogeneous treatment effects.</w:t>
      </w:r>
      <w:r>
        <w:t xml:space="preserve"> </w:t>
      </w:r>
      <w:r>
        <w:rPr>
          <w:i/>
          <w:iCs/>
        </w:rPr>
        <w:t xml:space="preserve">Journal of Econometrics</w:t>
      </w:r>
      <w:r>
        <w:t xml:space="preserve">,</w:t>
      </w:r>
      <w:r>
        <w:t xml:space="preserve"> </w:t>
      </w:r>
      <w:r>
        <w:rPr>
          <w:i/>
          <w:iCs/>
        </w:rPr>
        <w:t xml:space="preserve">225</w:t>
      </w:r>
      <w:r>
        <w:t xml:space="preserve">(2), 175–199.</w:t>
      </w:r>
      <w:r>
        <w:t xml:space="preserve"> </w:t>
      </w:r>
      <w:hyperlink r:id="rId166">
        <w:r>
          <w:rPr>
            <w:rStyle w:val="Hyperlink"/>
          </w:rPr>
          <w:t xml:space="preserve">https://doi.org/10.1016/j.jeconom.2020.09.006</w:t>
        </w:r>
      </w:hyperlink>
    </w:p>
    <w:bookmarkEnd w:id="167"/>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Four further markets were</w:t>
      </w:r>
      <w:r>
        <w:t xml:space="preserve"> </w:t>
      </w:r>
      <w:r>
        <w:t xml:space="preserve">assembled on the same basis during scoping and are not carried into the</w:t>
      </w:r>
      <w:r>
        <w:t xml:space="preserve"> </w:t>
      </w:r>
      <w:r>
        <w:t xml:space="preserve">reported five-country test, and we name all four rather than a convenient</w:t>
      </w:r>
      <w:r>
        <w:t xml:space="preserve"> </w:t>
      </w:r>
      <w:r>
        <w:t xml:space="preserve">subset. Chile (7.25pp dose, 80 firms) sits squarely on the same dose-response</w:t>
      </w:r>
      <w:r>
        <w:t xml:space="preserve"> </w:t>
      </w:r>
      <w:r>
        <w:t xml:space="preserve">line as the five reported countries; its exclusion is for parsimony alone.</w:t>
      </w:r>
      <w:r>
        <w:t xml:space="preserve"> </w:t>
      </w:r>
      <w:r>
        <w:t xml:space="preserve">Brazil (5.75pp dose, 215 firms) is the one clear outlier in the full assembled</w:t>
      </w:r>
      <w:r>
        <w:t xml:space="preserve"> </w:t>
      </w:r>
      <w:r>
        <w:t xml:space="preserve">set, with a change in implied borrowing cost of only 0.48 percentage points</w:t>
      </w:r>
      <w:r>
        <w:t xml:space="preserve"> </w:t>
      </w:r>
      <w:r>
        <w:t xml:space="preserve">against a pass-through ratio roughly a quarter of every other country’s—</w:t>
      </w:r>
      <w:r>
        <w:t xml:space="preserve"> </w:t>
      </w:r>
      <w:r>
        <w:t xml:space="preserve">0.48/5.75 against a range of 0.16 to 0.62 elsewhere. We report this so the</w:t>
      </w:r>
      <w:r>
        <w:t xml:space="preserve"> </w:t>
      </w:r>
      <w:r>
        <w:t xml:space="preserve">reader can judge for themselves: the five-country correlation below is not</w:t>
      </w:r>
      <w:r>
        <w:t xml:space="preserve"> </w:t>
      </w:r>
      <w:r>
        <w:t xml:space="preserve">conditioned on having found and discarded an inconvenient point after the</w:t>
      </w:r>
      <w:r>
        <w:t xml:space="preserve"> </w:t>
      </w:r>
      <w:r>
        <w:t xml:space="preserve">fact, but its absence should be read as a reduction in scope, not as evidence</w:t>
      </w:r>
      <w:r>
        <w:t xml:space="preserve"> </w:t>
      </w:r>
      <w:r>
        <w:t xml:space="preserve">that Brazil disproves the pattern. Hungary (24 firms) and Mexico (19 firms)</w:t>
      </w:r>
      <w:r>
        <w:t xml:space="preserve"> </w:t>
      </w:r>
      <w:r>
        <w:t xml:space="preserve">were excluded for the reason given in the text: samples thinner than the</w:t>
      </w:r>
      <w:r>
        <w:t xml:space="preserve"> </w:t>
      </w:r>
      <w:r>
        <w:t xml:space="preserve">83-firm Turkish sample already shown, in Section 5.4, to produce</w:t>
      </w:r>
      <w:r>
        <w:t xml:space="preserve"> </w:t>
      </w:r>
      <w:r>
        <w:t xml:space="preserve">a false positive before the sample expanded. A sixth market, Thailand, was</w:t>
      </w:r>
      <w:r>
        <w:t xml:space="preserve"> </w:t>
      </w:r>
      <w:r>
        <w:t xml:space="preserve">attempted on the same basis and yielded no usable data at all—every ticker</w:t>
      </w:r>
      <w:r>
        <w:t xml:space="preserve"> </w:t>
      </w:r>
      <w:r>
        <w:t xml:space="preserve">returned an empty statement, evidently a data-vendor outage rather than a</w:t>
      </w:r>
      <w:r>
        <w:t xml:space="preserve"> </w:t>
      </w:r>
      <w:r>
        <w:t xml:space="preserve">substantive gap—and is recorded here for completeness rather than omitted</w:t>
      </w:r>
      <w:r>
        <w:t xml:space="preserve"> </w:t>
      </w:r>
      <w:r>
        <w:t xml:space="preserve">from the account of what was tried.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56" Target="media/rId56.png" /><Relationship Type="http://schemas.openxmlformats.org/officeDocument/2006/relationships/image" Id="rId40" Target="media/rId40.png" /><Relationship Type="http://schemas.openxmlformats.org/officeDocument/2006/relationships/hyperlink" Id="rId129" Target="https://doi.org/10.1016/0304-4076(86)90058-8" TargetMode="External" /><Relationship Type="http://schemas.openxmlformats.org/officeDocument/2006/relationships/hyperlink" Id="rId113" Target="https://doi.org/10.1016/S0304-405X(99)00039-2" TargetMode="External" /><Relationship Type="http://schemas.openxmlformats.org/officeDocument/2006/relationships/hyperlink" Id="rId85" Target="https://doi.org/10.1016/S1061-9518(99)00016-6" TargetMode="External" /><Relationship Type="http://schemas.openxmlformats.org/officeDocument/2006/relationships/hyperlink" Id="rId93" Target="https://doi.org/10.1016/S1573-4412(01)05012-7" TargetMode="External" /><Relationship Type="http://schemas.openxmlformats.org/officeDocument/2006/relationships/hyperlink" Id="rId145" Target="https://doi.org/10.1016/j.bir.2021.03.004" TargetMode="External" /><Relationship Type="http://schemas.openxmlformats.org/officeDocument/2006/relationships/hyperlink" Id="rId101" Target="https://doi.org/10.1016/j.bir.2021.04.008" TargetMode="External" /><Relationship Type="http://schemas.openxmlformats.org/officeDocument/2006/relationships/hyperlink" Id="rId105" Target="https://doi.org/10.1016/j.bir.2023.01.009" TargetMode="External" /><Relationship Type="http://schemas.openxmlformats.org/officeDocument/2006/relationships/hyperlink" Id="rId89" Target="https://doi.org/10.1016/j.bir.2023.12.008" TargetMode="External" /><Relationship Type="http://schemas.openxmlformats.org/officeDocument/2006/relationships/hyperlink" Id="rId135" Target="https://doi.org/10.1016/j.bir.2024.04.014" TargetMode="External" /><Relationship Type="http://schemas.openxmlformats.org/officeDocument/2006/relationships/hyperlink" Id="rId164" Target="https://doi.org/10.1016/j.bir.2025.02.001" TargetMode="External" /><Relationship Type="http://schemas.openxmlformats.org/officeDocument/2006/relationships/hyperlink" Id="rId77" Target="https://doi.org/10.1016/j.bir.2025.100774" TargetMode="External" /><Relationship Type="http://schemas.openxmlformats.org/officeDocument/2006/relationships/hyperlink" Id="rId162" Target="https://doi.org/10.1016/j.bir.2026.100837" TargetMode="External" /><Relationship Type="http://schemas.openxmlformats.org/officeDocument/2006/relationships/hyperlink" Id="rId81" Target="https://doi.org/10.1016/j.ememar.2005.09.007" TargetMode="External" /><Relationship Type="http://schemas.openxmlformats.org/officeDocument/2006/relationships/hyperlink" Id="rId75" Target="https://doi.org/10.1016/j.jdeveco.2004.06.012" TargetMode="External" /><Relationship Type="http://schemas.openxmlformats.org/officeDocument/2006/relationships/hyperlink" Id="rId166" Target="https://doi.org/10.1016/j.jeconom.2020.09.006" TargetMode="External" /><Relationship Type="http://schemas.openxmlformats.org/officeDocument/2006/relationships/hyperlink" Id="rId99" Target="https://doi.org/10.1016/j.jeconom.2020.12.001" TargetMode="External" /><Relationship Type="http://schemas.openxmlformats.org/officeDocument/2006/relationships/hyperlink" Id="rId123" Target="https://doi.org/10.1016/j.jeconom.2021.03.014" TargetMode="External" /><Relationship Type="http://schemas.openxmlformats.org/officeDocument/2006/relationships/hyperlink" Id="rId83" Target="https://doi.org/10.1016/j.jimonfin.2018.08.008" TargetMode="External" /><Relationship Type="http://schemas.openxmlformats.org/officeDocument/2006/relationships/hyperlink" Id="rId95" Target="https://doi.org/10.1016/j.jmoneco.2014.11.011" TargetMode="External" /><Relationship Type="http://schemas.openxmlformats.org/officeDocument/2006/relationships/hyperlink" Id="rId139" Target="https://doi.org/10.1016/j.jmoneco.2018.02.001" TargetMode="External" /><Relationship Type="http://schemas.openxmlformats.org/officeDocument/2006/relationships/hyperlink" Id="rId107" Target="https://doi.org/10.1093/jeea/jvad009" TargetMode="External" /><Relationship Type="http://schemas.openxmlformats.org/officeDocument/2006/relationships/hyperlink" Id="rId97" Target="https://doi.org/10.1093/restud/rdu042" TargetMode="External" /><Relationship Type="http://schemas.openxmlformats.org/officeDocument/2006/relationships/hyperlink" Id="rId115" Target="https://doi.org/10.1093/rfs/hhac001" TargetMode="External" /><Relationship Type="http://schemas.openxmlformats.org/officeDocument/2006/relationships/hyperlink" Id="rId157" Target="https://doi.org/10.1093/rfs/hhn053" TargetMode="External" /><Relationship Type="http://schemas.openxmlformats.org/officeDocument/2006/relationships/hyperlink" Id="rId153" Target="https://doi.org/10.1093/rfs/hhx106" TargetMode="External" /><Relationship Type="http://schemas.openxmlformats.org/officeDocument/2006/relationships/hyperlink" Id="rId125" Target="https://doi.org/10.1111/1475-679X.00008" TargetMode="External" /><Relationship Type="http://schemas.openxmlformats.org/officeDocument/2006/relationships/hyperlink" Id="rId111" Target="https://doi.org/10.1111/j.1475-679X.2011.00415.x" TargetMode="External" /><Relationship Type="http://schemas.openxmlformats.org/officeDocument/2006/relationships/hyperlink" Id="rId133" Target="https://doi.org/10.1111/j.1540-6261.2012.01721.x" TargetMode="External" /><Relationship Type="http://schemas.openxmlformats.org/officeDocument/2006/relationships/hyperlink" Id="rId73" Target="https://doi.org/10.1111/jofi.13342" TargetMode="External" /><Relationship Type="http://schemas.openxmlformats.org/officeDocument/2006/relationships/hyperlink" Id="rId143" Target="https://doi.org/10.1162/REST_a_00590" TargetMode="External" /><Relationship Type="http://schemas.openxmlformats.org/officeDocument/2006/relationships/hyperlink" Id="rId91" Target="https://doi.org/10.1162/rest.90.4.612" TargetMode="External" /><Relationship Type="http://schemas.openxmlformats.org/officeDocument/2006/relationships/hyperlink" Id="rId103" Target="https://doi.org/10.1257/aer.20181169" TargetMode="External" /><Relationship Type="http://schemas.openxmlformats.org/officeDocument/2006/relationships/hyperlink" Id="rId147" Target="https://doi.org/10.1257/aer.90.3.407" TargetMode="External" /><Relationship Type="http://schemas.openxmlformats.org/officeDocument/2006/relationships/hyperlink" Id="rId159" Target="https://doi.org/10.1257/aeri.20210236" TargetMode="External" /><Relationship Type="http://schemas.openxmlformats.org/officeDocument/2006/relationships/hyperlink" Id="rId131" Target="https://doi.org/10.1257/jep.15.4.57" TargetMode="External" /><Relationship Type="http://schemas.openxmlformats.org/officeDocument/2006/relationships/hyperlink" Id="rId87" Target="https://doi.org/10.1257/jep.9.4.27" TargetMode="External" /><Relationship Type="http://schemas.openxmlformats.org/officeDocument/2006/relationships/hyperlink" Id="rId137" Target="https://doi.org/10.1371/journal.pone.0305724" TargetMode="External" /><Relationship Type="http://schemas.openxmlformats.org/officeDocument/2006/relationships/hyperlink" Id="rId79" Target="https://doi.org/10.1561/104.00000001" TargetMode="External" /><Relationship Type="http://schemas.openxmlformats.org/officeDocument/2006/relationships/hyperlink" Id="rId127" Target="https://doi.org/10.2139/ssrn.3535221" TargetMode="External" /><Relationship Type="http://schemas.openxmlformats.org/officeDocument/2006/relationships/hyperlink" Id="rId121" Target="https://doi.org/10.2307/2118465" TargetMode="External" /><Relationship Type="http://schemas.openxmlformats.org/officeDocument/2006/relationships/hyperlink" Id="rId155" Target="https://doi.org/10.2307/2648877" TargetMode="External" /><Relationship Type="http://schemas.openxmlformats.org/officeDocument/2006/relationships/hyperlink" Id="rId149" Target="https://doi.org/10.2308/accr.00000044" TargetMode="External" /><Relationship Type="http://schemas.openxmlformats.org/officeDocument/2006/relationships/hyperlink" Id="rId109" Target="https://doi.org/10.2308/jiar.2005.4.1.1" TargetMode="External" /><Relationship Type="http://schemas.openxmlformats.org/officeDocument/2006/relationships/hyperlink" Id="rId118" Target="https://doi.org/10.3386/w10036" TargetMode="External" /><Relationship Type="http://schemas.openxmlformats.org/officeDocument/2006/relationships/hyperlink" Id="rId151" Target="https://doi.org/10.3982/ECTA15949" TargetMode="External" /></Relationships>
</file>

<file path=word/_rels/footnotes.xml.rels><?xml version="1.0" encoding="UTF-8"?><Relationships xmlns="http://schemas.openxmlformats.org/package/2006/relationships"><Relationship Type="http://schemas.openxmlformats.org/officeDocument/2006/relationships/hyperlink" Id="rId129" Target="https://doi.org/10.1016/0304-4076(86)90058-8" TargetMode="External" /><Relationship Type="http://schemas.openxmlformats.org/officeDocument/2006/relationships/hyperlink" Id="rId113" Target="https://doi.org/10.1016/S0304-405X(99)00039-2" TargetMode="External" /><Relationship Type="http://schemas.openxmlformats.org/officeDocument/2006/relationships/hyperlink" Id="rId85" Target="https://doi.org/10.1016/S1061-9518(99)00016-6" TargetMode="External" /><Relationship Type="http://schemas.openxmlformats.org/officeDocument/2006/relationships/hyperlink" Id="rId93" Target="https://doi.org/10.1016/S1573-4412(01)05012-7" TargetMode="External" /><Relationship Type="http://schemas.openxmlformats.org/officeDocument/2006/relationships/hyperlink" Id="rId145" Target="https://doi.org/10.1016/j.bir.2021.03.004" TargetMode="External" /><Relationship Type="http://schemas.openxmlformats.org/officeDocument/2006/relationships/hyperlink" Id="rId101" Target="https://doi.org/10.1016/j.bir.2021.04.008" TargetMode="External" /><Relationship Type="http://schemas.openxmlformats.org/officeDocument/2006/relationships/hyperlink" Id="rId105" Target="https://doi.org/10.1016/j.bir.2023.01.009" TargetMode="External" /><Relationship Type="http://schemas.openxmlformats.org/officeDocument/2006/relationships/hyperlink" Id="rId89" Target="https://doi.org/10.1016/j.bir.2023.12.008" TargetMode="External" /><Relationship Type="http://schemas.openxmlformats.org/officeDocument/2006/relationships/hyperlink" Id="rId135" Target="https://doi.org/10.1016/j.bir.2024.04.014" TargetMode="External" /><Relationship Type="http://schemas.openxmlformats.org/officeDocument/2006/relationships/hyperlink" Id="rId164" Target="https://doi.org/10.1016/j.bir.2025.02.001" TargetMode="External" /><Relationship Type="http://schemas.openxmlformats.org/officeDocument/2006/relationships/hyperlink" Id="rId77" Target="https://doi.org/10.1016/j.bir.2025.100774" TargetMode="External" /><Relationship Type="http://schemas.openxmlformats.org/officeDocument/2006/relationships/hyperlink" Id="rId162" Target="https://doi.org/10.1016/j.bir.2026.100837" TargetMode="External" /><Relationship Type="http://schemas.openxmlformats.org/officeDocument/2006/relationships/hyperlink" Id="rId81" Target="https://doi.org/10.1016/j.ememar.2005.09.007" TargetMode="External" /><Relationship Type="http://schemas.openxmlformats.org/officeDocument/2006/relationships/hyperlink" Id="rId75" Target="https://doi.org/10.1016/j.jdeveco.2004.06.012" TargetMode="External" /><Relationship Type="http://schemas.openxmlformats.org/officeDocument/2006/relationships/hyperlink" Id="rId166" Target="https://doi.org/10.1016/j.jeconom.2020.09.006" TargetMode="External" /><Relationship Type="http://schemas.openxmlformats.org/officeDocument/2006/relationships/hyperlink" Id="rId99" Target="https://doi.org/10.1016/j.jeconom.2020.12.001" TargetMode="External" /><Relationship Type="http://schemas.openxmlformats.org/officeDocument/2006/relationships/hyperlink" Id="rId123" Target="https://doi.org/10.1016/j.jeconom.2021.03.014" TargetMode="External" /><Relationship Type="http://schemas.openxmlformats.org/officeDocument/2006/relationships/hyperlink" Id="rId83" Target="https://doi.org/10.1016/j.jimonfin.2018.08.008" TargetMode="External" /><Relationship Type="http://schemas.openxmlformats.org/officeDocument/2006/relationships/hyperlink" Id="rId95" Target="https://doi.org/10.1016/j.jmoneco.2014.11.011" TargetMode="External" /><Relationship Type="http://schemas.openxmlformats.org/officeDocument/2006/relationships/hyperlink" Id="rId139" Target="https://doi.org/10.1016/j.jmoneco.2018.02.001" TargetMode="External" /><Relationship Type="http://schemas.openxmlformats.org/officeDocument/2006/relationships/hyperlink" Id="rId107" Target="https://doi.org/10.1093/jeea/jvad009" TargetMode="External" /><Relationship Type="http://schemas.openxmlformats.org/officeDocument/2006/relationships/hyperlink" Id="rId97" Target="https://doi.org/10.1093/restud/rdu042" TargetMode="External" /><Relationship Type="http://schemas.openxmlformats.org/officeDocument/2006/relationships/hyperlink" Id="rId115" Target="https://doi.org/10.1093/rfs/hhac001" TargetMode="External" /><Relationship Type="http://schemas.openxmlformats.org/officeDocument/2006/relationships/hyperlink" Id="rId157" Target="https://doi.org/10.1093/rfs/hhn053" TargetMode="External" /><Relationship Type="http://schemas.openxmlformats.org/officeDocument/2006/relationships/hyperlink" Id="rId153" Target="https://doi.org/10.1093/rfs/hhx106" TargetMode="External" /><Relationship Type="http://schemas.openxmlformats.org/officeDocument/2006/relationships/hyperlink" Id="rId125" Target="https://doi.org/10.1111/1475-679X.00008" TargetMode="External" /><Relationship Type="http://schemas.openxmlformats.org/officeDocument/2006/relationships/hyperlink" Id="rId111" Target="https://doi.org/10.1111/j.1475-679X.2011.00415.x" TargetMode="External" /><Relationship Type="http://schemas.openxmlformats.org/officeDocument/2006/relationships/hyperlink" Id="rId133" Target="https://doi.org/10.1111/j.1540-6261.2012.01721.x" TargetMode="External" /><Relationship Type="http://schemas.openxmlformats.org/officeDocument/2006/relationships/hyperlink" Id="rId73" Target="https://doi.org/10.1111/jofi.13342" TargetMode="External" /><Relationship Type="http://schemas.openxmlformats.org/officeDocument/2006/relationships/hyperlink" Id="rId143" Target="https://doi.org/10.1162/REST_a_00590" TargetMode="External" /><Relationship Type="http://schemas.openxmlformats.org/officeDocument/2006/relationships/hyperlink" Id="rId91" Target="https://doi.org/10.1162/rest.90.4.612" TargetMode="External" /><Relationship Type="http://schemas.openxmlformats.org/officeDocument/2006/relationships/hyperlink" Id="rId103" Target="https://doi.org/10.1257/aer.20181169" TargetMode="External" /><Relationship Type="http://schemas.openxmlformats.org/officeDocument/2006/relationships/hyperlink" Id="rId147" Target="https://doi.org/10.1257/aer.90.3.407" TargetMode="External" /><Relationship Type="http://schemas.openxmlformats.org/officeDocument/2006/relationships/hyperlink" Id="rId159" Target="https://doi.org/10.1257/aeri.20210236" TargetMode="External" /><Relationship Type="http://schemas.openxmlformats.org/officeDocument/2006/relationships/hyperlink" Id="rId131" Target="https://doi.org/10.1257/jep.15.4.57" TargetMode="External" /><Relationship Type="http://schemas.openxmlformats.org/officeDocument/2006/relationships/hyperlink" Id="rId87" Target="https://doi.org/10.1257/jep.9.4.27" TargetMode="External" /><Relationship Type="http://schemas.openxmlformats.org/officeDocument/2006/relationships/hyperlink" Id="rId137" Target="https://doi.org/10.1371/journal.pone.0305724" TargetMode="External" /><Relationship Type="http://schemas.openxmlformats.org/officeDocument/2006/relationships/hyperlink" Id="rId79" Target="https://doi.org/10.1561/104.00000001" TargetMode="External" /><Relationship Type="http://schemas.openxmlformats.org/officeDocument/2006/relationships/hyperlink" Id="rId127" Target="https://doi.org/10.2139/ssrn.3535221" TargetMode="External" /><Relationship Type="http://schemas.openxmlformats.org/officeDocument/2006/relationships/hyperlink" Id="rId121" Target="https://doi.org/10.2307/2118465" TargetMode="External" /><Relationship Type="http://schemas.openxmlformats.org/officeDocument/2006/relationships/hyperlink" Id="rId155" Target="https://doi.org/10.2307/2648877" TargetMode="External" /><Relationship Type="http://schemas.openxmlformats.org/officeDocument/2006/relationships/hyperlink" Id="rId149" Target="https://doi.org/10.2308/accr.00000044" TargetMode="External" /><Relationship Type="http://schemas.openxmlformats.org/officeDocument/2006/relationships/hyperlink" Id="rId109" Target="https://doi.org/10.2308/jiar.2005.4.1.1" TargetMode="External" /><Relationship Type="http://schemas.openxmlformats.org/officeDocument/2006/relationships/hyperlink" Id="rId118" Target="https://doi.org/10.3386/w10036" TargetMode="External" /><Relationship Type="http://schemas.openxmlformats.org/officeDocument/2006/relationships/hyperlink" Id="rId151" Target="https://doi.org/10.3982/ECTA159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Financial Statements Can and Cannot Reveal About Monetary Transmission to Corporate Balance Sheets: A Five-Country Emerging-Market Test</dc:title>
  <dc:creator/>
  <cp:keywords/>
  <dcterms:created xsi:type="dcterms:W3CDTF">2026-08-20T06:18:35Z</dcterms:created>
  <dcterms:modified xsi:type="dcterms:W3CDTF">2026-08-20T06:18:35Z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Firms holding floating-rate debt bear the brunt of monetary tightening—a finding built almost entirely on supervisory credit registries. Most emerging markets have none; they have published financial statements. Can these substitute? We develop a measurement framework in which exposure is estimated rather than observed, and test its predictions on harmonised panels of listed non-financial firms in five emerging markets—Türkiye, Vietnam, Poland, Israel and South Korea—over 2010–2025 (2021–2025 for the latter three), spanning tightening doses from Türkiye’s 36.0 percentage points to Vietnam’s 1.5. The price of debt proves recoverable: a simple implied borrowing cost tracks each country’s policy path, and its change tracks tightening dose across the sample—a pattern we read qualitatively given only five countries—with pass-through of roughly one-third in Türkiye and coverage halving. Exposure does not. Split-half reliabilities of +0.045 and +0.054 in the two countries with decade-long history are indistinguishable from zero, implying an attenuation factor of essentially zero, Türkiye’s inflation-accounting restatement enters as an exposure-by-post interaction fixed effects cannot absorb, and pooling all five countries the exposure-by-dose interaction is null on interest coverage and profitability (p=0.84, p=0.41) while significant only on the price measure already shown to move with dose mechanically. The contractual object these designs require is absent from the accounting record.</vt:lpwstr>
  </property>
  <property fmtid="{D5CDD505-2E9C-101B-9397-08002B2CF9AE}" pid="3" name="bibliography">
    <vt:lpwstr/>
  </property>
  <property fmtid="{D5CDD505-2E9C-101B-9397-08002B2CF9AE}" pid="4" name="csl">
    <vt:lpwstr>apa.csl</vt:lpwstr>
  </property>
</Properties>
</file>