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left"/>
      </w:pPr>
      <w:r>
        <w:rPr>
          <w:b/>
          <w:sz w:val="28"/>
        </w:rPr>
        <w:t>Highlights</w:t>
      </w:r>
    </w:p>
    <w:p>
      <w:pPr>
        <w:spacing w:after="240"/>
      </w:pPr>
      <w:r>
        <w:t>A physics-exact credit decomposition for distributed flutter suppression, and the exploration scale that hides it</w:t>
      </w:r>
    </w:p>
    <w:p>
      <w:pPr>
        <w:pStyle w:val="ListBullet"/>
        <w:spacing w:after="120"/>
      </w:pPr>
      <w:r>
        <w:t>Physics-exact, closed-form credit signal for multi-agent flutter control.</w:t>
      </w:r>
    </w:p>
    <w:p>
      <w:pPr>
        <w:pStyle w:val="ListBullet"/>
        <w:spacing w:after="120"/>
      </w:pPr>
      <w:r>
        <w:t>Combination beats the credit alone; beating shaping alone is retracted.</w:t>
      </w:r>
    </w:p>
    <w:p>
      <w:pPr>
        <w:pStyle w:val="ListBullet"/>
        <w:spacing w:after="120"/>
      </w:pPr>
      <w:r>
        <w:t>Value-decomposition and naive baselines are less reliable, not just worse.</w:t>
      </w:r>
    </w:p>
    <w:p>
      <w:pPr>
        <w:pStyle w:val="ListBullet"/>
        <w:spacing w:after="120"/>
      </w:pPr>
      <w:r>
        <w:t>Credit signal's most fragile mode tolerates only 11% identification error.</w:t>
      </w:r>
    </w:p>
    <w:p>
      <w:pPr>
        <w:pStyle w:val="ListBullet"/>
        <w:spacing w:after="120"/>
      </w:pPr>
      <w:r>
        <w:t>Classical baseline's envelope-edge fragility is structural, not a tuning gap.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