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b/>
          <w:sz w:val="28"/>
        </w:rPr>
        <w:t>Highlights</w:t>
      </w:r>
    </w:p>
    <w:p>
      <w:pPr>
        <w:spacing w:after="240"/>
      </w:pPr>
      <w:r>
        <w:rPr>
          <w:i/>
        </w:rPr>
        <w:t>What limits reinforcement learning for distributed flutter suppression, and the credit structure that helps</w:t>
      </w:r>
    </w:p>
    <w:p>
      <w:pPr>
        <w:pStyle w:val="ListBullet"/>
        <w:spacing w:after="120"/>
      </w:pPr>
      <w:r>
        <w:t>Physics-exact, closed-form credit signal for multi-agent flutter control.</w:t>
      </w:r>
    </w:p>
    <w:p>
      <w:pPr>
        <w:pStyle w:val="ListBullet"/>
        <w:spacing w:after="120"/>
      </w:pPr>
      <w:r>
        <w:t>Per-agent control power, energy-normalised, verified additive to 10^-10.</w:t>
      </w:r>
    </w:p>
    <w:p>
      <w:pPr>
        <w:pStyle w:val="ListBullet"/>
        <w:spacing w:after="120"/>
      </w:pPr>
      <w:r>
        <w:t>Credit signal plus log-energy shaping beats either alone (d=-2.70, p=0.002).</w:t>
      </w:r>
    </w:p>
    <w:p>
      <w:pPr>
        <w:pStyle w:val="ListBullet"/>
        <w:spacing w:after="120"/>
      </w:pPr>
      <w:r>
        <w:t>Exploration scale, not architecture or communication, gates visible gains.</w:t>
      </w:r>
    </w:p>
    <w:p>
      <w:pPr>
        <w:pStyle w:val="ListBullet"/>
        <w:spacing w:after="120"/>
      </w:pPr>
      <w:r>
        <w:t>Matching exploration to actuation amplitude changes performance two-fold.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