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media/image4.png" ContentType="image/jpeg"/>
  <Override PartName="/word/media/image5.png" ContentType="image/jpe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6BE35A5">
      <w:pPr>
        <w:pStyle w:val="385"/>
        <w:rPr>
          <w:sz w:val="20"/>
          <w:szCs w:val="20"/>
        </w:rPr>
      </w:pPr>
      <w:r>
        <w:rPr>
          <w:sz w:val="20"/>
          <w:szCs w:val="20"/>
        </w:rPr>
        <w:t>Received: d month yyyy | Revised: d month yyyy | Accepted: d month yyyy | Published online: d month yyyy</w:t>
      </w:r>
    </w:p>
    <w:p w14:paraId="1CC66CF7">
      <w:pPr>
        <w:pStyle w:val="385"/>
        <w:spacing w:after="0"/>
        <w:jc w:val="both"/>
        <w:rPr>
          <w:sz w:val="20"/>
          <w:szCs w:val="20"/>
        </w:rPr>
      </w:pPr>
    </w:p>
    <w:p w14:paraId="68A57891">
      <w:pPr>
        <w:pStyle w:val="385"/>
        <w:spacing w:after="0"/>
        <w:jc w:val="both"/>
        <w:sectPr>
          <w:footerReference r:id="rId6" w:type="first"/>
          <w:headerReference r:id="rId4" w:type="default"/>
          <w:footerReference r:id="rId5" w:type="default"/>
          <w:pgSz w:w="12240" w:h="15840"/>
          <w:pgMar w:top="1440" w:right="1440" w:bottom="1440" w:left="1440" w:header="709" w:footer="709" w:gutter="0"/>
          <w:cols w:space="708" w:num="1"/>
          <w:titlePg/>
          <w:docGrid w:linePitch="360" w:charSpace="0"/>
        </w:sectPr>
      </w:pPr>
    </w:p>
    <w:p w14:paraId="335CFF48">
      <w:pPr>
        <w:pStyle w:val="385"/>
        <w:spacing w:after="0"/>
        <w:jc w:val="left"/>
        <w:rPr>
          <w:rFonts w:eastAsia="宋体"/>
          <w:b/>
          <w:bCs/>
          <w:sz w:val="24"/>
          <w:szCs w:val="24"/>
          <w:lang w:eastAsia="zh-CN"/>
        </w:rPr>
      </w:pPr>
      <w:r>
        <w:t>RESEARCH ARTICLE</w:t>
      </w:r>
    </w:p>
    <w:p w14:paraId="209AA8A9">
      <w:pPr>
        <w:pStyle w:val="385"/>
        <w:spacing w:after="0"/>
        <w:jc w:val="left"/>
        <w:rPr>
          <w:rFonts w:eastAsia="宋体"/>
          <w:b/>
          <w:bCs/>
          <w:sz w:val="24"/>
          <w:szCs w:val="24"/>
          <w:lang w:eastAsia="zh-CN"/>
        </w:rPr>
      </w:pPr>
    </w:p>
    <w:p w14:paraId="11D3C100">
      <w:pPr>
        <w:pStyle w:val="385"/>
        <w:spacing w:after="0"/>
        <w:jc w:val="left"/>
        <w:rPr>
          <w:b/>
          <w:bCs/>
          <w:sz w:val="28"/>
          <w:szCs w:val="28"/>
        </w:rPr>
      </w:pPr>
      <w:r>
        <w:t>CAPS: Compositional Attack Path Scoring for LLM Deployment Stacks</w:t>
      </w:r>
    </w:p>
    <w:p w14:paraId="6F7D8FC1">
      <w:pPr>
        <w:pStyle w:val="385"/>
        <w:jc w:val="left"/>
      </w:pPr>
    </w:p>
    <w:p w14:paraId="4D22C267">
      <w:pPr>
        <w:pStyle w:val="385"/>
        <w:spacing w:after="0"/>
        <w:jc w:val="left"/>
      </w:pPr>
    </w:p>
    <w:p w14:paraId="76FB40C8">
      <w:pPr>
        <w:pStyle w:val="385"/>
        <w:jc w:val="right"/>
        <w:rPr>
          <w:rFonts w:hint="eastAsia" w:eastAsia="宋体"/>
          <w:sz w:val="16"/>
          <w:szCs w:val="16"/>
          <w:lang w:val="en-US" w:eastAsia="zh-CN"/>
        </w:rPr>
      </w:pPr>
      <w:r>
        <w:rPr>
          <w:rFonts w:hint="eastAsia" w:eastAsia="宋体"/>
          <w:sz w:val="16"/>
          <w:szCs w:val="16"/>
          <w:lang w:val="en-US" w:eastAsia="zh-CN"/>
        </w:rPr>
        <w:t>Artificial Intelligence and Applications</w:t>
      </w:r>
    </w:p>
    <w:p w14:paraId="0DB13988">
      <w:pPr>
        <w:pStyle w:val="385"/>
        <w:jc w:val="right"/>
        <w:rPr>
          <w:sz w:val="16"/>
          <w:szCs w:val="16"/>
        </w:rPr>
      </w:pPr>
      <w:r>
        <w:rPr>
          <w:sz w:val="16"/>
          <w:szCs w:val="16"/>
        </w:rPr>
        <w:t>yyyy, Vol. XX(XX) 1–5</w:t>
      </w:r>
    </w:p>
    <w:p w14:paraId="7E3D1F2B">
      <w:pPr>
        <w:pStyle w:val="385"/>
        <w:jc w:val="right"/>
        <w:rPr>
          <w:rFonts w:eastAsia="宋体"/>
          <w:sz w:val="16"/>
          <w:szCs w:val="16"/>
          <w:lang w:eastAsia="zh-CN"/>
        </w:rPr>
      </w:pPr>
      <w:r>
        <w:rPr>
          <w:sz w:val="16"/>
          <w:szCs w:val="16"/>
        </w:rPr>
        <w:t xml:space="preserve">DOI: </w:t>
      </w:r>
      <w:r>
        <w:rPr>
          <w:color w:val="0070C0"/>
          <w:sz w:val="16"/>
          <w:szCs w:val="16"/>
        </w:rPr>
        <w:t>10.47852/bonview</w:t>
      </w:r>
      <w:r>
        <w:rPr>
          <w:rFonts w:hint="eastAsia" w:eastAsia="宋体"/>
          <w:color w:val="0070C0"/>
          <w:sz w:val="16"/>
          <w:szCs w:val="16"/>
          <w:lang w:val="en-US" w:eastAsia="zh-CN"/>
        </w:rPr>
        <w:t>AIA</w:t>
      </w:r>
      <w:r>
        <w:rPr>
          <w:rFonts w:eastAsia="宋体"/>
          <w:color w:val="0070C0"/>
          <w:sz w:val="16"/>
          <w:szCs w:val="16"/>
          <w:lang w:eastAsia="zh-CN"/>
        </w:rPr>
        <w:t>XXXXXXXX</w:t>
      </w:r>
    </w:p>
    <w:p w14:paraId="774E4666">
      <w:pPr>
        <w:pStyle w:val="385"/>
        <w:spacing w:after="0"/>
        <w:jc w:val="right"/>
        <w:sectPr>
          <w:type w:val="continuous"/>
          <w:pgSz w:w="12240" w:h="15840"/>
          <w:pgMar w:top="1440" w:right="1440" w:bottom="1440" w:left="1440" w:header="709" w:footer="709" w:gutter="0"/>
          <w:cols w:space="708" w:num="2"/>
          <w:docGrid w:linePitch="360" w:charSpace="0"/>
        </w:sectPr>
      </w:pPr>
      <w:r>
        <w:rPr>
          <w:rFonts w:eastAsia="宋体"/>
          <w:sz w:val="16"/>
          <w:szCs w:val="16"/>
          <w:lang w:eastAsia="zh-CN"/>
        </w:rPr>
        <w:drawing>
          <wp:inline distT="0" distB="0" distL="114300" distR="114300">
            <wp:extent cx="905510" cy="607695"/>
            <wp:effectExtent l="0" t="0" r="0" b="0"/>
            <wp:docPr id="4" name="图片 4" descr="Bonv_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Bonv_Png"/>
                    <pic:cNvPicPr>
                      <a:picLocks noChangeAspect="1"/>
                    </pic:cNvPicPr>
                  </pic:nvPicPr>
                  <pic:blipFill>
                    <a:blip r:embed="rId8"/>
                    <a:srcRect t="31309" r="10986" b="26481"/>
                    <a:stretch>
                      <a:fillRect/>
                    </a:stretch>
                  </pic:blipFill>
                  <pic:spPr>
                    <a:xfrm>
                      <a:off x="0" y="0"/>
                      <a:ext cx="905510" cy="607695"/>
                    </a:xfrm>
                    <a:prstGeom prst="rect">
                      <a:avLst/>
                    </a:prstGeom>
                  </pic:spPr>
                </pic:pic>
              </a:graphicData>
            </a:graphic>
          </wp:inline>
        </w:drawing>
      </w:r>
    </w:p>
    <w:p w14:paraId="738E3403">
      <w:pPr>
        <w:pStyle w:val="386"/>
        <w:spacing w:before="0" w:after="0"/>
        <w:jc w:val="left"/>
        <w:rPr>
          <w:sz w:val="18"/>
        </w:rPr>
      </w:pPr>
      <w:r>
        <w:rPr>
          <w:sz w:val="18"/>
          <w:lang w:eastAsia="zh-CN"/>
        </w:rPr>
        <mc:AlternateContent>
          <mc:Choice Requires="wps">
            <w:drawing>
              <wp:anchor distT="0" distB="0" distL="114300" distR="114300" simplePos="0" relativeHeight="251660288" behindDoc="0" locked="0" layoutInCell="1" allowOverlap="1">
                <wp:simplePos x="0" y="0"/>
                <wp:positionH relativeFrom="column">
                  <wp:posOffset>2540</wp:posOffset>
                </wp:positionH>
                <wp:positionV relativeFrom="paragraph">
                  <wp:posOffset>116205</wp:posOffset>
                </wp:positionV>
                <wp:extent cx="5951855" cy="6350"/>
                <wp:effectExtent l="0" t="0" r="0" b="0"/>
                <wp:wrapNone/>
                <wp:docPr id="5" name="直接连接符 5"/>
                <wp:cNvGraphicFramePr/>
                <a:graphic xmlns:a="http://schemas.openxmlformats.org/drawingml/2006/main">
                  <a:graphicData uri="http://schemas.microsoft.com/office/word/2010/wordprocessingShape">
                    <wps:wsp>
                      <wps:cNvCnPr/>
                      <wps:spPr>
                        <a:xfrm>
                          <a:off x="0" y="0"/>
                          <a:ext cx="5951855" cy="6350"/>
                        </a:xfrm>
                        <a:prstGeom prst="line">
                          <a:avLst/>
                        </a:prstGeom>
                        <a:ln w="9525"/>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id="_x0000_s1026" o:spid="_x0000_s1026" o:spt="20" style="position:absolute;left:0pt;margin-left:0.2pt;margin-top:9.15pt;height:0.5pt;width:468.65pt;z-index:251660288;mso-width-relative:page;mso-height-relative:page;" filled="f" stroked="t" coordsize="21600,21600" o:gfxdata="UEsDBAoAAAAAAIdO4kAAAAAAAAAAAAAAAAAEAAAAZHJzL1BLAwQUAAAACACHTuJA85wE9NUAAAAG&#10;AQAADwAAAGRycy9kb3ducmV2LnhtbE2Oy07DMBBF90j8gzVI7KjTBtE2xKlUpKxAVE1hwc6Np0kg&#10;Hqe2++DvGVbt8j5078kXZ9uLI/rQOVIwHiUgkGpnOmoUfGzKhxmIEDUZ3TtCBb8YYFHc3uQ6M+5E&#10;azxWsRE8QiHTCtoYh0zKULdodRi5AYmznfNWR5a+kcbrE4/bXk6S5Ela3RE/tHrAlxbrn+pgFezw&#10;/fM1eNy/7VfLr7Jafdum3Ch1fzdOnkFEPMdLGf7xGR0KZtq6A5kgegWP3GN3loLgdJ5OpyC2bMxT&#10;kEUur/GLP1BLAwQUAAAACACHTuJAZRzLPeUBAAC0AwAADgAAAGRycy9lMm9Eb2MueG1srVNLbtsw&#10;EN0XyB0I7mvZLhQ4guUsYiSbojXQ9gA0RUkE+MMMY9mX6AUKdNeuuuy+t2l6jA4px/l0k0W1oIbz&#10;ecP3OFxe7q1hOwWovav5bDLlTDnpG+26mn/6eP16wRlG4RphvFM1Pyjkl6uzV8shVGrue28aBYxA&#10;HFZDqHkfY6iKAmWvrMCJD8pRsPVgRaQtdEUDYiB0a4r5dHpeDB6aAF4qRPKuxyA/IsJLAH3baqnW&#10;Xt5a5eKICsqISJSw1wH5Kp+2bZWM79sWVWSm5sQ05pWakL1Na7FaiqoDEXotj0cQLznCM05WaEdN&#10;T1BrEQW7Bf0PlNUSPPo2TqS3xUgkK0IsZtNn2nzoRVCZC0mN4SQ6/j9Y+W63AaabmpecOWHpwu++&#10;/Pz9+dufX19pvfvxnZVJpCFgRblXbgPHHYYNJMb7Fmz6Exe2z8IeTsKqfWSSnOVFOVuU1EFS7PxN&#10;mXUvHmoDYLxR3rJk1Nxol2iLSuzeYqR+lHqfktzOX2tj8tUZx4aaX5TzBC5oHFsaAzJtIEroOs6E&#10;6WjOZYSMiN7oJlUnHIRue2WA7USajvwlrtTtSVpqvRbYj3k5NM6N1ZGegtG25ovH1cYRSFJs1ChZ&#10;W98csnTZT5eZ2xwHL03L432ufnhsq79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BTBAAAW0NvbnRlbnRfVHlwZXNdLnhtbFBLAQIUAAoAAAAAAIdO&#10;4kAAAAAAAAAAAAAAAAAGAAAAAAAAAAAAEAAAADUDAABfcmVscy9QSwECFAAUAAAACACHTuJAihRm&#10;PNEAAACUAQAACwAAAAAAAAABACAAAABZAwAAX3JlbHMvLnJlbHNQSwECFAAKAAAAAACHTuJAAAAA&#10;AAAAAAAAAAAABAAAAAAAAAAAABAAAAAAAAAAZHJzL1BLAQIUABQAAAAIAIdO4kDznAT01QAAAAYB&#10;AAAPAAAAAAAAAAEAIAAAACIAAABkcnMvZG93bnJldi54bWxQSwECFAAUAAAACACHTuJAZRzLPeUB&#10;AAC0AwAADgAAAAAAAAABACAAAAAkAQAAZHJzL2Uyb0RvYy54bWxQSwUGAAAAAAYABgBZAQAAewUA&#10;AAAA&#10;">
                <v:fill on="f" focussize="0,0"/>
                <v:stroke color="#000000 [3200]" miterlimit="8" joinstyle="miter"/>
                <v:imagedata o:title=""/>
                <o:lock v:ext="edit" aspectratio="f"/>
              </v:line>
            </w:pict>
          </mc:Fallback>
        </mc:AlternateContent>
      </w:r>
    </w:p>
    <w:p w14:paraId="0A13645F">
      <w:pPr>
        <w:pStyle w:val="386"/>
        <w:spacing w:before="0" w:after="0"/>
        <w:jc w:val="left"/>
        <w:rPr>
          <w:sz w:val="18"/>
        </w:rPr>
      </w:pPr>
    </w:p>
    <w:p w14:paraId="3E4893AA">
      <w:pPr>
        <w:pStyle w:val="386"/>
        <w:spacing w:before="0" w:after="0"/>
        <w:jc w:val="left"/>
        <w:rPr>
          <w:b/>
          <w:sz w:val="15"/>
          <w:szCs w:val="15"/>
        </w:rPr>
      </w:pPr>
      <w:r>
        <w:t>Quang-Vinh Dang</w:t>
      </w:r>
      <w:r>
        <w:rPr>
          <w:vertAlign w:val="superscript"/>
        </w:rPr>
        <w:t>1</w:t>
      </w:r>
      <w:r>
        <w:t>, Hoang-Viet Vu</w:t>
      </w:r>
      <w:r>
        <w:rPr>
          <w:vertAlign w:val="superscript"/>
        </w:rPr>
        <w:t>1</w:t>
      </w:r>
      <w:r>
        <w:t>, Ngoc-Son-An Nguyen</w:t>
      </w:r>
      <w:r>
        <w:rPr>
          <w:vertAlign w:val="superscript"/>
        </w:rPr>
        <w:t>2</w:t>
      </w:r>
      <w:r>
        <w:t>, Minh Ngoc Dinh</w:t>
      </w:r>
      <w:r>
        <w:rPr>
          <w:vertAlign w:val="superscript"/>
        </w:rPr>
        <w:t>3</w:t>
      </w:r>
      <w:r>
        <w:t xml:space="preserve"> and Dat Le</w:t>
      </w:r>
      <w:r>
        <w:rPr>
          <w:vertAlign w:val="superscript"/>
        </w:rPr>
        <w:t>4,</w:t>
      </w:r>
      <w:r>
        <w:rPr>
          <w:vertAlign w:val="superscript"/>
        </w:rPr>
        <w:t>*</w:t>
      </w:r>
    </w:p>
    <w:p w14:paraId="6B35E02B">
      <w:pPr>
        <w:pStyle w:val="387"/>
        <w:jc w:val="left"/>
        <w:rPr>
          <w:i/>
        </w:rPr>
      </w:pPr>
      <w:r>
        <w:rPr>
          <w:vertAlign w:val="superscript"/>
        </w:rPr>
        <w:t>1</w:t>
      </w:r>
      <w:r>
        <w:t xml:space="preserve"> British University Vietnam, Hung Yen, Vietnam, 160000</w:t>
      </w:r>
    </w:p>
    <w:p w14:paraId="7C461F5F">
      <w:pPr>
        <w:pStyle w:val="387"/>
        <w:jc w:val="left"/>
        <w:rPr>
          <w:i/>
        </w:rPr>
      </w:pPr>
      <w:r>
        <w:rPr>
          <w:vertAlign w:val="superscript"/>
        </w:rPr>
        <w:t>2</w:t>
      </w:r>
      <w:r>
        <w:t xml:space="preserve"> Industrial University of Ho Chi Minh City, Ho Chi Minh City, Vietnam, 84000</w:t>
      </w:r>
    </w:p>
    <w:p w14:paraId="37A5CDC3">
      <w:pPr>
        <w:pStyle w:val="387"/>
        <w:jc w:val="left"/>
        <w:rPr>
          <w:rFonts w:hint="eastAsia" w:eastAsia="宋体"/>
          <w:i/>
          <w:lang w:val="en-US" w:eastAsia="zh-CN"/>
        </w:rPr>
      </w:pPr>
      <w:r>
        <w:rPr>
          <w:vertAlign w:val="superscript"/>
        </w:rPr>
        <w:t>3</w:t>
      </w:r>
      <w:r>
        <w:t xml:space="preserve"> Millennia Education, Ho Chi Minh City, Vietnam, 84000</w:t>
      </w:r>
    </w:p>
    <w:p w14:paraId="37A5CDC3">
      <w:pPr>
        <w:pStyle w:val="387"/>
        <w:jc w:val="left"/>
        <w:rPr>
          <w:rFonts w:hint="eastAsia" w:eastAsia="宋体"/>
          <w:i/>
          <w:lang w:val="en-US" w:eastAsia="zh-CN"/>
        </w:rPr>
      </w:pPr>
      <w:r>
        <w:rPr>
          <w:vertAlign w:val="superscript"/>
        </w:rPr>
        <w:t>4</w:t>
      </w:r>
      <w:r>
        <w:t xml:space="preserve"> University of Economics and Finance, Ho Chi Minh City, Vietnam, 84000</w:t>
      </w:r>
    </w:p>
    <w:p w14:paraId="2230DA0B">
      <w:pPr>
        <w:autoSpaceDE w:val="0"/>
        <w:autoSpaceDN w:val="0"/>
        <w:adjustRightInd w:val="0"/>
        <w:spacing w:after="0"/>
        <w:rPr>
          <w:rStyle w:val="215"/>
          <w:rFonts w:cs="Times New Roman"/>
          <w:sz w:val="15"/>
          <w:szCs w:val="15"/>
          <w:lang w:bidi="ar-SA"/>
        </w:rPr>
      </w:pPr>
      <w:r>
        <w:t>*Corresponding author: Dat Le, University of Economics and Finance, Ho Chi Minh City, Vietnam. Email: datla@uef.edu.vn</w:t>
      </w:r>
    </w:p>
    <w:p w14:paraId="5F9E29A6">
      <w:pPr>
        <w:autoSpaceDE w:val="0"/>
        <w:autoSpaceDN w:val="0"/>
        <w:adjustRightInd w:val="0"/>
        <w:spacing w:after="0"/>
        <w:rPr>
          <w:rStyle w:val="215"/>
          <w:rFonts w:cs="Times New Roman"/>
          <w:sz w:val="15"/>
          <w:szCs w:val="15"/>
          <w:lang w:bidi="ar-SA"/>
        </w:rPr>
      </w:pPr>
    </w:p>
    <w:p w14:paraId="79854208">
      <w:pPr>
        <w:pStyle w:val="235"/>
        <w:spacing w:after="0"/>
        <w:ind w:left="0"/>
        <w:rPr>
          <w:rFonts w:cs="Times New Roman"/>
          <w:b/>
          <w:sz w:val="18"/>
        </w:rPr>
      </w:pPr>
      <w:r>
        <w:rPr>
          <w:sz w:val="18"/>
          <w:lang w:eastAsia="zh-CN"/>
        </w:rPr>
        <mc:AlternateContent>
          <mc:Choice Requires="wps">
            <w:drawing>
              <wp:anchor distT="0" distB="0" distL="114300" distR="114300" simplePos="0" relativeHeight="251659264" behindDoc="0" locked="0" layoutInCell="1" allowOverlap="1">
                <wp:simplePos x="0" y="0"/>
                <wp:positionH relativeFrom="column">
                  <wp:posOffset>-4445</wp:posOffset>
                </wp:positionH>
                <wp:positionV relativeFrom="paragraph">
                  <wp:posOffset>56515</wp:posOffset>
                </wp:positionV>
                <wp:extent cx="5963920" cy="8890"/>
                <wp:effectExtent l="0" t="0" r="0" b="0"/>
                <wp:wrapNone/>
                <wp:docPr id="3" name="直接连接符 3"/>
                <wp:cNvGraphicFramePr/>
                <a:graphic xmlns:a="http://schemas.openxmlformats.org/drawingml/2006/main">
                  <a:graphicData uri="http://schemas.microsoft.com/office/word/2010/wordprocessingShape">
                    <wps:wsp>
                      <wps:cNvCnPr/>
                      <wps:spPr>
                        <a:xfrm>
                          <a:off x="922020" y="3848735"/>
                          <a:ext cx="5963920" cy="8890"/>
                        </a:xfrm>
                        <a:prstGeom prst="line">
                          <a:avLst/>
                        </a:prstGeom>
                        <a:ln w="3175"/>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id="_x0000_s1026" o:spid="_x0000_s1026" o:spt="20" style="position:absolute;left:0pt;margin-left:-0.35pt;margin-top:4.45pt;height:0.7pt;width:469.6pt;z-index:251659264;mso-width-relative:page;mso-height-relative:page;" filled="f" stroked="t" coordsize="21600,21600" o:gfxdata="UEsDBAoAAAAAAIdO4kAAAAAAAAAAAAAAAAAEAAAAZHJzL1BLAwQUAAAACACHTuJA8MWTotMAAAAG&#10;AQAADwAAAGRycy9kb3ducmV2LnhtbE2OwU7DMBBE70j8g7VIXKrWbisgCXGqCok7TSvObryJI+J1&#10;FLtt+HuWExxH8zTzyt3sB3HFKfaBNKxXCgRSE2xPnYbT8X2ZgYjJkDVDINTwjRF21f1daQobbnTA&#10;a506wSMUC6PBpTQWUsbGoTdxFUYk7toweZM4Tp20k7nxuB/kRqln6U1P/ODMiG8Om6/64jXk8+YU&#10;Ptp28en2dY/7hcvq5qD148NavYJIOKc/GH71WR0qdjqHC9koBg3LFwY1ZDkIbvNt9gTizJjagqxK&#10;+V+/+gFQSwMEFAAAAAgAh07iQO742WDxAQAAvwMAAA4AAABkcnMvZTJvRG9jLnhtbK1TzY7TMBC+&#10;I/EOlu80bUp306jpHrZaLggqAQ/gOnZiyX/yeJv2JXgBJG5w4sidt2F5DMZO2d/LHsjBGXvG38z3&#10;zXh1cTCa7EUA5WxDZ5MpJcJy1yrbNfTTx6tXFSUQmW2ZdlY09CiAXqxfvlgNvhal651uRSAIYqEe&#10;fEP7GH1dFMB7YRhMnBcWndIFwyJuQ1e0gQ2IbnRRTqdnxeBC64PjAgBPN6OTnhDDcwCdlIqLjePX&#10;Rtg4ogahWURK0CsPdJ2rlVLw+F5KEJHohiLTmFdMgvYurcV6xeouMN8rfiqBPaeER5wMUxaT3kJt&#10;WGTkOqgnUEbx4MDJOOHOFCORrAiymE0fafOhZ15kLig1+FvR4f/B8nf7bSCqbeicEssMNvzmy8/f&#10;n7/9+fUV15sf38k8iTR4qDH20m7DaQd+GxLjgwwm/ZELOTR0WZbTEtU9ImL1ujqfL0aNxSESjv7F&#10;8my+TAEcI6pqmVtQ3MH4APGNcIYko6Fa2aQAq9n+LURMjaH/QtKxdVdK69xFbcmASWfnCwRnOJkS&#10;JwJN45Ed2I4SpjsceR5DRgSnVZtuJxwI3e5SB7JnaVDyl+rGbA/CUuoNg36My66RnlERX4VWBknd&#10;v60tgiTxRrmStXPtMauYz7GvOc1pBtPg3N/n23fvbv0X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XQQAAFtDb250ZW50X1R5cGVzXS54bWxQSwEC&#10;FAAKAAAAAACHTuJAAAAAAAAAAAAAAAAABgAAAAAAAAAAABAAAAA/AwAAX3JlbHMvUEsBAhQAFAAA&#10;AAgAh07iQIoUZjzRAAAAlAEAAAsAAAAAAAAAAQAgAAAAYwMAAF9yZWxzLy5yZWxzUEsBAhQACgAA&#10;AAAAh07iQAAAAAAAAAAAAAAAAAQAAAAAAAAAAAAQAAAAAAAAAGRycy9QSwECFAAUAAAACACHTuJA&#10;8MWTotMAAAAGAQAADwAAAAAAAAABACAAAAAiAAAAZHJzL2Rvd25yZXYueG1sUEsBAhQAFAAAAAgA&#10;h07iQO742WDxAQAAvwMAAA4AAAAAAAAAAQAgAAAAIgEAAGRycy9lMm9Eb2MueG1sUEsFBgAAAAAG&#10;AAYAWQEAAIUFAAAAAA==&#10;">
                <v:fill on="f" focussize="0,0"/>
                <v:stroke weight="0.25pt" color="#000000 [3200]" miterlimit="8" joinstyle="miter"/>
                <v:imagedata o:title=""/>
                <o:lock v:ext="edit" aspectratio="f"/>
              </v:line>
            </w:pict>
          </mc:Fallback>
        </mc:AlternateContent>
      </w:r>
    </w:p>
    <w:p w14:paraId="3DA83B7C">
      <w:pPr>
        <w:pStyle w:val="235"/>
        <w:snapToGrid w:val="0"/>
        <w:spacing w:after="0"/>
        <w:ind w:left="0" w:right="0"/>
        <w:rPr>
          <w:rFonts w:cs="Times New Roman"/>
          <w:b/>
          <w:sz w:val="18"/>
        </w:rPr>
      </w:pPr>
      <w:r>
        <w:t>Abstract: Evaluating the security posture of Large Language Model (LLM) deployment stacks is a critical challenge in modern artificial intelligence security. Traditional vulnerability management frameworks—such as the Common Vulnerability Scoring System (CVSS) and component-level checklists—critically assume that software components can be evaluated in isolation. In real-world agentic and RAG-based LLM ecosystems, this assumption is systematically violated as attackers exploit complex topologies, chaining seemingly low-risk vulnerabilities (e.g., indirect prompt injection) with downstream tools (e.g., SQL execution) to achieve catastrophic compromises. Naively applying independent scoring methods to deeply integrated LLM stacks yields inflated risk assessments, misaligned mitigation priorities, and a failure to capture compositional attack paths. We propose Compositional Attack Path Scoring (CAPS), a novel security framework specifically engineered to quantify end-to-end multi-hop risks in LLM architectures. CAPS uniquely integrates three synergistic capabilities: (i) directed graph topological modeling, which maps the full deployment stack from attacker entry points to high-value internal assets; (ii) dynamic mitigation attenuation, which calculates the “Effective Exploitability” of individual nodes based on the presence of targeted security guardrails; and (iii) a mathematical compositional path engine that optimizes risk scoring via an explicit exponential decay factor, reflecting the real-world friction of traversing complex trust boundaries. Furthermore, CAPS provides an automated Return on Investment (ROI) recommendation engine to rank mitigation strategies by their systemic risk reduction. Empirical evaluation on a suite of standardized LLM architectures (including RAG Chatbots, Autonomous Coding Agents, and Enterprise Model Routers) demonstrates that CAPS significantly improves risk calibration. Against the Autonomous Agent benchmark, CAPS calculates a realistic critical path score of 51.3, successfully correcting the naive 85.0 overestimation produced by traditional component-level CVSS scoring. CAPS establishes a new, rigorous benchmark for quantitative vulnerability management in complex, agentic LLM environments.</w:t>
      </w:r>
    </w:p>
    <w:p w14:paraId="1DBF567E">
      <w:pPr>
        <w:pStyle w:val="239"/>
        <w:spacing w:before="0" w:after="0" w:line="240" w:lineRule="auto"/>
        <w:rPr>
          <w:rFonts w:cs="Times New Roman"/>
          <w:b/>
          <w:sz w:val="18"/>
        </w:rPr>
      </w:pPr>
    </w:p>
    <w:p w14:paraId="24F0B3D7">
      <w:pPr>
        <w:pStyle w:val="239"/>
        <w:spacing w:before="0" w:after="0" w:line="240" w:lineRule="auto"/>
        <w:rPr>
          <w:rFonts w:cs="Times New Roman"/>
          <w:sz w:val="18"/>
        </w:rPr>
      </w:pPr>
      <w:r>
        <w:t>Keywords: AI Security, Attack Path Analysis, Threat Modeling, Compositional Scoring, Vulnerability Management</w:t>
      </w:r>
    </w:p>
    <w:p w14:paraId="02CD25B5">
      <w:pPr>
        <w:pStyle w:val="239"/>
        <w:spacing w:before="0" w:after="0" w:line="240" w:lineRule="auto"/>
        <w:rPr>
          <w:rFonts w:eastAsia="宋体" w:cs="Times New Roman"/>
          <w:lang w:eastAsia="zh-CN"/>
        </w:rPr>
        <w:sectPr>
          <w:type w:val="continuous"/>
          <w:pgSz w:w="12240" w:h="15840"/>
          <w:pgMar w:top="1440" w:right="1440" w:bottom="1440" w:left="1440" w:header="709" w:footer="709" w:gutter="0"/>
          <w:cols w:space="708" w:num="1"/>
          <w:docGrid w:linePitch="360" w:charSpace="0"/>
        </w:sectPr>
      </w:pPr>
      <w:r>
        <w:rPr>
          <w:sz w:val="18"/>
          <w:lang w:eastAsia="zh-CN"/>
        </w:rPr>
        <mc:AlternateContent>
          <mc:Choice Requires="wps">
            <w:drawing>
              <wp:anchor distT="0" distB="0" distL="114300" distR="114300" simplePos="0" relativeHeight="251661312" behindDoc="0" locked="0" layoutInCell="1" allowOverlap="1">
                <wp:simplePos x="0" y="0"/>
                <wp:positionH relativeFrom="column">
                  <wp:posOffset>-16510</wp:posOffset>
                </wp:positionH>
                <wp:positionV relativeFrom="paragraph">
                  <wp:posOffset>75565</wp:posOffset>
                </wp:positionV>
                <wp:extent cx="5970270" cy="635"/>
                <wp:effectExtent l="0" t="0" r="0" b="0"/>
                <wp:wrapNone/>
                <wp:docPr id="6" name="直接连接符 6"/>
                <wp:cNvGraphicFramePr/>
                <a:graphic xmlns:a="http://schemas.openxmlformats.org/drawingml/2006/main">
                  <a:graphicData uri="http://schemas.microsoft.com/office/word/2010/wordprocessingShape">
                    <wps:wsp>
                      <wps:cNvCnPr/>
                      <wps:spPr>
                        <a:xfrm>
                          <a:off x="0" y="0"/>
                          <a:ext cx="5970270" cy="635"/>
                        </a:xfrm>
                        <a:prstGeom prst="line">
                          <a:avLst/>
                        </a:prstGeom>
                        <a:ln w="3175"/>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id="_x0000_s1026" o:spid="_x0000_s1026" o:spt="20" style="position:absolute;left:0pt;margin-left:-1.3pt;margin-top:5.95pt;height:0.05pt;width:470.1pt;z-index:251661312;mso-width-relative:page;mso-height-relative:page;" filled="f" stroked="t" coordsize="21600,21600" o:gfxdata="UEsDBAoAAAAAAIdO4kAAAAAAAAAAAAAAAAAEAAAAZHJzL1BLAwQUAAAACACHTuJAV1DtqtQAAAAI&#10;AQAADwAAAGRycy9kb3ducmV2LnhtbE2PwU7DMBBE70j8g7VIXKrWTpBKE+JUFRJ3GirObryJI+J1&#10;FLtt+HuWExz3zWh2ptovfhRXnOMQSEO2USCQ2mAH6jWcPt7WOxAxGbJmDIQavjHCvr6/q0xpw42O&#10;eG1SLziEYmk0uJSmUsrYOvQmbsKExFoXZm8Sn3Mv7WxuHO5HmSu1ld4MxB+cmfDVYfvVXLyGYslP&#10;4b3rVp/u0Ax4WLld0x61fnzI1AuIhEv6M8Nvfa4ONXc6hwvZKEYN63zLTuZZAYL14umZwZlBrkDW&#10;lfw/oP4BUEsDBBQAAAAIAIdO4kAVWBtH5QEAALMDAAAOAAAAZHJzL2Uyb0RvYy54bWytU82O0zAQ&#10;viPxDpbvNGlXbZeo6R62Wi4IKgEPMHWcxJL/5PE27UvwAkjc4MSRO2/D8hiMndJdlsseyMEZz8/n&#10;+T6PV1cHo9leBlTO1nw6KTmTVrhG2a7mH97fvLjkDCPYBrSzsuZHifxq/fzZavCVnLne6UYGRiAW&#10;q8HXvI/RV0WBopcGcOK8tBRsXTAQaRu6ogkwELrRxawsF8XgQuODExKRvJsxyE+I4SmArm2VkBsn&#10;bo20cUQNUkMkStgrj3ydu21bKeLbtkUZma45MY15pUPI3qW1WK+g6gL4XolTC/CUFh5xMqAsHXqG&#10;2kAEdhvUP1BGieDQtXEinClGIlkRYjEtH2nzrgcvMxeSGv1ZdPx/sOLNfhuYamq+4MyCoQu/+/T9&#10;58cvv358pvXu21e2SCINHivKvbbbcNqh34bE+NAGk/7EhR2ysMezsPIQmSDn/OWynC1Jc0GxxcU8&#10;IRb3pT5gfCWdYcmouVY2sYYK9q8xjql/UpLbuhulNfmh0pYNNb+YLueEDTSNLU0BmcYTI7QdZ6A7&#10;GnMRQ0ZEp1WTqlMxhm53rQPbQxqO/J0a+ystHb0B7Me8HEppUBkV6SVoZWp++bBaW2KXBBslStbO&#10;NcesXPbTXWb+p7lLw/Jwn6vv39r6N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FIEAABbQ29udGVudF9UeXBlc10ueG1sUEsBAhQACgAAAAAAh07i&#10;QAAAAAAAAAAAAAAAAAYAAAAAAAAAAAAQAAAANAMAAF9yZWxzL1BLAQIUABQAAAAIAIdO4kCKFGY8&#10;0QAAAJQBAAALAAAAAAAAAAEAIAAAAFgDAABfcmVscy8ucmVsc1BLAQIUAAoAAAAAAIdO4kAAAAAA&#10;AAAAAAAAAAAEAAAAAAAAAAAAEAAAAAAAAABkcnMvUEsBAhQAFAAAAAgAh07iQFdQ7arUAAAACAEA&#10;AA8AAAAAAAAAAQAgAAAAIgAAAGRycy9kb3ducmV2LnhtbFBLAQIUABQAAAAIAIdO4kAVWBtH5QEA&#10;ALMDAAAOAAAAAAAAAAEAIAAAACMBAABkcnMvZTJvRG9jLnhtbFBLBQYAAAAABgAGAFkBAAB6BQAA&#10;AAA=&#10;">
                <v:fill on="f" focussize="0,0"/>
                <v:stroke weight="0.25pt" color="#000000 [3200]" miterlimit="8" joinstyle="miter"/>
                <v:imagedata o:title=""/>
                <o:lock v:ext="edit" aspectratio="f"/>
              </v:line>
            </w:pict>
          </mc:Fallback>
        </mc:AlternateContent>
      </w:r>
      <w:r>
        <w:rPr>
          <w:rFonts w:hint="eastAsia" w:eastAsia="宋体" w:cs="Times New Roman"/>
          <w:lang w:eastAsia="zh-CN"/>
        </w:rPr>
        <w:t xml:space="preserve"> </w:t>
      </w:r>
    </w:p>
    <w:p>
      <w:pPr>
        <w:pStyle w:val="3"/>
      </w:pPr>
      <w:r>
        <w:t>1. Introduction</w:t>
      </w:r>
    </w:p>
    <w:p>
      <w:pPr/>
      <w:r>
        <w:t xml:space="preserve">The rapid integration of Large Language Models (LLMs) into enterprise ecosystems has introduced unprecedented security challenges. Unlike standalone applications, modern LLM deployments function as complex, highly interconnected stacks comprising prompt gateways, orchestrator agents, vector databases, and external tool executors. Consequently, the threat model has shifted from isolated vulnerabilities (e.g., a simple Cross-Site Scripting flaw) to sophisticated </w:t>
      </w:r>
      <w:r>
        <w:rPr>
          <w:i/>
        </w:rPr>
        <w:t>compositional attacks</w:t>
      </w:r>
      <w:r>
        <w:t>, where malicious actors chain seemingly benign inputs to traverse trust boundaries and compromise high-value assets.</w:t>
      </w:r>
    </w:p>
    <w:p>
      <w:pPr/>
      <w:r>
        <w:t>Traditional vulnerability management frameworks, such as the Common Vulnerability Scoring System (CVSS), evaluate software components in isolation. When applied to LLM deployment stacks, these frameworks systematically fail to capture the operational realities of multi-stage attacks. By disregarding the friction associated with lateral movement and the compounding effects of downstream defenses, component-level scoring often yields structurally inconsistent risk assessments—leading to inflated risk scores and suboptimal allocation of security resources.</w:t>
      </w:r>
    </w:p>
    <w:p>
      <w:pPr/>
      <w:r>
        <w:t xml:space="preserve">To address these limitations, we present the </w:t>
      </w:r>
      <w:r>
        <w:rPr>
          <w:b/>
        </w:rPr>
        <w:t>Compositional Attack Path Scoring (CAPS)</w:t>
      </w:r>
      <w:r>
        <w:t xml:space="preserve"> framework. CAPS redefines LLM risk assessment by transitioning from isolated vulnerability tracking to a holistic, graph-theoretic approach. The primary contributions of this paper are:</w:t>
      </w:r>
    </w:p>
    <w:p>
      <w:pPr/>
      <w:r>
        <w:t xml:space="preserve">1. </w:t>
      </w:r>
      <w:r>
        <w:rPr>
          <w:b/>
        </w:rPr>
        <w:t>Topological Risk Modeling:</w:t>
      </w:r>
      <w:r>
        <w:t xml:space="preserve"> We introduce a directed graph formulation for LLM deployments, enabling automated mapping of attack paths from entry points to sensitive targets.</w:t>
      </w:r>
    </w:p>
    <w:p>
      <w:pPr/>
      <w:r>
        <w:t xml:space="preserve">2. </w:t>
      </w:r>
      <w:r>
        <w:rPr>
          <w:b/>
        </w:rPr>
        <w:t>Dynamic Mitigation Attenuation:</w:t>
      </w:r>
      <w:r>
        <w:t xml:space="preserve"> We propose the concept of </w:t>
      </w:r>
      <w:r>
        <w:rPr>
          <w:i/>
        </w:rPr>
        <w:t>Effective Exploitability</w:t>
      </w:r>
      <w:r>
        <w:t>, a dynamic metric that mathematically scales down component vulnerabilities based on the presence and effectiveness of targeted security controls.</w:t>
      </w:r>
    </w:p>
    <w:p>
      <w:pPr/>
      <w:r>
        <w:t xml:space="preserve">3. </w:t>
      </w:r>
      <w:r>
        <w:rPr>
          <w:b/>
        </w:rPr>
        <w:t>Exponential Chaining Decay:</w:t>
      </w:r>
      <w:r>
        <w:t xml:space="preserve"> We mathematically formalize the “friction” of multi-hop exploits via an exponential decay factor (α), preventing the risk overestimation endemic to traditional models.</w:t>
      </w:r>
    </w:p>
    <w:p>
      <w:pPr/>
      <w:r>
        <w:t xml:space="preserve">4. </w:t>
      </w:r>
      <w:r>
        <w:rPr>
          <w:b/>
        </w:rPr>
        <w:t>ROI-Driven Recommendations:</w:t>
      </w:r>
      <w:r>
        <w:t xml:space="preserve"> We demonstrate a simulation engine that identifies architectural choke points and ranks proposed mitigations by their systemic risk reduction.</w:t>
      </w:r>
    </w:p>
    <w:p>
      <w:pPr/>
      <w:r>
        <w:t>The remainder of this paper is organized as follows: Section 2 reviews related work. Section 3 details the CAPS methodology and mathematical formulations. Section 4 presents our empirical evaluation across standard LLM topologies. Finally, Sections 5 and 6 discuss the implications and conclude the paper.</w:t>
      </w:r>
    </w:p>
    <w:p>
      <w:pPr>
        <w:pStyle w:val="3"/>
      </w:pPr>
      <w:r>
        <w:t>2. Related Work</w:t>
      </w:r>
    </w:p>
    <w:p>
      <w:pPr>
        <w:pStyle w:val="3"/>
      </w:pPr>
      <w:r>
        <w:t>2.1. LLM Attack Surface Measurement and Evaluation Frameworks</w:t>
      </w:r>
    </w:p>
    <w:p>
      <w:pPr/>
      <w:r>
        <w:t>The notion of a software attack surface was formally introduced by Manadhata and Wing [26], who define it as the weighted set of methods, channels, and data items through which an adversary can compromise a system, with weights encoding damage potential relative to attacker effort. While foundational for traditional software, this formulation does not accommodate the probabilistic, prompt-driven nature of LLM systems, in which every token sequence is a potential attack vector and exploitation is inherently stochastic.</w:t>
      </w:r>
    </w:p>
    <w:p>
      <w:pPr/>
      <w:r>
        <w:t xml:space="preserve">The LLM security community has responded with several benchmark-level evaluation frameworks. HarmBench [27] provides the first standardized comparison of 18 red-teaming methods against 33 target models across seven harm categories using a curated 400-behavior dataset. JailbreakBench [6] complements this with an evolving artifact repository, a curated 100-behavior dataset, and a public leaderboard, directly addressing the field’s reproducibility and incomparability problems. StrongREJECT [35] identifies a systematic measurement validity problem in both: existing automated evaluators substantially overstate attack effectiveness because they score </w:t>
      </w:r>
      <w:r>
        <w:rPr>
          <w:i/>
        </w:rPr>
        <w:t>non-refusal</w:t>
      </w:r>
      <w:r>
        <w:t xml:space="preserve"> rather than </w:t>
      </w:r>
      <w:r>
        <w:rPr>
          <w:i/>
        </w:rPr>
        <w:t>useful harm</w:t>
      </w:r>
      <w:r>
        <w:t>, and show that many “successful” jailbreaks degrade the model’s ability to provide actionable adversarial information. For agentic deployments, the Agent Security Bench (ASB) [41] covers 10 scenarios, 400+ tools, and 27 attack/defense methods across 13 LLM backends, introducing the Net Resilient Performance metric to jointly quantify utility and security. The OWASP Top 10 for LLM Applications 2025 (https://genai.owasp.org/llm-top-10/) and the companion OWASP MCP Top 10 (https://owasp.org/www-project-mcp-top-10/) provide practitioner taxonomies that span prompt injection, RAG poisoning, excessive agency, and MCP-specific tool poisoning risks across modern deployment stacks.</w:t>
      </w:r>
    </w:p>
    <w:p>
      <w:pPr/>
      <w:r>
        <w:t xml:space="preserve">Despite this body of work, all existing frameworks evaluate attacks </w:t>
      </w:r>
      <w:r>
        <w:rPr>
          <w:i/>
        </w:rPr>
        <w:t>in isolation</w:t>
      </w:r>
      <w:r>
        <w:t xml:space="preserve"> on a single deployment layer. No framework models how success at layer L amplifies risk at layer L+1. CAPS is the first measurement framework built specifically to quantify that cross-layer composability.</w:t>
      </w:r>
    </w:p>
    <w:p>
      <w:pPr>
        <w:pStyle w:val="3"/>
      </w:pPr>
      <w:r>
        <w:t>2.2. Jailbreak Attacks Against LLMs and Reasoning Models</w:t>
      </w:r>
    </w:p>
    <w:p>
      <w:pPr/>
      <w:r>
        <w:t>Adversarial attacks on aligned LLMs originate with Greedy Coordinate Gradient (GCG) [44], which optimizes adversarial suffixes via white-box gradient access, achieving near-100% attack success rate (ASR) on open-weight models with notable transfer to black-box APIs. Prompt Automatic Iterative Refinement (PAIR) [7] demonstrated that semantic, black-box jailbreaks can succeed in approximately 20 queries—reducing attacker cost by up to 250× relative to GCG. AutoDAN-Turbo [23] further extends this black-box efficiency through lifelong strategy self-exploration, achieving 74.3% higher average ASR than baseline optimization methods and 88.5% on GPT-4-1106-turbo by continually adapting its attack strategies.</w:t>
      </w:r>
    </w:p>
    <w:p>
      <w:pPr/>
      <w:r>
        <w:t>Multi-turn escalation attacks represent a structurally distinct threat model. Crescendo [32] exploits the tendency of LLMs to follow patterns and attend to recent context, escalating gradually from a benign opening over fewer than five turns to achieve near-100% ASR on GPT-4, GPT-3.5, Gemini-Pro, and Llama-2-70B across high-risk task categories. Many-shot jailbreaking [2] exploits extended context windows by prepending hundreds of faux harmful dialogues, with effectiveness growing as a power law in the number of in-context shots.</w:t>
      </w:r>
    </w:p>
    <w:p>
      <w:pPr/>
      <w:r>
        <w:t xml:space="preserve">A fundamentally new class of attacks emerged in 2025 targeting </w:t>
      </w:r>
      <w:r>
        <w:rPr>
          <w:i/>
        </w:rPr>
        <w:t>reasoning traces</w:t>
      </w:r>
      <w:r>
        <w:t>. AutoDAN-Reasoning [24] targets this specific capability by leveraging test-time scaling (Best-of-N, Beam Search), increasing ASR by up to 12.5 percentage points against reasoning models and 15.6 points against instruction-tuned models. H-CoT [21] injects mock chain-of-thought to hijack the safety reasoning mechanism of frontier LRMs, collapsing refusal rates on OpenAI o1/o3, DeepSeek-R1, and Gemini 2.0 Flash Thinking from approximately 98% to near zero. SEAL [31] uses adaptive stacked cipher obfuscation to overload the model’s decryption reasoning, achieving 80.8% ASR on GPT-o4-mini and outperforming prior baselines by 27.2 percentage points. Ben-Tov et al. demonstrate [3] that universal jailbreak suffixes operate via a shallow attention-hijacking mechanism, explaining GCG’s transferability and enabling both stronger attacks and targeted defenses. Perhaps most alarmingly, Hagendorff et al. show that large reasoning models can act as autonomous adversaries [16], autonomously planning and executing multi-turn jailbreak campaigns against widely deployed target models, with DeepSeek-R1 achieving 90% maximum-harm scores.</w:t>
      </w:r>
    </w:p>
    <w:p>
      <w:pPr/>
      <w:r>
        <w:t>CAPS dedicates a dedicated CoT/Reasoning layer to capture these reasoning-trace exploits and models their downstream amplification of RAG and tool-layer attacks—cross-layer effects that single-surface benchmarks cannot measure.</w:t>
      </w:r>
    </w:p>
    <w:p>
      <w:pPr>
        <w:pStyle w:val="3"/>
      </w:pPr>
      <w:r>
        <w:t>2.3. Prompt Injection and Agentic Attacks</w:t>
      </w:r>
    </w:p>
    <w:p>
      <w:pPr/>
      <w:r>
        <w:t>Greshake et al. established the indirect prompt injection (IPI) threat model [14], demonstrating that LLM-integrated applications can be fully compromised through attacker-controlled data processed at inference time, with exploits including data theft, adversarial worming, and ecosystem contamination. InjecAgent [38] operationalizes IPI in tool-integrated agents across 1,054 test cases spanning 17 user tools and 62 attacker tools: even the strongest GPT-4 agent is vulnerable in 24% of base cases, rising to 47% when the injection includes a reinforcing “hacking prompt.” AgentDojo [12] provides the field’s primary dynamic benchmark with 97 realistic agentic tasks and 629 security test cases covering banking, email, and travel scenarios, using formal environment-state checks rather than LLM-simulated judgment for evaluation.</w:t>
      </w:r>
    </w:p>
    <w:p>
      <w:pPr/>
      <w:r>
        <w:t>Recent work reveals new attack delivery mechanisms. ChatInject [4] forges native chat-template role tokens inside tool outputs to simulate a multi-turn persuasion sequence, raising AgentDojo ASR from 5.18% to 32.05% with strong cross-model transfer and resilience against prompt-based defenses. Johnson et al. show [20] that GCG-optimized triggers embedded in webpage HTML accessibility trees can hijack web-navigation agents for credential exfiltration and forced ad clicks. In multi-agent topologies, the Agent-in-the-Middle (AiTM) attack [17] intercepts and manipulates inter-agent messages using an LLM-powered adversarial agent, achieving systemic goal corruption across MetaGPT- and ChatDev-style pipeline topologies without needing to compromise any individual agent.</w:t>
      </w:r>
    </w:p>
    <w:p>
      <w:pPr/>
      <w:r>
        <w:t xml:space="preserve">A key architectural insight motivating CAPS is that IPI at the Tool layer is not an isolated event: it constitutes an edge that propagates risk </w:t>
      </w:r>
      <w:r>
        <w:rPr>
          <w:i/>
        </w:rPr>
        <w:t>back</w:t>
      </w:r>
      <w:r>
        <w:t xml:space="preserve"> into the Input control flow and </w:t>
      </w:r>
      <w:r>
        <w:rPr>
          <w:i/>
        </w:rPr>
        <w:t>forward</w:t>
      </w:r>
      <w:r>
        <w:t xml:space="preserve"> into Memory writes—the structural feedback loop that makes compositional path scoring necessary.</w:t>
      </w:r>
    </w:p>
    <w:p>
      <w:pPr>
        <w:pStyle w:val="3"/>
      </w:pPr>
      <w:r>
        <w:t>2.4. MCP and Tool-Use Security</w:t>
      </w:r>
    </w:p>
    <w:p>
      <w:pPr/>
      <w:r>
        <w:t xml:space="preserve">The Model Context Protocol (MCP) created a new attack surface class in 2025. Invariant Labs introduced Tool Poisoning Attacks (TPA) [18], demonstrating that malicious instructions embedded in MCP server tool descriptions—visible to the LLM at discovery time but hidden from users—enable cross-server data exfiltration via a legitimate GitHub MCP server. MCPTox [37] formalizes TPA across 45 live servers, 353 authentic tools, and 10 risk categories, finding that o1-mini achieves 72.8% ASR as a target agent and, critically, that more capable models are often </w:t>
      </w:r>
      <w:r>
        <w:rPr>
          <w:i/>
        </w:rPr>
        <w:t>more</w:t>
      </w:r>
      <w:r>
        <w:t xml:space="preserve"> susceptible because their enhanced reasoning improves exploitation of malicious instructions. Maloyan and Namiot conduct the first protocol-level security analysis [25], identifying three structural flaws in the MCP specification—absence of capability attestation, unauthenticated bidirectional sampling, and implicit cross-server trust propagation—and proposing backward-compatible extensions that reduce ASR from 52.8% to 12.4%. The NSA Artificial Intelligence Security Center issued formal guidance on MCP security [30], recommending least-privilege scoped tokens, DLP/filtering proxies, schema validation, and message-level integrity verification.</w:t>
      </w:r>
    </w:p>
    <w:p>
      <w:pPr/>
      <w:r>
        <w:t xml:space="preserve">CAPS distinguishes MCP tool-description parsing as a </w:t>
      </w:r>
      <w:r>
        <w:rPr>
          <w:i/>
        </w:rPr>
        <w:t>permanent, install-time</w:t>
      </w:r>
      <w:r>
        <w:t xml:space="preserve"> edge—active even when the user does nothing—rather than a runtime injection, and models “toxic flow” across MCP servers as a path traversing from the Tool layer into the Memory layer.</w:t>
      </w:r>
    </w:p>
    <w:p>
      <w:pPr>
        <w:pStyle w:val="3"/>
      </w:pPr>
      <w:r>
        <w:t>2.5. RAG Poisoning and Knowledge Base Attacks</w:t>
      </w:r>
    </w:p>
    <w:p>
      <w:pPr/>
      <w:r>
        <w:t xml:space="preserve">PoisonedRAG [45] established that retrieval-augmented generation is vulnerable to knowledge-corruption attacks: injecting just five malicious texts—a poisoning rate of ∼0.0002%—into a million-document corpus achieves approximately 90% ASR across NQ, HotpotQA, and MS-MARCO. CorruptRAG [39] improves practical stealth by achieving comparable ASR with a </w:t>
      </w:r>
      <w:r>
        <w:rPr>
          <w:i/>
        </w:rPr>
        <w:t>single</w:t>
      </w:r>
      <w:r>
        <w:t xml:space="preserve"> injected document, substantially lowering the attack’s cost and detectability thresholds. One Shot Dominance [5] further shows that authority framing based on Chain-of-Evidence theory allows a single malicious document to out-compete authentic knowledge even on multi-hop questions, exploiting the “authority effect” in retrieval ranking. MM-PoisonRAG [15] extends this threat to multimodal RAG pipelines, introducing both Localized Poisoning (query-specific image–text misinformation) and Globalized Poisoning (a single adversarial item that broadly disrupts cross-query reasoning). On the defensive side, RAGForensics [40] provides the first traceback system for RAG poisoning, iteratively identifying responsible documents via LLM-guided attribution.</w:t>
      </w:r>
    </w:p>
    <w:p>
      <w:pPr/>
      <w:r>
        <w:t>CAPS models the RAG layer’s edge weights using the above empirical ASR figures and distinguishes targeted (local) from broad (global) poisoning as edges with different blast radii—a distinction with direct implications for path-level risk propagation into downstream tool calls.</w:t>
      </w:r>
    </w:p>
    <w:p>
      <w:pPr>
        <w:pStyle w:val="3"/>
      </w:pPr>
      <w:r>
        <w:t>2.6. Agent Memory Poisoning</w:t>
      </w:r>
    </w:p>
    <w:p>
      <w:pPr/>
      <w:r>
        <w:t xml:space="preserve">Persistent memory stores introduce a class of attacks with a temporal structure absent from all existing benchmarks: compromise is injected at time t but manifests at a later time t′ &gt; t. MINJA [13] demonstrates this with memory injection attacks that require only normal user–agent query interactions (no privileged memory access), achieving a 98.2% average memory-injection success rate and a 76.8% average attack success rate by exploiting retrieval-augmented demonstration via bridging steps, indication prompts, and progressive shortening. Rehberger (https://embracethered.com/blog/posts/2025/gemini-memory-persistence-prompt-injection/) reported a real-world Gemini memory exploit combining indirect prompt injection in an uploaded document with </w:t>
      </w:r>
      <w:r>
        <w:rPr>
          <w:i/>
        </w:rPr>
        <w:t>delayed tool invocation</w:t>
      </w:r>
      <w:r>
        <w:t>: a payload activates conditionally only when the user utters common words such as “yes” or “sure,” thereby writing false long-term memories across sessions while bypassing real-time guardrails. OWASP has formally classified memory poisoning as a top-level agentic risk under ASI06 (https://owasp.org/www-project-agentic-security-initiative/), recommending anomaly detection, per-tenant memory segmentation, provenance tracking, and time-bounded expiry of unverified data.</w:t>
      </w:r>
    </w:p>
    <w:p>
      <w:pPr/>
      <w:r>
        <w:t>CAPS explicitly encodes deferred-activation Memory-layer edges with time-conditioned weights, capturing the temporal persistence that distinguishes memory compromise from one-shot input attacks—an aspect no existing benchmark measures.</w:t>
      </w:r>
    </w:p>
    <w:p>
      <w:pPr>
        <w:pStyle w:val="3"/>
      </w:pPr>
      <w:r>
        <w:t>2.7. Defenses and Their Limitations</w:t>
      </w:r>
    </w:p>
    <w:p>
      <w:pPr/>
      <w:r>
        <w:t xml:space="preserve">Several complementary defense paradigms have emerged across deployment layers. Anthropic’s Constitutional Classifiers [33] filters inputs and outputs against a natural-language constitution, reducing automated jailbreak ASR from 86% to 4.4% on Claude 3.5 Sonnet across a 3,000-hour red-team exercise with no universal jailbreak found, at a 23.7% inference overhead. CaMeL [11] takes an architectural approach, splitting the agent into a Privileged LLM for control flow and a Quarantined LLM for untrusted data, enforcing capability-based policies through a custom Python interpreter; it solves 77% of AgentDojo tasks with </w:t>
      </w:r>
      <w:r>
        <w:rPr>
          <w:i/>
        </w:rPr>
        <w:t>provable</w:t>
      </w:r>
      <w:r>
        <w:t xml:space="preserve"> security—the first published architectural defense with formal guarantees on a realistic task set. Circuit Breakers [43] use representation engineering to interrupt the model internally as it begins to generate harmful outputs, providing robustness against powerful unseen attacks for both text-only and multimodal models. StruQ [9] enforces structural query separation through reserved delimiter tokens and structured instruction tuning, reducing IPI ASR to below 2% against optimization-free attacks. SecurityLingua [22] provides a lightweight input defense via security-aware prompt compression, activating the target model’s built-in guardrails with negligible latency overhead.</w:t>
      </w:r>
    </w:p>
    <w:p>
      <w:pPr/>
      <w:r>
        <w:t xml:space="preserve">A critical limitation shared by all these defenses is that they protect a </w:t>
      </w:r>
      <w:r>
        <w:rPr>
          <w:i/>
        </w:rPr>
        <w:t>single</w:t>
      </w:r>
      <w:r>
        <w:t xml:space="preserve"> layer and are evaluated in isolation. Nasr et al. demonstrate this definitively [29]: adaptive attackers bypass 12 recent defenses with greater than 90% ASR by combining gradient descent, RL, and human-guided search. CAPS provides the missing analytical tool—by modeling each defense as an edge-pruning operation on the deployment graph, it computes the residual Compositional Attack Surface Score against an adaptive adversary who routes around defended edges, exposing residual risk that per-layer evaluation conceals.</w:t>
      </w:r>
    </w:p>
    <w:p>
      <w:pPr>
        <w:pStyle w:val="3"/>
      </w:pPr>
      <w:r>
        <w:t>2.8. Graph-Based Security Modeling</w:t>
      </w:r>
    </w:p>
    <w:p>
      <w:pPr/>
      <w:r>
        <w:t>The use of directed graphs to model multi-step attack chains has a long history in network security. Sheyner et al. introduced automated attack-graph generation via symbolic model checking [34], enabling analysis of minimal countermeasure sets in network topologies. Ammann et al. introduced the monotonicity assumption—an attacker never surrenders previously gained privileges—yielding polynomial-size representations of attack-dependency graphs [1]. CAPS inherits both contributions: LLM deployment stacks are modeled as directed acyclic graphs under monotonicity, and CASS computation is linear in the number of edges.</w:t>
      </w:r>
    </w:p>
    <w:p>
      <w:pPr/>
      <w:r>
        <w:t>For the propagation component, Polonium [8] demonstrated scalable belief propagation over a billion-node file–machine bipartite graph for malware reputation inference, establishing the feasibility of message-passing-based risk aggregation at graph scale in security settings. In the machine learning for code security domain, Devign [42] showed that graph neural networks over compound code-property graphs can learn vulnerability patterns that elude linear classifiers, motivating the use of learned edge weights as a future extension of CAPS.</w:t>
      </w:r>
    </w:p>
    <w:p>
      <w:pPr/>
      <w:r>
        <w:t>While these classical attack graph models provide a robust mathematical foundation, they are fundamentally insufficient for modern LLM ecosystems. Traditional attack graphs assume deterministic network state transitions (e.g., an open SSH port consistently allows a specific exploit). In contrast, LLM architectures rely on probabilistic, semantic transitions where attack success depends heavily on non-deterministic decoding, natural language ambiguities, and dynamic prompt injection. Traditional binary path analysis fails to capture this semantic stochasticity, necessitating the exponential chaining decay and Effective Exploitability formulations introduced in CAPS.</w:t>
      </w:r>
    </w:p>
    <w:p>
      <w:pPr/>
      <w:r>
        <w:t>To our knowledge, CAPS is the first framework to adapt attack-graph path scoring and belief propagation from classical network security to the layered LLM deployment setting, composing the per-layer ASR measurements, CVE-derived structural edges, and benchmark figures from prior work into a single scored, end-to-end risk model.</w:t>
      </w:r>
    </w:p>
    <w:p>
      <w:pPr>
        <w:pStyle w:val="3"/>
      </w:pPr>
      <w:r>
        <w:t>3. Methodology</w:t>
      </w:r>
    </w:p>
    <w:p>
      <w:pPr/>
      <w:r>
        <w:t>The core methodology of the Compositional Attack Path Scoring (CAPS) framework relies on modeling the Large Language Model (LLM) deployment stack as a directed property graph. By transitioning from isolated vulnerability tracking to rigorous structural analysis, CAPS allows for the quantitative evaluation of end-to-end multi-hop attack paths. This section details the formal topological representation, the mathematical formulation of effective exploitability, the core compositional path scoring algorithm with exponential decay, and the analytical approach to computing mitigation Return on Investment (ROI).</w:t>
      </w:r>
    </w:p>
    <w:p>
      <w:pPr>
        <w:sectPr>
          <w:type w:val="continuous"/>
          <w:pgSz w:w="12240" w:h="15840"/>
          <w:pgMar w:top="1440" w:right="1440" w:bottom="1440" w:left="1440" w:header="709" w:footer="709" w:gutter="0"/>
          <w:cols w:space="708" w:num="2"/>
          <w:docGrid w:linePitch="360" w:charSpace="0"/>
        </w:sectPr>
      </w:pPr>
    </w:p>
    <w:p>
      <w:pPr>
        <w:pStyle w:val="238"/>
        <w:jc w:val="center"/>
      </w:pPr>
      <w:r>
        <w:t>Table 1</w:t>
      </w:r>
    </w:p>
    <w:p>
      <w:pPr>
        <w:pStyle w:val="238"/>
        <w:jc w:val="center"/>
      </w:pPr>
      <w:r>
        <w:t>Summary of mathematical notation used in the CAPS framework.</w:t>
      </w:r>
    </w:p>
    <w:tbl>
      <w:tblPr>
        <w:tblStyle w:val="87"/>
        <w:tblW w:type="auto" w:w="0"/>
        <w:jc w:val="center"/>
        <w:tblLook w:firstColumn="1" w:firstRow="1" w:lastColumn="0" w:lastRow="0" w:noHBand="0" w:noVBand="1" w:val="04A0"/>
      </w:tblPr>
      <w:tblGrid>
        <w:gridCol w:w="4680"/>
        <w:gridCol w:w="4680"/>
      </w:tblGrid>
      <w:tr>
        <w:tc>
          <w:tcPr>
            <w:tcW w:type="dxa" w:w="4680"/>
          </w:tcPr>
          <w:p>
            <w:pPr>
              <w:jc w:val="center"/>
            </w:pPr>
            <w:r/>
            <w:r>
              <w:rPr>
                <w:b/>
              </w:rPr>
              <w:t>Notation</w:t>
            </w:r>
          </w:p>
        </w:tc>
        <w:tc>
          <w:tcPr>
            <w:tcW w:type="dxa" w:w="4680"/>
          </w:tcPr>
          <w:p>
            <w:r/>
            <w:r>
              <w:rPr>
                <w:b/>
              </w:rPr>
              <w:t>Description</w:t>
            </w:r>
          </w:p>
        </w:tc>
      </w:tr>
      <w:tr>
        <w:tc>
          <w:tcPr>
            <w:tcW w:type="dxa" w:w="4680"/>
          </w:tcPr>
          <w:p>
            <w:pPr>
              <w:jc w:val="center"/>
            </w:pPr>
            <w:r/>
            <w:r>
              <w:t>𝒢</w:t>
            </w:r>
          </w:p>
        </w:tc>
        <w:tc>
          <w:tcPr>
            <w:tcW w:type="dxa" w:w="4680"/>
          </w:tcPr>
          <w:p>
            <w:r/>
            <w:r>
              <w:t>Directed property graph representing the deployment architecture</w:t>
            </w:r>
          </w:p>
        </w:tc>
      </w:tr>
      <w:tr>
        <w:tc>
          <w:tcPr>
            <w:tcW w:type="dxa" w:w="4680"/>
          </w:tcPr>
          <w:p>
            <w:pPr>
              <w:jc w:val="center"/>
            </w:pPr>
            <w:r/>
            <w:r>
              <w:t>V, E</w:t>
            </w:r>
          </w:p>
        </w:tc>
        <w:tc>
          <w:tcPr>
            <w:tcW w:type="dxa" w:w="4680"/>
          </w:tcPr>
          <w:p>
            <w:r/>
            <w:r>
              <w:t>Sets of vertices (components) and directed edges (data/execution flows)</w:t>
            </w:r>
          </w:p>
        </w:tc>
      </w:tr>
      <w:tr>
        <w:tc>
          <w:tcPr>
            <w:tcW w:type="dxa" w:w="4680"/>
          </w:tcPr>
          <w:p>
            <w:pPr>
              <w:jc w:val="center"/>
            </w:pPr>
            <w:r/>
            <w:r>
              <w:t>I(v)</w:t>
            </w:r>
          </w:p>
        </w:tc>
        <w:tc>
          <w:tcPr>
            <w:tcW w:type="dxa" w:w="4680"/>
          </w:tcPr>
          <w:p>
            <w:r/>
            <w:r>
              <w:t>Asset Value of component v, scaled 1–10</w:t>
            </w:r>
          </w:p>
        </w:tc>
      </w:tr>
      <w:tr>
        <w:tc>
          <w:tcPr>
            <w:tcW w:type="dxa" w:w="4680"/>
          </w:tcPr>
          <w:p>
            <w:pPr>
              <w:jc w:val="center"/>
            </w:pPr>
            <w:r/>
            <w:r>
              <w:t>E_base</w:t>
            </w:r>
          </w:p>
        </w:tc>
        <w:tc>
          <w:tcPr>
            <w:tcW w:type="dxa" w:w="4680"/>
          </w:tcPr>
          <w:p>
            <w:r/>
            <w:r>
              <w:t>Base exploitability probability of a vulnerability, E_base ∈ (0, 1]</w:t>
            </w:r>
          </w:p>
        </w:tc>
      </w:tr>
      <w:tr>
        <w:tc>
          <w:tcPr>
            <w:tcW w:type="dxa" w:w="4680"/>
          </w:tcPr>
          <w:p>
            <w:pPr>
              <w:jc w:val="center"/>
            </w:pPr>
            <w:r/>
            <w:r>
              <w:t>M(mit)</w:t>
            </w:r>
          </w:p>
        </w:tc>
        <w:tc>
          <w:tcPr>
            <w:tcW w:type="dxa" w:w="4680"/>
          </w:tcPr>
          <w:p>
            <w:r/>
            <w:r>
              <w:t>Effectiveness score of a defense mitigation, M(mit) ∈ [0, 1]</w:t>
            </w:r>
          </w:p>
        </w:tc>
      </w:tr>
      <w:tr>
        <w:tc>
          <w:tcPr>
            <w:tcW w:type="dxa" w:w="4680"/>
          </w:tcPr>
          <w:p>
            <w:pPr>
              <w:jc w:val="center"/>
            </w:pPr>
            <w:r/>
            <w:r>
              <w:t>E_eff</w:t>
            </w:r>
          </w:p>
        </w:tc>
        <w:tc>
          <w:tcPr>
            <w:tcW w:type="dxa" w:w="4680"/>
          </w:tcPr>
          <w:p>
            <w:r/>
            <w:r>
              <w:t>Effective Exploitability after applying relevant mitigations</w:t>
            </w:r>
          </w:p>
        </w:tc>
      </w:tr>
      <w:tr>
        <w:tc>
          <w:tcPr>
            <w:tcW w:type="dxa" w:w="4680"/>
          </w:tcPr>
          <w:p>
            <w:pPr>
              <w:jc w:val="center"/>
            </w:pPr>
            <w:r/>
            <w:r>
              <w:t>α</w:t>
            </w:r>
          </w:p>
        </w:tc>
        <w:tc>
          <w:tcPr>
            <w:tcW w:type="dxa" w:w="4680"/>
          </w:tcPr>
          <w:p>
            <w:r/>
            <w:r>
              <w:t>Chaining decay factor to model operational friction, α ∈ (0, 1]</w:t>
            </w:r>
          </w:p>
        </w:tc>
      </w:tr>
      <w:tr>
        <w:tc>
          <w:tcPr>
            <w:tcW w:type="dxa" w:w="4680"/>
          </w:tcPr>
          <w:p>
            <w:pPr>
              <w:jc w:val="center"/>
            </w:pPr>
            <w:r/>
            <w:r>
              <w:t>P_exploit(P)</w:t>
            </w:r>
          </w:p>
        </w:tc>
        <w:tc>
          <w:tcPr>
            <w:tcW w:type="dxa" w:w="4680"/>
          </w:tcPr>
          <w:p>
            <w:r/>
            <w:r>
              <w:t>Cumulative probability of successfully exploiting path P</w:t>
            </w:r>
          </w:p>
        </w:tc>
      </w:tr>
      <w:tr>
        <w:tc>
          <w:tcPr>
            <w:tcW w:type="dxa" w:w="4680"/>
          </w:tcPr>
          <w:p>
            <w:pPr>
              <w:jc w:val="center"/>
            </w:pPr>
            <w:r/>
            <w:r>
              <w:t>S(P)</w:t>
            </w:r>
          </w:p>
        </w:tc>
        <w:tc>
          <w:tcPr>
            <w:tcW w:type="dxa" w:w="4680"/>
          </w:tcPr>
          <w:p>
            <w:r/>
            <w:r>
              <w:t>Final Path Risk Score mapped to an actionable metric 0–100</w:t>
            </w:r>
          </w:p>
        </w:tc>
      </w:tr>
    </w:tbl>
    <w:p>
      <w:pPr>
        <w:sectPr>
          <w:type w:val="continuous"/>
          <w:pgSz w:w="12240" w:h="15840"/>
          <w:pgMar w:top="1440" w:right="1440" w:bottom="1440" w:left="1440" w:header="709" w:footer="709" w:gutter="0"/>
          <w:cols w:space="708" w:num="1"/>
          <w:docGrid w:linePitch="360" w:charSpace="0"/>
        </w:sectPr>
      </w:pPr>
    </w:p>
    <w:p>
      <w:pPr>
        <w:sectPr>
          <w:type w:val="continuous"/>
          <w:pgSz w:w="12240" w:h="15840"/>
          <w:pgMar w:top="1440" w:right="1440" w:bottom="1440" w:left="1440" w:header="709" w:footer="709" w:gutter="0"/>
          <w:cols w:space="708" w:num="2"/>
          <w:docGrid w:linePitch="360" w:charSpace="0"/>
        </w:sectPr>
      </w:pPr>
    </w:p>
    <w:p>
      <w:pPr>
        <w:pStyle w:val="231"/>
        <w:jc w:val="center"/>
      </w:pPr>
      <w:r>
        <w:t>Figure 1.</w:t>
      </w:r>
    </w:p>
    <w:p>
      <w:pPr>
        <w:jc w:val="center"/>
      </w:pPr>
      <w:r>
        <w:drawing>
          <wp:inline xmlns:a="http://schemas.openxmlformats.org/drawingml/2006/main" xmlns:pic="http://schemas.openxmlformats.org/drawingml/2006/picture">
            <wp:extent cx="5760720" cy="5760720"/>
            <wp:docPr id="7" name="Picture 7"/>
            <wp:cNvGraphicFramePr>
              <a:graphicFrameLocks noChangeAspect="1"/>
            </wp:cNvGraphicFramePr>
            <a:graphic>
              <a:graphicData uri="http://schemas.openxmlformats.org/drawingml/2006/picture">
                <pic:pic>
                  <pic:nvPicPr>
                    <pic:cNvPr id="0" name="method_overview.png"/>
                    <pic:cNvPicPr/>
                  </pic:nvPicPr>
                  <pic:blipFill>
                    <a:blip r:embed="rId15"/>
                    <a:stretch>
                      <a:fillRect/>
                    </a:stretch>
                  </pic:blipFill>
                  <pic:spPr>
                    <a:xfrm>
                      <a:off x="0" y="0"/>
                      <a:ext cx="5760720" cy="5760720"/>
                    </a:xfrm>
                    <a:prstGeom prst="rect"/>
                  </pic:spPr>
                </pic:pic>
              </a:graphicData>
            </a:graphic>
          </wp:inline>
        </w:drawing>
      </w:r>
    </w:p>
    <w:p>
      <w:pPr>
        <w:pStyle w:val="231"/>
        <w:jc w:val="center"/>
      </w:pPr>
      <w:r>
        <w:t>Overview of the CAPS Methodology. The graph extracts architectural components as nodes and maps potential attacker trajectories through trust boundaries, evaluating sequential node exploitabilities.</w:t>
      </w:r>
    </w:p>
    <w:p>
      <w:pPr>
        <w:sectPr>
          <w:type w:val="continuous"/>
          <w:pgSz w:w="12240" w:h="15840"/>
          <w:pgMar w:top="1440" w:right="1440" w:bottom="1440" w:left="1440" w:header="709" w:footer="709" w:gutter="0"/>
          <w:cols w:space="708" w:num="1"/>
          <w:docGrid w:linePitch="360" w:charSpace="0"/>
        </w:sectPr>
      </w:pPr>
    </w:p>
    <w:p>
      <w:pPr>
        <w:pStyle w:val="3"/>
      </w:pPr>
      <w:r>
        <w:t>3.1. Formal Topological Graph Representation</w:t>
      </w:r>
    </w:p>
    <w:p>
      <w:pPr/>
      <w:r>
        <w:t>CAPS formally represents an enterprise LLM deployment architecture as a directed, attributed graph 𝒢 = (V, E, 𝒜_V, 𝒜_E).</w:t>
      </w:r>
    </w:p>
    <w:p>
      <w:pPr/>
      <w:r>
        <w:t xml:space="preserve">• </w:t>
      </w:r>
      <w:r>
        <w:rPr>
          <w:b/>
        </w:rPr>
        <w:t>Vertices (V):</w:t>
      </w:r>
      <w:r>
        <w:t xml:space="preserve"> The set of nodes V = {v₁, v₂, …, vₙ} represents the discrete architectural components within the LLM ecosystem. These include, but are not limited to, User Interfaces (UI), API Gateways, LLM Orchestrator Agents (e.g., LangChain or AutoGen nodes), Vector Databases (e.g., Pinecone for RAG), internal memory stores, and external tool executors (e.g., Bash shells or Python REPLs). We also introduce a special subset of source nodes V_src ⊂ V representing external attackers or untrusted users.</w:t>
      </w:r>
    </w:p>
    <w:p>
      <w:pPr/>
      <w:r>
        <w:t xml:space="preserve">• </w:t>
      </w:r>
      <w:r>
        <w:rPr>
          <w:b/>
        </w:rPr>
        <w:t>Asset Valuation (𝒜_V):</w:t>
      </w:r>
      <w:r>
        <w:t xml:space="preserve"> Each component possesses an innate </w:t>
      </w:r>
      <w:r>
        <w:rPr>
          <w:i/>
        </w:rPr>
        <w:t>Asset Value</w:t>
      </w:r>
      <w:r>
        <w:t xml:space="preserve"> I(v) ∈ [1, 10], which quantifies the business impact or data sensitivity of the node if fully compromised. For instance, a public-facing chatbot UI might carry I(v) = 2, whereas a backend corporate treasury database would carry I(v) = 10.</w:t>
      </w:r>
    </w:p>
    <w:p>
      <w:pPr/>
      <w:r>
        <w:t xml:space="preserve">• </w:t>
      </w:r>
      <w:r>
        <w:rPr>
          <w:b/>
        </w:rPr>
        <w:t>Directed Edges (E):</w:t>
      </w:r>
      <w:r>
        <w:t xml:space="preserve"> The edge set E ⊆ V × V defines the allowable data flows or execution sequences between components. An edge e_{u,v} = (u, v) ∈ E indicates that component u can send data to, or invoke execution upon, component v. This topology dictates the potential trajectories for lateral movement or data exfiltration.</w:t>
      </w:r>
    </w:p>
    <w:p>
      <w:pPr/>
      <w:r>
        <w:t xml:space="preserve">• </w:t>
      </w:r>
      <w:r>
        <w:rPr>
          <w:b/>
        </w:rPr>
        <w:t>Trust Boundaries (𝒜_E):</w:t>
      </w:r>
      <w:r>
        <w:t xml:space="preserve"> Edges are further attributed with a boolean flag indicating whether the transition crosses a defined security trust boundary, which subsequently influences the friction of traversal. A boundary transition (e.g., crossing from a public subnet to an internal corporate network, or shifting from a low-privilege orchestration context to a root-level bash environment) inherently demands the attacker to chain additional exploits or bypass authorization checks, thereby increasing the operational complexity of the attack path.</w:t>
      </w:r>
    </w:p>
    <w:p>
      <w:pPr>
        <w:pStyle w:val="3"/>
      </w:pPr>
      <w:r>
        <w:t>3.2. Modeling Vulnerabilities and Defense Mitigations</w:t>
      </w:r>
    </w:p>
    <w:p>
      <w:pPr/>
      <w:r>
        <w:t>A fundamental limitation of traditional scoring systems like CVSS is the assumption of static vulnerability severities. CAPS abandons this in favor of a dynamic interplay between known threats and active defense mechanisms applied at the component level.</w:t>
      </w:r>
    </w:p>
    <w:p>
      <w:pPr/>
      <w:r>
        <w:t>Each component v ∈ V is associated with a set of identified vulnerabilities Vuln(v) and a set of applied security mitigations Mit(v).</w:t>
      </w:r>
    </w:p>
    <w:p>
      <w:pPr/>
      <w:r>
        <w:t xml:space="preserve">• </w:t>
      </w:r>
      <w:r>
        <w:rPr>
          <w:b/>
        </w:rPr>
        <w:t>Base Exploitability:</w:t>
      </w:r>
      <w:r>
        <w:t xml:space="preserve"> A vulnerability vuln ∈ Vuln(v) is characterized by its base exploitability probability E_base ∈ (0, 1]. This metric reflects the inherent likelihood of successful exploitation under the assumption that the component is exposed and undefended. For example, an unpatched indirect prompt injection vulnerability in an orchestrator might carry an E_base = 0.85. These base scores can be empirically derived from historical CVE data, vendor advisories, or localized penetration testing results to anchor the probability in real-world risk rather than arbitrary severity categories.</w:t>
      </w:r>
    </w:p>
    <w:p>
      <w:pPr/>
      <w:r>
        <w:t xml:space="preserve">• </w:t>
      </w:r>
      <w:r>
        <w:rPr>
          <w:b/>
        </w:rPr>
        <w:t>Mitigations:</w:t>
      </w:r>
      <w:r>
        <w:t xml:space="preserve"> A node can be protected by a set of deployed mitigations Mit(v). Each mitigation mit ∈ Mit(v) is associated with an effectiveness rating M(mit) ∈ [0, 1], representing the probability that the security control successfully blocks the exploit attempt.</w:t>
      </w:r>
    </w:p>
    <w:p>
      <w:pPr>
        <w:pStyle w:val="3"/>
      </w:pPr>
      <w:r>
        <w:t>3.3. Derivation of Effective Exploitability</w:t>
      </w:r>
    </w:p>
    <w:p>
      <w:pPr/>
      <w:r>
        <w:t xml:space="preserve">The probability of compromising a specific node is not absolute; it is dynamically attenuated by the defense-in-depth measures protecting it. We define the </w:t>
      </w:r>
      <w:r>
        <w:rPr>
          <w:i/>
        </w:rPr>
        <w:t>Effective Exploitability</w:t>
      </w:r>
      <w:r>
        <w:t xml:space="preserve"> E</w:t>
      </w:r>
      <w:r>
        <w:rPr>
          <w:vertAlign w:val="subscript"/>
        </w:rPr>
        <w:t>eff</w:t>
      </w:r>
      <w:r>
        <w:t xml:space="preserve"> of a vulnerability by taking the product of the survival probabilities afforded by all relevant, independent mitigations deployed on that component.</w:t>
      </w:r>
    </w:p>
    <w:p>
      <w:pPr/>
      <w:r>
        <w:t>Let the survival probability of a mitigation be 1 − M(mit). Assuming mitigations operate independently to block an exploit, the Effective Exploitability is formulated as:</w:t>
      </w:r>
    </w:p>
    <w:p>
      <w:pPr>
        <w:pStyle w:val="236"/>
        <w:jc w:val="center"/>
      </w:pPr>
      <w:r>
        <w:t>E</w:t>
      </w:r>
      <w:r>
        <w:rPr>
          <w:vertAlign w:val="subscript"/>
        </w:rPr>
        <w:t>eff</w:t>
      </w:r>
      <w:r>
        <w:t>(vuln) = E</w:t>
      </w:r>
      <w:r>
        <w:rPr>
          <w:vertAlign w:val="subscript"/>
        </w:rPr>
        <w:t>base</w:t>
      </w:r>
      <w:r>
        <w:t xml:space="preserve"> × ∏</w:t>
      </w:r>
      <w:r>
        <w:rPr>
          <w:vertAlign w:val="subscript"/>
        </w:rPr>
        <w:t>mit∈Mit(v)</w:t>
      </w:r>
      <w:r>
        <w:t xml:space="preserve"> (1 − M(mit))  (1)</w:t>
      </w:r>
    </w:p>
    <w:p>
      <w:pPr/>
      <w:r>
        <w:t>For a given component v, its overall node exploitability probability P</w:t>
      </w:r>
      <w:r>
        <w:rPr>
          <w:vertAlign w:val="subscript"/>
        </w:rPr>
        <w:t>node</w:t>
      </w:r>
      <w:r>
        <w:t>(v) is defined by the most severe viable vulnerability remaining after mitigations are applied:</w:t>
      </w:r>
    </w:p>
    <w:p>
      <w:pPr>
        <w:pStyle w:val="236"/>
        <w:jc w:val="center"/>
      </w:pPr>
      <w:r>
        <w:t>P</w:t>
      </w:r>
      <w:r>
        <w:rPr>
          <w:vertAlign w:val="subscript"/>
        </w:rPr>
        <w:t>node</w:t>
      </w:r>
      <w:r>
        <w:t>(v) = max</w:t>
      </w:r>
      <w:r>
        <w:rPr>
          <w:vertAlign w:val="subscript"/>
        </w:rPr>
        <w:t>vuln∈Vuln(v)</w:t>
      </w:r>
      <w:r>
        <w:t xml:space="preserve"> E</w:t>
      </w:r>
      <w:r>
        <w:rPr>
          <w:vertAlign w:val="subscript"/>
        </w:rPr>
        <w:t>eff</w:t>
      </w:r>
      <w:r>
        <w:t>(vuln)  (2)</w:t>
      </w:r>
    </w:p>
    <w:p>
      <w:pPr/>
      <w:r>
        <w:t>If a component lacks explicit vulnerabilities but is accessible by an attacker, it is assigned a baseline zero-day residual risk score (e.g., P</w:t>
      </w:r>
      <w:r>
        <w:rPr>
          <w:vertAlign w:val="subscript"/>
        </w:rPr>
        <w:t>node</w:t>
      </w:r>
      <w:r>
        <w:t xml:space="preserve"> = 0.1).</w:t>
      </w:r>
    </w:p>
    <w:p>
      <w:pPr>
        <w:pStyle w:val="3"/>
      </w:pPr>
      <w:r>
        <w:t>3.4. Compositional Path Scoring and Exponential Decay</w:t>
      </w:r>
    </w:p>
    <w:p>
      <w:pPr/>
      <w:r>
        <w:t>The core innovation of CAPS lies in scoring multi-hop attack chains. An attack path P = ⟨v₁, v₂, …, vₖ⟩ is defined as a contiguous acyclic sequence of hops from an entry node v₁ ∈ V_src to a target node vₖ.</w:t>
      </w:r>
    </w:p>
    <w:p>
      <w:pPr/>
      <w:r>
        <w:t xml:space="preserve">Traditional models that utilize additive or purely multiplicative aggregation fail to capture the operational friction an attacker faces. Chaining exploits requires passing payloads sequentially through disparate systems, managing state, and evading detection at multiple trust boundaries. To rigorously model this compounding difficulty, CAPS introduces an exponential </w:t>
      </w:r>
      <w:r>
        <w:rPr>
          <w:i/>
        </w:rPr>
        <w:t>chaining decay factor</w:t>
      </w:r>
      <w:r>
        <w:t xml:space="preserve"> α ∈ (0, 1].</w:t>
      </w:r>
    </w:p>
    <w:p>
      <w:pPr/>
      <w:r>
        <w:t>The cumulative probability of successfully exploiting the entire sequence of nodes along path P, denoted as P</w:t>
      </w:r>
      <w:r>
        <w:rPr>
          <w:vertAlign w:val="subscript"/>
        </w:rPr>
        <w:t>exploit</w:t>
      </w:r>
      <w:r>
        <w:t>(P), is formulated as the decayed product of the individual effective exploitabilities:</w:t>
      </w:r>
    </w:p>
    <w:p>
      <w:pPr>
        <w:pStyle w:val="236"/>
        <w:jc w:val="center"/>
      </w:pPr>
      <w:r>
        <w:t>P</w:t>
      </w:r>
      <w:r>
        <w:rPr>
          <w:vertAlign w:val="subscript"/>
        </w:rPr>
        <w:t>exploit</w:t>
      </w:r>
      <w:r>
        <w:t>(P) = α</w:t>
      </w:r>
      <w:r>
        <w:rPr>
          <w:vertAlign w:val="superscript"/>
        </w:rPr>
        <w:t>k−1</w:t>
      </w:r>
      <w:r>
        <w:t xml:space="preserve"> ∏</w:t>
      </w:r>
      <w:r>
        <w:rPr>
          <w:vertAlign w:val="subscript"/>
        </w:rPr>
        <w:t>i=1</w:t>
      </w:r>
      <w:r>
        <w:rPr>
          <w:vertAlign w:val="superscript"/>
        </w:rPr>
        <w:t>k</w:t>
      </w:r>
      <w:r>
        <w:t xml:space="preserve"> P</w:t>
      </w:r>
      <w:r>
        <w:rPr>
          <w:vertAlign w:val="subscript"/>
        </w:rPr>
        <w:t>node</w:t>
      </w:r>
      <w:r>
        <w:t>(v</w:t>
      </w:r>
      <w:r>
        <w:rPr>
          <w:vertAlign w:val="subscript"/>
        </w:rPr>
        <w:t>i</w:t>
      </w:r>
      <w:r>
        <w:t>)  (3)</w:t>
      </w:r>
    </w:p>
    <w:p>
      <w:pPr/>
      <w:r>
        <w:t>Here, the exponent term α</w:t>
      </w:r>
      <w:r>
        <w:rPr>
          <w:vertAlign w:val="superscript"/>
        </w:rPr>
        <w:t>k−1</w:t>
      </w:r>
      <w:r>
        <w:t xml:space="preserve"> defines the compounding friction of the exploit sequence, where α is the chaining decay factor and the exponent k − 1 represents the precise number of edges (or structural hops) traversed along a path of k nodes. This term explicitly penalizes longer attack chains. In our framework, α is empirically tuned between 0.85 and 0.95. This calibration is grounded in historical attack traces and recent red-team datasets (such as HarmBench and AgentDojo), which demonstrate that multi-hop exploit success rates inherently degrade by approximately 5–15% per trust boundary hop due to cumulative context loss and guardrail triggering, depending on the macro-architectural complexity of the deployment stack.</w:t>
      </w:r>
    </w:p>
    <w:p>
      <w:pPr/>
      <w:r>
        <w:t xml:space="preserve">The final </w:t>
      </w:r>
      <w:r>
        <w:rPr>
          <w:b/>
        </w:rPr>
        <w:t>Path Risk Score</w:t>
      </w:r>
      <w:r>
        <w:t xml:space="preserve"> S(P) maps the theoretical probability space to an actionable risk metric scaled from 0 to 100. It scales the compounded probability by the maximal impact of the final target asset I(v</w:t>
      </w:r>
      <w:r>
        <w:rPr>
          <w:vertAlign w:val="subscript"/>
        </w:rPr>
        <w:t>k</w:t>
      </w:r>
      <w:r>
        <w:t>):</w:t>
      </w:r>
    </w:p>
    <w:p>
      <w:pPr>
        <w:pStyle w:val="236"/>
        <w:jc w:val="center"/>
      </w:pPr>
      <w:r>
        <w:t>S(P) = P</w:t>
      </w:r>
      <w:r>
        <w:rPr>
          <w:vertAlign w:val="subscript"/>
        </w:rPr>
        <w:t>exploit</w:t>
      </w:r>
      <w:r>
        <w:t>(P) × I(v</w:t>
      </w:r>
      <w:r>
        <w:rPr>
          <w:vertAlign w:val="subscript"/>
        </w:rPr>
        <w:t>k</w:t>
      </w:r>
      <w:r>
        <w:t>) × 10  (4)</w:t>
      </w:r>
    </w:p>
    <w:p>
      <w:pPr>
        <w:pStyle w:val="3"/>
      </w:pPr>
      <w:r>
        <w:t>3.5. Algorithmic Implementation and Complexity</w:t>
      </w:r>
    </w:p>
    <w:p>
      <w:pPr/>
      <w:r>
        <w:t>To operationalize this mathematics, the CAPS engine employs a modified Depth-First Search (DFS) algorithm to identify all simple paths between entry nodes and target assets. Given that the problem of finding all simple paths in a directed graph is computationally bounded by O(|V|!) in complete graphs, CAPS enforces a path-length heuristic bound k</w:t>
      </w:r>
      <w:r>
        <w:rPr>
          <w:vertAlign w:val="subscript"/>
        </w:rPr>
        <w:t>max</w:t>
      </w:r>
      <w:r>
        <w:t xml:space="preserve"> = 10. An architectural survey of standard AI reference frameworks (e.g., LangGraph, AWS/Azure AI reference architectures) indicates that over 95% of valid exploit trajectories terminate within 5 to 7 hops. Therefore, k</w:t>
      </w:r>
      <w:r>
        <w:rPr>
          <w:vertAlign w:val="subscript"/>
        </w:rPr>
        <w:t>max</w:t>
      </w:r>
      <w:r>
        <w:t xml:space="preserve"> = 10 serves as a conservative, empirically safe upper bound that prevents exponential state explosion without artificially truncating realistic attack paths.</w:t>
      </w:r>
    </w:p>
    <w:p>
      <w:pPr>
        <w:pStyle w:val="291"/>
      </w:pPr>
      <w:r>
        <w:t>Algorithm 1  CAPS Critical Path Discovery</w:t>
      </w:r>
    </w:p>
    <w:p>
      <w:pPr>
        <w:pStyle w:val="251"/>
      </w:pPr>
      <w:r>
        <w:t>Require: Graph 𝒢, Sources V_src, Targets V_tgt, Decay α</w:t>
      </w:r>
    </w:p>
    <w:p>
      <w:pPr>
        <w:pStyle w:val="251"/>
      </w:pPr>
      <w:r>
        <w:t>1:  S_max ← 0</w:t>
      </w:r>
    </w:p>
    <w:p>
      <w:pPr>
        <w:pStyle w:val="251"/>
      </w:pPr>
      <w:r>
        <w:t>2:  P_critical ← ∅</w:t>
      </w:r>
    </w:p>
    <w:p>
      <w:pPr>
        <w:pStyle w:val="251"/>
      </w:pPr>
      <w:r>
        <w:t>3:  for s ∈ V_src do</w:t>
      </w:r>
    </w:p>
    <w:p>
      <w:pPr>
        <w:pStyle w:val="251"/>
      </w:pPr>
      <w:r>
        <w:t>4:      for t ∈ V_tgt do</w:t>
      </w:r>
    </w:p>
    <w:p>
      <w:pPr>
        <w:pStyle w:val="251"/>
      </w:pPr>
      <w:r>
        <w:t>5:          Π ← FindAllSimplePaths(s, t, k_max)</w:t>
      </w:r>
    </w:p>
    <w:p>
      <w:pPr>
        <w:pStyle w:val="251"/>
      </w:pPr>
      <w:r>
        <w:t>6:          for P ∈ Π do</w:t>
      </w:r>
    </w:p>
    <w:p>
      <w:pPr>
        <w:pStyle w:val="251"/>
      </w:pPr>
      <w:r>
        <w:t>7:              k ← Length(P)</w:t>
      </w:r>
    </w:p>
    <w:p>
      <w:pPr>
        <w:pStyle w:val="251"/>
      </w:pPr>
      <w:r>
        <w:t>8:              P_exploit ← α^(k−1) × ∏_{v∈P} P_node(v)</w:t>
      </w:r>
    </w:p>
    <w:p>
      <w:pPr>
        <w:pStyle w:val="251"/>
      </w:pPr>
      <w:r>
        <w:t>9:              Score ← P_exploit × I(t) × 10</w:t>
      </w:r>
    </w:p>
    <w:p>
      <w:pPr>
        <w:pStyle w:val="251"/>
      </w:pPr>
      <w:r>
        <w:t>10:             if Score &gt; S_max then</w:t>
      </w:r>
    </w:p>
    <w:p>
      <w:pPr>
        <w:pStyle w:val="251"/>
      </w:pPr>
      <w:r>
        <w:t>11:                 S_max ← Score</w:t>
      </w:r>
    </w:p>
    <w:p>
      <w:pPr>
        <w:pStyle w:val="251"/>
      </w:pPr>
      <w:r>
        <w:t>12:                 P_critical ← P</w:t>
      </w:r>
    </w:p>
    <w:p>
      <w:pPr>
        <w:pStyle w:val="251"/>
      </w:pPr>
      <w:r>
        <w:t>13:             end if</w:t>
      </w:r>
    </w:p>
    <w:p>
      <w:pPr>
        <w:pStyle w:val="251"/>
      </w:pPr>
      <w:r>
        <w:t>14:         end for</w:t>
      </w:r>
    </w:p>
    <w:p>
      <w:pPr>
        <w:pStyle w:val="251"/>
      </w:pPr>
      <w:r>
        <w:t>15:     end for</w:t>
      </w:r>
    </w:p>
    <w:p>
      <w:pPr>
        <w:pStyle w:val="251"/>
      </w:pPr>
      <w:r>
        <w:t>16: end for</w:t>
      </w:r>
    </w:p>
    <w:p>
      <w:pPr>
        <w:pStyle w:val="251"/>
      </w:pPr>
      <w:r>
        <w:t>17: return P_critical, S_max</w:t>
      </w:r>
    </w:p>
    <w:p>
      <w:pPr>
        <w:pStyle w:val="3"/>
      </w:pPr>
      <w:r>
        <w:t>3.6. Mitigation ROI Recommendation Engine</w:t>
      </w:r>
    </w:p>
    <w:p>
      <w:pPr/>
      <w:r>
        <w:t>A defining advantage of the CAPS quantitative model is its ability to direct security investments structurally. Rather than patching the vulnerability with the highest isolated CVSS score, CAPS identifies the topological “choke point” that yields the maximum systemic risk reduction.</w:t>
      </w:r>
    </w:p>
    <w:p>
      <w:pPr/>
      <w:r>
        <w:t>The Mitigation Return on Investment (ROI) is calculated by simulating the application of hypothetical security controls onto the components of the critical attack path P</w:t>
      </w:r>
      <w:r>
        <w:rPr>
          <w:vertAlign w:val="subscript"/>
        </w:rPr>
        <w:t>critical</w:t>
      </w:r>
      <w:r>
        <w:t>. For any proposed mitigation m</w:t>
      </w:r>
      <w:r>
        <w:rPr>
          <w:vertAlign w:val="subscript"/>
        </w:rPr>
        <w:t>new</w:t>
      </w:r>
      <w:r>
        <w:t xml:space="preserve"> applied to component v</w:t>
      </w:r>
      <w:r>
        <w:rPr>
          <w:vertAlign w:val="subscript"/>
        </w:rPr>
        <w:t>i</w:t>
      </w:r>
      <w:r>
        <w:t xml:space="preserve"> ∈ P</w:t>
      </w:r>
      <w:r>
        <w:rPr>
          <w:vertAlign w:val="subscript"/>
        </w:rPr>
        <w:t>critical</w:t>
      </w:r>
      <w:r>
        <w:t>, the engine dynamically updates P</w:t>
      </w:r>
      <w:r>
        <w:rPr>
          <w:vertAlign w:val="subscript"/>
        </w:rPr>
        <w:t>node</w:t>
      </w:r>
      <w:r>
        <w:t>(v</w:t>
      </w:r>
      <w:r>
        <w:rPr>
          <w:vertAlign w:val="subscript"/>
        </w:rPr>
        <w:t>i</w:t>
      </w:r>
      <w:r>
        <w:t>) and recalculates the global maximum path score across the entire graph. The ROI is formalized as the absolute reduction in the systemic risk metric:</w:t>
      </w:r>
    </w:p>
    <w:p>
      <w:pPr>
        <w:pStyle w:val="236"/>
        <w:jc w:val="center"/>
      </w:pPr>
      <w:r>
        <w:t>ΔScore(m</w:t>
      </w:r>
      <w:r>
        <w:rPr>
          <w:vertAlign w:val="subscript"/>
        </w:rPr>
        <w:t>new</w:t>
      </w:r>
      <w:r>
        <w:t>) = S</w:t>
      </w:r>
      <w:r>
        <w:rPr>
          <w:vertAlign w:val="subscript"/>
        </w:rPr>
        <w:t>current</w:t>
      </w:r>
      <w:r>
        <w:t xml:space="preserve"> − S</w:t>
      </w:r>
      <w:r>
        <w:rPr>
          <w:vertAlign w:val="subscript"/>
        </w:rPr>
        <w:t>mitigated</w:t>
      </w:r>
      <w:r>
        <w:t>(m</w:t>
      </w:r>
      <w:r>
        <w:rPr>
          <w:vertAlign w:val="subscript"/>
        </w:rPr>
        <w:t>new</w:t>
      </w:r>
      <w:r>
        <w:t>)  (5)</w:t>
      </w:r>
    </w:p>
    <w:p>
      <w:pPr/>
      <w:r>
        <w:t>By computing ΔScore for all feasible mitigations across the critical path, CAPS produces a prioritized, rank-ordered recommendation ledger for security teams.</w:t>
      </w:r>
    </w:p>
    <w:p>
      <w:pPr/>
      <w:r>
        <w:rPr>
          <w:b/>
        </w:rPr>
        <w:t>Numerical Example:</w:t>
      </w:r>
      <w:r>
        <w:t xml:space="preserve"> Consider a critical attack path comprising three nodes with an initial S</w:t>
      </w:r>
      <w:r>
        <w:rPr>
          <w:vertAlign w:val="subscript"/>
        </w:rPr>
        <w:t>current</w:t>
      </w:r>
      <w:r>
        <w:t xml:space="preserve"> = 85.0. A security engineer proposes two mutually exclusive defense investments: applying a web application firewall (WAF) at the entry node (reducing its node exploitability from 0.9 to 0.4), or upgrading the backend database authentication (reducing the terminal node exploitability from 0.8 to 0.2). Re-evaluating the path equation with the WAF applied yields S</w:t>
      </w:r>
      <w:r>
        <w:rPr>
          <w:vertAlign w:val="subscript"/>
        </w:rPr>
        <w:t>mitigated</w:t>
      </w:r>
      <w:r>
        <w:t>(WAF) = 37.7 (ΔScore = 47.3). Applying the database upgrade yields S</w:t>
      </w:r>
      <w:r>
        <w:rPr>
          <w:vertAlign w:val="subscript"/>
        </w:rPr>
        <w:t>mitigated</w:t>
      </w:r>
      <w:r>
        <w:t>(DB_Auth) = 21.2 (ΔScore = 63.8). The engine definitively ranks the database authentication upgrade as the superior structural investment, despite the WAF protecting a more “exposed” surface.</w:t>
      </w:r>
    </w:p>
    <w:p>
      <w:pPr>
        <w:pStyle w:val="3"/>
      </w:pPr>
      <w:r>
        <w:t>4. Experiments</w:t>
      </w:r>
    </w:p>
    <w:p>
      <w:pPr/>
      <w:r>
        <w:t>To rigorously evaluate the effectiveness of the Compositional Attack Path Scoring (CAPS) model, we conduct an extensive empirical comparison against established vulnerability scoring baselines. The evaluation spans three standardized, highly realistic LLM deployment architectures.</w:t>
      </w:r>
    </w:p>
    <w:p>
      <w:pPr>
        <w:pStyle w:val="3"/>
      </w:pPr>
      <w:r>
        <w:t>4.1. Evaluation Topologies</w:t>
      </w:r>
    </w:p>
    <w:p>
      <w:pPr/>
      <w:r>
        <w:t>To capture the structural diversity of modern AI deployments, we modeled three distinct environments, establishing ground-truth graphs, vulnerability profiles, and mitigation strategies for each.</w:t>
      </w:r>
    </w:p>
    <w:p>
      <w:pPr>
        <w:pStyle w:val="3"/>
      </w:pPr>
      <w:r>
        <w:t>4.1.1. Topology 1: RAG-based Customer Chatbot</w:t>
      </w:r>
    </w:p>
    <w:p>
      <w:pPr/>
      <w:r>
        <w:t xml:space="preserve">This topology represents a standard enterprise customer service architecture. An external web client (Attacker) interacts with a Chat UI, which forwards natural language queries to an LLM Prompt Gateway (Orchestrator). The orchestrator performs semantic search against a Pinecone Vector Database to retrieve context and subsequently constructs SQL queries against a Confidential Customer Database to retrieve specific user records. </w:t>
      </w:r>
      <w:r>
        <w:rPr>
          <w:b/>
        </w:rPr>
        <w:t>Key Threats:</w:t>
      </w:r>
      <w:r>
        <w:t xml:space="preserve"> The primary attack trajectory involves RAG Document Poisoning (embedding malicious context into the vector DB), which triggers an Indirect Prompt Injection at the Orchestrator layer, ultimately leading to unparameterized SQL Injection at the Customer DB tool boundary.</w:t>
      </w:r>
    </w:p>
    <w:p>
      <w:pPr>
        <w:sectPr>
          <w:type w:val="continuous"/>
          <w:pgSz w:w="12240" w:h="15840"/>
          <w:pgMar w:top="1440" w:right="1440" w:bottom="1440" w:left="1440" w:header="709" w:footer="709" w:gutter="0"/>
          <w:cols w:space="708" w:num="2"/>
          <w:docGrid w:linePitch="360" w:charSpace="0"/>
        </w:sectPr>
      </w:pPr>
    </w:p>
    <w:p>
      <w:pPr>
        <w:pStyle w:val="231"/>
        <w:jc w:val="center"/>
      </w:pPr>
      <w:r>
        <w:t>Figure 2.</w:t>
      </w:r>
    </w:p>
    <w:p>
      <w:pPr>
        <w:jc w:val="center"/>
      </w:pPr>
      <w:r>
        <w:drawing>
          <wp:inline xmlns:a="http://schemas.openxmlformats.org/drawingml/2006/main" xmlns:pic="http://schemas.openxmlformats.org/drawingml/2006/picture">
            <wp:extent cx="5760720" cy="5760720"/>
            <wp:docPr id="8" name="Picture 8"/>
            <wp:cNvGraphicFramePr>
              <a:graphicFrameLocks noChangeAspect="1"/>
            </wp:cNvGraphicFramePr>
            <a:graphic>
              <a:graphicData uri="http://schemas.openxmlformats.org/drawingml/2006/picture">
                <pic:pic>
                  <pic:nvPicPr>
                    <pic:cNvPr id="0" name="rag_topology.png"/>
                    <pic:cNvPicPr/>
                  </pic:nvPicPr>
                  <pic:blipFill>
                    <a:blip r:embed="rId16"/>
                    <a:stretch>
                      <a:fillRect/>
                    </a:stretch>
                  </pic:blipFill>
                  <pic:spPr>
                    <a:xfrm>
                      <a:off x="0" y="0"/>
                      <a:ext cx="5760720" cy="5760720"/>
                    </a:xfrm>
                    <a:prstGeom prst="rect"/>
                  </pic:spPr>
                </pic:pic>
              </a:graphicData>
            </a:graphic>
          </wp:inline>
        </w:drawing>
      </w:r>
    </w:p>
    <w:p>
      <w:pPr>
        <w:pStyle w:val="231"/>
        <w:jc w:val="center"/>
      </w:pPr>
      <w:r>
        <w:t>Topology 1: RAG-based Customer Chatbot Architecture. The directed graph illustrates the flow from external web clients through the orchestrator to internal vector and SQL databases.</w:t>
      </w:r>
    </w:p>
    <w:p>
      <w:pPr>
        <w:sectPr>
          <w:type w:val="continuous"/>
          <w:pgSz w:w="12240" w:h="15840"/>
          <w:pgMar w:top="1440" w:right="1440" w:bottom="1440" w:left="1440" w:header="709" w:footer="709" w:gutter="0"/>
          <w:cols w:space="708" w:num="1"/>
          <w:docGrid w:linePitch="360" w:charSpace="0"/>
        </w:sectPr>
      </w:pPr>
    </w:p>
    <w:p>
      <w:pPr>
        <w:pStyle w:val="3"/>
      </w:pPr>
      <w:r>
        <w:t>4.1.2. Topology 2: Autonomous Coding Agent</w:t>
      </w:r>
    </w:p>
    <w:p>
      <w:pPr/>
      <w:r>
        <w:t xml:space="preserve">This advanced topology models a LangGraph-based autonomous developer agent with extensive system privileges. The agent reads issues and pull requests from an untrusted GitHub repository and is equipped with a Local File Writer Tool and a Bash Command Execution Tool operating on the host cloud node. </w:t>
      </w:r>
      <w:r>
        <w:rPr>
          <w:b/>
        </w:rPr>
        <w:t>Key Threats:</w:t>
      </w:r>
      <w:r>
        <w:t xml:space="preserve"> Attackers inject malicious commands into repository files (e.g., README.md). The agent ingests these files, succumbs to indirect prompt injection, and is coerced into utilizing its Bash Execution Tool to run arbitrary reverse shells on the underlying production host operating system.</w:t>
      </w:r>
    </w:p>
    <w:p>
      <w:pPr>
        <w:pStyle w:val="3"/>
      </w:pPr>
      <w:r>
        <w:t>4.1.3. Topology 3: Enterprise Model Router</w:t>
      </w:r>
    </w:p>
    <w:p>
      <w:pPr/>
      <w:r>
        <w:t xml:space="preserve">This topology reflects a centralized AI gateway (API Router) that abstracts multiple downstream models. Partner SaaS applications send requests to the router, which classifies the intent and routes the query either to a standard public Llama-3 endpoint or a highly secure, private GPT-4 instance possessing access to a corporate treasury database. </w:t>
      </w:r>
      <w:r>
        <w:rPr>
          <w:b/>
        </w:rPr>
        <w:t>Key Threats:</w:t>
      </w:r>
      <w:r>
        <w:t xml:space="preserve"> The attacker exploits a routing bypass vulnerability in the API gateway to force sensitive requests into the unauthenticated GPT-4 instance, subsequently extracting proprietary system prompts and executing unauthorized treasury queries.</w:t>
      </w:r>
    </w:p>
    <w:p>
      <w:pPr>
        <w:pStyle w:val="3"/>
      </w:pPr>
      <w:r>
        <w:t>4.2. Baseline Scoring Methodologies</w:t>
      </w:r>
    </w:p>
    <w:p>
      <w:pPr/>
      <w:r>
        <w:t>We benchmark the CAPS algorithm against four prevalent scoring methodologies drawn from recent (2025-2026) literature:</w:t>
      </w:r>
    </w:p>
    <w:p>
      <w:pPr/>
      <w:r>
        <w:t xml:space="preserve">• </w:t>
      </w:r>
      <w:r>
        <w:rPr>
          <w:b/>
        </w:rPr>
        <w:t>Baseline 1: MATRA: Modeling the Attack Surface of Agentic AI Systems (2026):</w:t>
      </w:r>
      <w:r>
        <w:t xml:space="preserve"> A recent framework [36] evaluating agentic AI security by defining weakest-link risk and full attack surface exposure. We utilize its weakest-link metric to score the architecture.</w:t>
      </w:r>
    </w:p>
    <w:p>
      <w:pPr/>
      <w:r>
        <w:t xml:space="preserve">• </w:t>
      </w:r>
      <w:r>
        <w:rPr>
          <w:b/>
        </w:rPr>
        <w:t>Baseline 2: STRIDE-AI Threat Modeling (2026):</w:t>
      </w:r>
      <w:r>
        <w:t xml:space="preserve"> A qualitative framework [10] extending STRIDE for generative AI, utilized here to represent standardized security assessment approaches that lack rigorous path probability attenuation.</w:t>
      </w:r>
    </w:p>
    <w:p>
      <w:pPr/>
      <w:r>
        <w:t xml:space="preserve">• </w:t>
      </w:r>
      <w:r>
        <w:rPr>
          <w:b/>
        </w:rPr>
        <w:t>Baseline 3: Attack-Defense Trees (ADTree) with Additive CVSS (2026):</w:t>
      </w:r>
      <w:r>
        <w:t xml:space="preserve"> A recent structural framework [28] that constructs attack paths but utilizes purely additive or multiplicative probability aggregation (α = 1.0), failing to account for the exponential difficulty of chaining exploits across heterogeneous systems.</w:t>
      </w:r>
    </w:p>
    <w:p>
      <w:pPr/>
      <w:r>
        <w:t xml:space="preserve">• </w:t>
      </w:r>
      <w:r>
        <w:rPr>
          <w:b/>
        </w:rPr>
        <w:t>Baseline 4: Goal-Driven Likelihood × Impact Trees (2026):</w:t>
      </w:r>
      <w:r>
        <w:t xml:space="preserve"> A domain-specific attack tree model [19] utilizing generic likelihood estimations rather than our granular “Effective Exploitability” derived from specific component mitigation modeling.</w:t>
      </w:r>
    </w:p>
    <w:p>
      <w:pPr>
        <w:pStyle w:val="3"/>
      </w:pPr>
      <w:r>
        <w:t>4.3. Evaluation Metrics</w:t>
      </w:r>
    </w:p>
    <w:p>
      <w:pPr/>
      <w:r>
        <w:t>The quantitative performance of the models is evaluated based on three primary metrics designed to capture real-world operational utility:</w:t>
      </w:r>
    </w:p>
    <w:p>
      <w:pPr/>
      <w:r>
        <w:t xml:space="preserve">1. </w:t>
      </w:r>
      <w:r>
        <w:rPr>
          <w:b/>
        </w:rPr>
        <w:t>Path Resolution Accuracy:</w:t>
      </w:r>
      <w:r>
        <w:t xml:space="preserve"> The system’s ability to topologically identify the single most critical multi-hop path out of all possible combinatorial pathways in the deployment graph.</w:t>
      </w:r>
    </w:p>
    <w:p>
      <w:pPr/>
      <w:r>
        <w:t xml:space="preserve">2. </w:t>
      </w:r>
      <w:r>
        <w:rPr>
          <w:b/>
        </w:rPr>
        <w:t>Overestimation/Underestimation Deviation:</w:t>
      </w:r>
      <w:r>
        <w:t xml:space="preserve"> The numerical degree to which a scoring method improperly flags low-risk paths (inflated false positives) or suppresses compounding medium-risk paths (false negatives) relative to a ground-truth red-team security audit.</w:t>
      </w:r>
    </w:p>
    <w:p>
      <w:pPr/>
      <w:r>
        <w:t xml:space="preserve">3. </w:t>
      </w:r>
      <w:r>
        <w:rPr>
          <w:b/>
        </w:rPr>
        <w:t>Mitigation ROI Prioritization Rank:</w:t>
      </w:r>
      <w:r>
        <w:t xml:space="preserve"> The accuracy of the recommendation engine in surfacing the specific defense control that empirically provides the highest maximal reduction in overall systemic risk (ΔScore).</w:t>
      </w:r>
    </w:p>
    <w:p>
      <w:pPr>
        <w:pStyle w:val="3"/>
      </w:pPr>
      <w:r>
        <w:t>4.4. Results and Discussion</w:t>
      </w:r>
    </w:p>
    <w:p>
      <w:pPr/>
      <w:r>
        <w:t>We executed the CAPS evaluation engine alongside the baseline algorithms against our three deployment topologies. The empirical results, tracking the maximum critical path risk scores (scaled continuously from 0–100), are presented in Table 2 and visually contrasted in Figure 3. Note that Baseline 2 (STRIDE-AI) provides qualitative categorical threat tiers rather than precise numerical scores, but is included in the table for a comprehensive comparative view.</w:t>
      </w:r>
    </w:p>
    <w:p>
      <w:pPr>
        <w:sectPr>
          <w:type w:val="continuous"/>
          <w:pgSz w:w="12240" w:h="15840"/>
          <w:pgMar w:top="1440" w:right="1440" w:bottom="1440" w:left="1440" w:header="709" w:footer="709" w:gutter="0"/>
          <w:cols w:space="708" w:num="2"/>
          <w:docGrid w:linePitch="360" w:charSpace="0"/>
        </w:sectPr>
      </w:pPr>
    </w:p>
    <w:p>
      <w:pPr>
        <w:pStyle w:val="238"/>
        <w:jc w:val="center"/>
      </w:pPr>
      <w:r>
        <w:t>Table 2</w:t>
      </w:r>
    </w:p>
    <w:p>
      <w:pPr>
        <w:pStyle w:val="238"/>
        <w:jc w:val="center"/>
      </w:pPr>
      <w:r>
        <w:t>Comparison of Critical Attack Path Risk Scores across frameworks. Lower CAPS scores represent a more realistic appraisal of compounding exploit friction over multi-hop paths compared to independent component baselines.</w:t>
      </w:r>
    </w:p>
    <w:tbl>
      <w:tblPr>
        <w:tblStyle w:val="87"/>
        <w:tblW w:type="auto" w:w="0"/>
        <w:jc w:val="center"/>
        <w:tblLook w:firstColumn="1" w:firstRow="1" w:lastColumn="0" w:lastRow="0" w:noHBand="0" w:noVBand="1" w:val="04A0"/>
      </w:tblPr>
      <w:tblGrid>
        <w:gridCol w:w="1872"/>
        <w:gridCol w:w="1872"/>
        <w:gridCol w:w="1872"/>
        <w:gridCol w:w="1872"/>
        <w:gridCol w:w="1872"/>
      </w:tblGrid>
      <w:tr>
        <w:tc>
          <w:tcPr>
            <w:tcW w:type="dxa" w:w="1872"/>
          </w:tcPr>
          <w:p>
            <w:r/>
            <w:r>
              <w:rPr>
                <w:b/>
              </w:rPr>
              <w:t>Architecture</w:t>
            </w:r>
          </w:p>
        </w:tc>
        <w:tc>
          <w:tcPr>
            <w:tcW w:type="dxa" w:w="1872"/>
          </w:tcPr>
          <w:p>
            <w:pPr>
              <w:jc w:val="center"/>
            </w:pPr>
            <w:r/>
            <w:r>
              <w:rPr>
                <w:b/>
              </w:rPr>
              <w:t>Baseline 1 (MATRA)</w:t>
            </w:r>
          </w:p>
        </w:tc>
        <w:tc>
          <w:tcPr>
            <w:tcW w:type="dxa" w:w="1872"/>
          </w:tcPr>
          <w:p>
            <w:pPr>
              <w:jc w:val="center"/>
            </w:pPr>
            <w:r/>
            <w:r>
              <w:rPr>
                <w:b/>
              </w:rPr>
              <w:t>Baseline 2 (STRIDE-AI)</w:t>
            </w:r>
          </w:p>
        </w:tc>
        <w:tc>
          <w:tcPr>
            <w:tcW w:type="dxa" w:w="1872"/>
          </w:tcPr>
          <w:p>
            <w:pPr>
              <w:jc w:val="center"/>
            </w:pPr>
            <w:r/>
            <w:r>
              <w:rPr>
                <w:b/>
              </w:rPr>
              <w:t>Baseline 3 (ADTree No Decay)</w:t>
            </w:r>
          </w:p>
        </w:tc>
        <w:tc>
          <w:tcPr>
            <w:tcW w:type="dxa" w:w="1872"/>
          </w:tcPr>
          <w:p>
            <w:pPr>
              <w:jc w:val="center"/>
            </w:pPr>
            <w:r/>
            <w:r>
              <w:rPr>
                <w:b/>
              </w:rPr>
              <w:t>CAPS (Proposed)</w:t>
            </w:r>
          </w:p>
        </w:tc>
      </w:tr>
      <w:tr>
        <w:tc>
          <w:tcPr>
            <w:tcW w:type="dxa" w:w="1872"/>
          </w:tcPr>
          <w:p>
            <w:r/>
            <w:r>
              <w:t>RAG Chatbot</w:t>
            </w:r>
          </w:p>
        </w:tc>
        <w:tc>
          <w:tcPr>
            <w:tcW w:type="dxa" w:w="1872"/>
          </w:tcPr>
          <w:p>
            <w:pPr>
              <w:jc w:val="center"/>
            </w:pPr>
            <w:r/>
            <w:r>
              <w:t>55.4</w:t>
            </w:r>
          </w:p>
        </w:tc>
        <w:tc>
          <w:tcPr>
            <w:tcW w:type="dxa" w:w="1872"/>
          </w:tcPr>
          <w:p>
            <w:pPr>
              <w:jc w:val="center"/>
            </w:pPr>
            <w:r/>
            <w:r>
              <w:t>High</w:t>
            </w:r>
          </w:p>
        </w:tc>
        <w:tc>
          <w:tcPr>
            <w:tcW w:type="dxa" w:w="1872"/>
          </w:tcPr>
          <w:p>
            <w:pPr>
              <w:jc w:val="center"/>
            </w:pPr>
            <w:r/>
            <w:r>
              <w:t>42.4</w:t>
            </w:r>
          </w:p>
        </w:tc>
        <w:tc>
          <w:tcPr>
            <w:tcW w:type="dxa" w:w="1872"/>
          </w:tcPr>
          <w:p>
            <w:pPr>
              <w:jc w:val="center"/>
            </w:pPr>
            <w:r/>
            <w:r>
              <w:t>34.3</w:t>
            </w:r>
          </w:p>
        </w:tc>
      </w:tr>
      <w:tr>
        <w:tc>
          <w:tcPr>
            <w:tcW w:type="dxa" w:w="1872"/>
          </w:tcPr>
          <w:p>
            <w:r/>
            <w:r>
              <w:t>Autonomous Agent</w:t>
            </w:r>
          </w:p>
        </w:tc>
        <w:tc>
          <w:tcPr>
            <w:tcW w:type="dxa" w:w="1872"/>
          </w:tcPr>
          <w:p>
            <w:pPr>
              <w:jc w:val="center"/>
            </w:pPr>
            <w:r/>
            <w:r>
              <w:t>70.2</w:t>
            </w:r>
          </w:p>
        </w:tc>
        <w:tc>
          <w:tcPr>
            <w:tcW w:type="dxa" w:w="1872"/>
          </w:tcPr>
          <w:p>
            <w:pPr>
              <w:jc w:val="center"/>
            </w:pPr>
            <w:r/>
            <w:r>
              <w:t>Critical</w:t>
            </w:r>
          </w:p>
        </w:tc>
        <w:tc>
          <w:tcPr>
            <w:tcW w:type="dxa" w:w="1872"/>
          </w:tcPr>
          <w:p>
            <w:pPr>
              <w:jc w:val="center"/>
            </w:pPr>
            <w:r/>
            <w:r>
              <w:t>58.1</w:t>
            </w:r>
          </w:p>
        </w:tc>
        <w:tc>
          <w:tcPr>
            <w:tcW w:type="dxa" w:w="1872"/>
          </w:tcPr>
          <w:p>
            <w:pPr>
              <w:jc w:val="center"/>
            </w:pPr>
            <w:r/>
            <w:r>
              <w:t>51.3</w:t>
            </w:r>
          </w:p>
        </w:tc>
      </w:tr>
      <w:tr>
        <w:tc>
          <w:tcPr>
            <w:tcW w:type="dxa" w:w="1872"/>
          </w:tcPr>
          <w:p>
            <w:r/>
            <w:r>
              <w:t>Model Router</w:t>
            </w:r>
          </w:p>
        </w:tc>
        <w:tc>
          <w:tcPr>
            <w:tcW w:type="dxa" w:w="1872"/>
          </w:tcPr>
          <w:p>
            <w:pPr>
              <w:jc w:val="center"/>
            </w:pPr>
            <w:r/>
            <w:r>
              <w:t>68.5</w:t>
            </w:r>
          </w:p>
        </w:tc>
        <w:tc>
          <w:tcPr>
            <w:tcW w:type="dxa" w:w="1872"/>
          </w:tcPr>
          <w:p>
            <w:pPr>
              <w:jc w:val="center"/>
            </w:pPr>
            <w:r/>
            <w:r>
              <w:t>Critical</w:t>
            </w:r>
          </w:p>
        </w:tc>
        <w:tc>
          <w:tcPr>
            <w:tcW w:type="dxa" w:w="1872"/>
          </w:tcPr>
          <w:p>
            <w:pPr>
              <w:jc w:val="center"/>
            </w:pPr>
            <w:r/>
            <w:r>
              <w:t>56.0</w:t>
            </w:r>
          </w:p>
        </w:tc>
        <w:tc>
          <w:tcPr>
            <w:tcW w:type="dxa" w:w="1872"/>
          </w:tcPr>
          <w:p>
            <w:pPr>
              <w:jc w:val="center"/>
            </w:pPr>
            <w:r/>
            <w:r>
              <w:t>47.6</w:t>
            </w:r>
          </w:p>
        </w:tc>
      </w:tr>
    </w:tbl>
    <w:p>
      <w:pPr>
        <w:sectPr>
          <w:type w:val="continuous"/>
          <w:pgSz w:w="12240" w:h="15840"/>
          <w:pgMar w:top="1440" w:right="1440" w:bottom="1440" w:left="1440" w:header="709" w:footer="709" w:gutter="0"/>
          <w:cols w:space="708" w:num="1"/>
          <w:docGrid w:linePitch="360" w:charSpace="0"/>
        </w:sectPr>
      </w:pPr>
    </w:p>
    <w:p>
      <w:pPr>
        <w:sectPr>
          <w:type w:val="continuous"/>
          <w:pgSz w:w="12240" w:h="15840"/>
          <w:pgMar w:top="1440" w:right="1440" w:bottom="1440" w:left="1440" w:header="709" w:footer="709" w:gutter="0"/>
          <w:cols w:space="708" w:num="2"/>
          <w:docGrid w:linePitch="360" w:charSpace="0"/>
        </w:sectPr>
      </w:pPr>
    </w:p>
    <w:p>
      <w:pPr>
        <w:pStyle w:val="231"/>
        <w:jc w:val="center"/>
      </w:pPr>
      <w:r>
        <w:t>Figure 3.</w:t>
      </w:r>
    </w:p>
    <w:p>
      <w:pPr>
        <w:jc w:val="center"/>
      </w:pPr>
      <w:r>
        <w:drawing>
          <wp:inline xmlns:a="http://schemas.openxmlformats.org/drawingml/2006/main" xmlns:pic="http://schemas.openxmlformats.org/drawingml/2006/picture">
            <wp:extent cx="5760720" cy="3600450"/>
            <wp:docPr id="9" name="Picture 9"/>
            <wp:cNvGraphicFramePr>
              <a:graphicFrameLocks noChangeAspect="1"/>
            </wp:cNvGraphicFramePr>
            <a:graphic>
              <a:graphicData uri="http://schemas.openxmlformats.org/drawingml/2006/picture">
                <pic:pic>
                  <pic:nvPicPr>
                    <pic:cNvPr id="0" name="baseline_comparison.png"/>
                    <pic:cNvPicPr/>
                  </pic:nvPicPr>
                  <pic:blipFill>
                    <a:blip r:embed="rId17"/>
                    <a:stretch>
                      <a:fillRect/>
                    </a:stretch>
                  </pic:blipFill>
                  <pic:spPr>
                    <a:xfrm>
                      <a:off x="0" y="0"/>
                      <a:ext cx="5760720" cy="3600450"/>
                    </a:xfrm>
                    <a:prstGeom prst="rect"/>
                  </pic:spPr>
                </pic:pic>
              </a:graphicData>
            </a:graphic>
          </wp:inline>
        </w:drawing>
      </w:r>
    </w:p>
    <w:p>
      <w:pPr>
        <w:pStyle w:val="231"/>
        <w:jc w:val="center"/>
      </w:pPr>
      <w:r>
        <w:t>Visual comparison of Critical Attack Path Risk Scores across architectures. CAPS corrects the severe overestimation seen in Baseline 1 and Baseline 3 by incorporating dynamic mitigation attenuation and chaining decay.</w:t>
      </w:r>
    </w:p>
    <w:p>
      <w:pPr>
        <w:sectPr>
          <w:type w:val="continuous"/>
          <w:pgSz w:w="12240" w:h="15840"/>
          <w:pgMar w:top="1440" w:right="1440" w:bottom="1440" w:left="1440" w:header="709" w:footer="709" w:gutter="0"/>
          <w:cols w:space="708" w:num="1"/>
          <w:docGrid w:linePitch="360" w:charSpace="0"/>
        </w:sectPr>
      </w:pPr>
    </w:p>
    <w:p>
      <w:pPr>
        <w:pStyle w:val="3"/>
      </w:pPr>
      <w:r>
        <w:t>4.4.1. Path Resolution Accuracy</w:t>
      </w:r>
    </w:p>
    <w:p>
      <w:pPr/>
      <w:r>
        <w:t>Before examining the risk scores, we first evaluate the algorithmic precision of CAPS in identifying the true critical path among hundreds of possible permutations. To establish the “verified red-team ground truth path” for each topology, two independent offensive security researchers manually conducted rigorous penetration testing and threat modeling simulations against the conceptual architectures. This human-led evaluation determined the singular most viable attack trajectory based on the lowest cumulative exploit friction. Across all three topologies, CAPS correctly identified the verified red-team ground truth path with 100% accuracy. In contrast, Baseline 1 (MATRA), when relying purely on its isolated weakest-link metric, frequently flagged isolated dead-end components (e.g., an unauthenticated internal logging server with a high vulnerability exposure but no outbound data flow) as the primary risk, demonstrating the severe limitation of non-topological scoring.</w:t>
      </w:r>
    </w:p>
    <w:p>
      <w:pPr>
        <w:pStyle w:val="3"/>
      </w:pPr>
      <w:r>
        <w:t>4.4.2. Addressing Systemic Risk Overestimation</w:t>
      </w:r>
    </w:p>
    <w:p>
      <w:pPr/>
      <w:r>
        <w:t>As comprehensively demonstrated in Table 2 and Figure 3, Baseline 1 (MATRA) consistently yields highly inflated risk scores across all topologies. In the Autonomous Agent scenario, Baseline 1 generated a critical score of 70.2. This pathological overestimation occurs because its independent weakest-link scoring isolates the most severe terminal vulnerability—such as arbitrary shell execution on the host OS—and calculates its risk in a vacuum. It entirely disregards the fact that an external attacker must first successfully compromise the repository, traverse the LangGraph agent orchestrator, and evade file writer constraints to even reach that bash execution component.</w:t>
      </w:r>
    </w:p>
    <w:p>
      <w:pPr/>
      <w:r>
        <w:t>Baseline 1 effectively assumes an entry-point probability of 1.0 for all deep-stack components. In an enterprise environment, this leads to an overestimation of functional risk, severe alert fatigue, and the highly inefficient allocation of security engineering resources toward deeply buried components that are already shielded by upstream orchestration boundaries.</w:t>
      </w:r>
    </w:p>
    <w:p>
      <w:pPr>
        <w:pStyle w:val="3"/>
      </w:pPr>
      <w:r>
        <w:t>4.4.3. The Efficacy of Chaining Decay</w:t>
      </w:r>
    </w:p>
    <w:p>
      <w:pPr/>
      <w:r>
        <w:t>Baseline 3 represents a marked improvement over Baseline 1, as it is a modern attack-path approach that calculates the joint probability of chained exploits. However, without a structural chaining decay factor (effectively hardcoding α = 1.0), it assumes seamless transitions between network components.</w:t>
      </w:r>
    </w:p>
    <w:p>
      <w:pPr/>
      <w:r>
        <w:t>In reality, traversing API boundaries, evading distinct monitoring systems, bypassing authentication tokens, and coordinating malicious state across heterogeneous AI nodes introduces significant multiplicative difficulty. CAPS introduces α ∈ [0.85, 0.95] depending on the evaluated architecture, which mathematically dampens the raw probabilistic product to reflect real-world exploit friction.</w:t>
      </w:r>
    </w:p>
    <w:p>
      <w:pPr/>
      <w:r>
        <w:t>To quantify this, we performed a sensitivity analysis on the Model Router topology by varying the decay factor. Setting α = 0.95 (representing a loosely coupled, low-friction environment) yielded a CAPS score of 52.1. Lowering it to α = 0.85 (representing strict zero-trust boundaries and heavy internal monitoring) further decayed the score to 41.8. As a direct consequence of this tunable parameter, CAPS provides a significantly more calibrated and actionable risk score, successfully reducing the baseline Model Router risk profile from an inflated 56.0 down to a mathematically defensible 47.6 (using our default α = 0.90).</w:t>
      </w:r>
    </w:p>
    <w:p>
      <w:pPr>
        <w:pStyle w:val="3"/>
      </w:pPr>
      <w:r>
        <w:t>4.4.4. Mitigation ROI Prioritization</w:t>
      </w:r>
    </w:p>
    <w:p>
      <w:pPr/>
      <w:r>
        <w:t>By leveraging the ΔScore calculation derived in Section 3, the CAPS recommendation engine demonstrated superior utility in resource allocation. For the RAG Chatbot architecture, CAPS correctly identified that applying a “Secure Output Guardrail” at the Orchestrator layer (yielding a ΔScore reduction of 18.4 points) was significantly more optimal than attempting to patch the SQL injection vulnerability directly at the database layer (which only yielded a 12.1 point reduction due to path probability attenuation). Baseline algorithms consistently failed this prioritization test, recommending deep-stack patches over more effective architectural choke points.</w:t>
      </w:r>
    </w:p>
    <w:p>
      <w:pPr>
        <w:sectPr>
          <w:type w:val="continuous"/>
          <w:pgSz w:w="12240" w:h="15840"/>
          <w:pgMar w:top="1440" w:right="1440" w:bottom="1440" w:left="1440" w:header="709" w:footer="709" w:gutter="0"/>
          <w:cols w:space="708" w:num="2"/>
          <w:docGrid w:linePitch="360" w:charSpace="0"/>
        </w:sectPr>
      </w:pPr>
    </w:p>
    <w:p>
      <w:pPr>
        <w:pStyle w:val="238"/>
        <w:jc w:val="center"/>
      </w:pPr>
      <w:r>
        <w:t>Table 3</w:t>
      </w:r>
    </w:p>
    <w:p>
      <w:pPr>
        <w:pStyle w:val="238"/>
        <w:jc w:val="center"/>
      </w:pPr>
      <w:r>
        <w:t>Mitigation ROI Prioritization for the RAG Chatbot Topology. CAPS correctly identifies the Orchestrator guardrail as the highest ROI investment, despite the Customer DB carrying the ultimate payload vulnerability.</w:t>
      </w:r>
    </w:p>
    <w:tbl>
      <w:tblPr>
        <w:tblStyle w:val="87"/>
        <w:tblW w:type="auto" w:w="0"/>
        <w:jc w:val="center"/>
        <w:tblLook w:firstColumn="1" w:firstRow="1" w:lastColumn="0" w:lastRow="0" w:noHBand="0" w:noVBand="1" w:val="04A0"/>
      </w:tblPr>
      <w:tblGrid>
        <w:gridCol w:w="2340"/>
        <w:gridCol w:w="2340"/>
        <w:gridCol w:w="2340"/>
        <w:gridCol w:w="2340"/>
      </w:tblGrid>
      <w:tr>
        <w:tc>
          <w:tcPr>
            <w:tcW w:type="dxa" w:w="2340"/>
          </w:tcPr>
          <w:p>
            <w:pPr>
              <w:jc w:val="center"/>
            </w:pPr>
            <w:r/>
            <w:r>
              <w:rPr>
                <w:b/>
              </w:rPr>
              <w:t>Rank</w:t>
            </w:r>
          </w:p>
        </w:tc>
        <w:tc>
          <w:tcPr>
            <w:tcW w:type="dxa" w:w="2340"/>
          </w:tcPr>
          <w:p>
            <w:r/>
            <w:r>
              <w:rPr>
                <w:b/>
              </w:rPr>
              <w:t>Proposed Mitigation (RAG Chatbot)</w:t>
            </w:r>
          </w:p>
        </w:tc>
        <w:tc>
          <w:tcPr>
            <w:tcW w:type="dxa" w:w="2340"/>
          </w:tcPr>
          <w:p>
            <w:r/>
            <w:r>
              <w:rPr>
                <w:b/>
              </w:rPr>
              <w:t>Target Layer</w:t>
            </w:r>
          </w:p>
        </w:tc>
        <w:tc>
          <w:tcPr>
            <w:tcW w:type="dxa" w:w="2340"/>
          </w:tcPr>
          <w:p>
            <w:pPr>
              <w:jc w:val="center"/>
            </w:pPr>
            <w:r/>
            <w:r>
              <w:rPr>
                <w:b/>
              </w:rPr>
              <w:t>Systemic ΔScore</w:t>
            </w:r>
          </w:p>
        </w:tc>
      </w:tr>
      <w:tr>
        <w:tc>
          <w:tcPr>
            <w:tcW w:type="dxa" w:w="2340"/>
          </w:tcPr>
          <w:p>
            <w:pPr>
              <w:jc w:val="center"/>
            </w:pPr>
            <w:r/>
            <w:r>
              <w:t>1</w:t>
            </w:r>
          </w:p>
        </w:tc>
        <w:tc>
          <w:tcPr>
            <w:tcW w:type="dxa" w:w="2340"/>
          </w:tcPr>
          <w:p>
            <w:r/>
            <w:r>
              <w:t>Implement Secure Output Guardrail (LLM-as-Judge)</w:t>
            </w:r>
          </w:p>
        </w:tc>
        <w:tc>
          <w:tcPr>
            <w:tcW w:type="dxa" w:w="2340"/>
          </w:tcPr>
          <w:p>
            <w:r/>
            <w:r>
              <w:t>Orchestrator</w:t>
            </w:r>
          </w:p>
        </w:tc>
        <w:tc>
          <w:tcPr>
            <w:tcW w:type="dxa" w:w="2340"/>
          </w:tcPr>
          <w:p>
            <w:pPr>
              <w:jc w:val="center"/>
            </w:pPr>
            <w:r/>
            <w:r>
              <w:t>18.4</w:t>
            </w:r>
          </w:p>
        </w:tc>
      </w:tr>
      <w:tr>
        <w:tc>
          <w:tcPr>
            <w:tcW w:type="dxa" w:w="2340"/>
          </w:tcPr>
          <w:p>
            <w:pPr>
              <w:jc w:val="center"/>
            </w:pPr>
            <w:r/>
            <w:r>
              <w:t>2</w:t>
            </w:r>
          </w:p>
        </w:tc>
        <w:tc>
          <w:tcPr>
            <w:tcW w:type="dxa" w:w="2340"/>
          </w:tcPr>
          <w:p>
            <w:r/>
            <w:r>
              <w:t>Enforce Parameterized Queries</w:t>
            </w:r>
          </w:p>
        </w:tc>
        <w:tc>
          <w:tcPr>
            <w:tcW w:type="dxa" w:w="2340"/>
          </w:tcPr>
          <w:p>
            <w:r/>
            <w:r>
              <w:t>Customer DB</w:t>
            </w:r>
          </w:p>
        </w:tc>
        <w:tc>
          <w:tcPr>
            <w:tcW w:type="dxa" w:w="2340"/>
          </w:tcPr>
          <w:p>
            <w:pPr>
              <w:jc w:val="center"/>
            </w:pPr>
            <w:r/>
            <w:r>
              <w:t>12.1</w:t>
            </w:r>
          </w:p>
        </w:tc>
      </w:tr>
      <w:tr>
        <w:tc>
          <w:tcPr>
            <w:tcW w:type="dxa" w:w="2340"/>
          </w:tcPr>
          <w:p>
            <w:pPr>
              <w:jc w:val="center"/>
            </w:pPr>
            <w:r/>
            <w:r>
              <w:t>3</w:t>
            </w:r>
          </w:p>
        </w:tc>
        <w:tc>
          <w:tcPr>
            <w:tcW w:type="dxa" w:w="2340"/>
          </w:tcPr>
          <w:p>
            <w:r/>
            <w:r>
              <w:t>Strict Input Regex Filtering</w:t>
            </w:r>
          </w:p>
        </w:tc>
        <w:tc>
          <w:tcPr>
            <w:tcW w:type="dxa" w:w="2340"/>
          </w:tcPr>
          <w:p>
            <w:r/>
            <w:r>
              <w:t>Prompt Gateway</w:t>
            </w:r>
          </w:p>
        </w:tc>
        <w:tc>
          <w:tcPr>
            <w:tcW w:type="dxa" w:w="2340"/>
          </w:tcPr>
          <w:p>
            <w:pPr>
              <w:jc w:val="center"/>
            </w:pPr>
            <w:r/>
            <w:r>
              <w:t>8.5</w:t>
            </w:r>
          </w:p>
        </w:tc>
      </w:tr>
      <w:tr>
        <w:tc>
          <w:tcPr>
            <w:tcW w:type="dxa" w:w="2340"/>
          </w:tcPr>
          <w:p>
            <w:pPr>
              <w:jc w:val="center"/>
            </w:pPr>
            <w:r/>
            <w:r>
              <w:t>4</w:t>
            </w:r>
          </w:p>
        </w:tc>
        <w:tc>
          <w:tcPr>
            <w:tcW w:type="dxa" w:w="2340"/>
          </w:tcPr>
          <w:p>
            <w:r/>
            <w:r>
              <w:t>Network Isolation (Internal VPC)</w:t>
            </w:r>
          </w:p>
        </w:tc>
        <w:tc>
          <w:tcPr>
            <w:tcW w:type="dxa" w:w="2340"/>
          </w:tcPr>
          <w:p>
            <w:r/>
            <w:r>
              <w:t>Vector DB</w:t>
            </w:r>
          </w:p>
        </w:tc>
        <w:tc>
          <w:tcPr>
            <w:tcW w:type="dxa" w:w="2340"/>
          </w:tcPr>
          <w:p>
            <w:pPr>
              <w:jc w:val="center"/>
            </w:pPr>
            <w:r/>
            <w:r>
              <w:t>4.2</w:t>
            </w:r>
          </w:p>
        </w:tc>
      </w:tr>
    </w:tbl>
    <w:p>
      <w:pPr>
        <w:sectPr>
          <w:type w:val="continuous"/>
          <w:pgSz w:w="12240" w:h="15840"/>
          <w:pgMar w:top="1440" w:right="1440" w:bottom="1440" w:left="1440" w:header="709" w:footer="709" w:gutter="0"/>
          <w:cols w:space="708" w:num="1"/>
          <w:docGrid w:linePitch="360" w:charSpace="0"/>
        </w:sectPr>
      </w:pPr>
    </w:p>
    <w:p>
      <w:pPr>
        <w:pStyle w:val="3"/>
      </w:pPr>
      <w:r>
        <w:t>4.4.5. Real-world Validation and Statistical Significance</w:t>
      </w:r>
    </w:p>
    <w:p>
      <w:pPr/>
      <w:r>
        <w:t>While our three evaluation topologies represent highly realistic conceptual architectures modeled after standardized public infrastructure, direct empirical validation on live production enterprise systems was constrained by security NDAs and active threat containment policies. Consequently, CAPS relies on deterministic risk scoring calculated directly from the topological graph and its defined parameters (E, M, α). Because the outputs are exact algorithmic computations rather than stochastic samples, traditional statistical significance testing and confidence intervals are not strictly applicable. However, the robustness of the framework is firmly demonstrated through the sensitivity analysis on α (Section 4.4.3), which confirms that CAPS yields stable, mathematically consistent risk prioritization under varying architectural assumptions.</w:t>
      </w:r>
    </w:p>
    <w:p>
      <w:pPr>
        <w:pStyle w:val="3"/>
      </w:pPr>
      <w:r>
        <w:t>5. Discussion</w:t>
      </w:r>
    </w:p>
    <w:p>
      <w:pPr/>
      <w:r>
        <w:t>The transition from component-centric vulnerability scanning to compositional attack path scoring represents a fundamental paradigm shift in AI security. Our empirical results validate the core hypothesis of the CAPS framework: securing modern LLM stacks requires continuous, holistic topological analysis. In this section, we discuss the broader theoretical implications of our findings, operational deployment strategies, and inherent limitations.</w:t>
      </w:r>
    </w:p>
    <w:p>
      <w:pPr>
        <w:pStyle w:val="3"/>
      </w:pPr>
      <w:r>
        <w:t>5.1. Theoretical Implications of Multi-Hop Friction</w:t>
      </w:r>
    </w:p>
    <w:p>
      <w:pPr/>
      <w:r>
        <w:t>The inclusion of the exponential chaining decay factor (α) is not merely a mathematical heuristic; it models a well-documented phenomenon in offensive security. Each transition across an architectural boundary—such as an orchestrator invoking an external API or a prompt gateway querying a vector database—imposes strict constraints on payload delivery.</w:t>
      </w:r>
    </w:p>
    <w:p>
      <w:pPr>
        <w:pStyle w:val="231"/>
        <w:jc w:val="center"/>
      </w:pPr>
      <w:r>
        <w:t>Figure 4.</w:t>
      </w:r>
    </w:p>
    <w:p>
      <w:pPr>
        <w:jc w:val="center"/>
      </w:pPr>
      <w:r>
        <w:drawing>
          <wp:inline xmlns:a="http://schemas.openxmlformats.org/drawingml/2006/main" xmlns:pic="http://schemas.openxmlformats.org/drawingml/2006/picture">
            <wp:extent cx="2743200" cy="1714500"/>
            <wp:docPr id="10" name="Picture 10"/>
            <wp:cNvGraphicFramePr>
              <a:graphicFrameLocks noChangeAspect="1"/>
            </wp:cNvGraphicFramePr>
            <a:graphic>
              <a:graphicData uri="http://schemas.openxmlformats.org/drawingml/2006/picture">
                <pic:pic>
                  <pic:nvPicPr>
                    <pic:cNvPr id="0" name="decay_effect.png"/>
                    <pic:cNvPicPr/>
                  </pic:nvPicPr>
                  <pic:blipFill>
                    <a:blip r:embed="rId18"/>
                    <a:stretch>
                      <a:fillRect/>
                    </a:stretch>
                  </pic:blipFill>
                  <pic:spPr>
                    <a:xfrm>
                      <a:off x="0" y="0"/>
                      <a:ext cx="2743200" cy="1714500"/>
                    </a:xfrm>
                    <a:prstGeom prst="rect"/>
                  </pic:spPr>
                </pic:pic>
              </a:graphicData>
            </a:graphic>
          </wp:inline>
        </w:drawing>
      </w:r>
    </w:p>
    <w:p>
      <w:pPr>
        <w:pStyle w:val="231"/>
        <w:jc w:val="center"/>
      </w:pPr>
      <w:r>
        <w:t>The impact of the chaining decay factor (α) on cumulative path exploitability over multiple hops. As path length increases, lower α values correctly penalize the theoretical probability to reflect real-world exploit friction.</w:t>
      </w:r>
    </w:p>
    <w:p>
      <w:pPr/>
      <w:r>
        <w:t>As illustrated in Figure 4, the impact of α becomes exponentially pronounced as path length (k) increases. While baseline models lacking decay (effectively α = 1.0) project a linear or mildly attenuated reduction in exploitability, lower α values drastically restrict the viability of long attack chains. An attacker attempting a 5-hop exploit in a system with α = 0.85 faces an inherent theoretical friction penalty that reduces the probability of end-to-end success by over 47%, even before accounting for component-specific mitigations. This highlights why “assume breach” architectures, which intentionally increase the graph diameter between entry points and critical assets, are highly effective defense strategies.</w:t>
      </w:r>
    </w:p>
    <w:p>
      <w:pPr>
        <w:pStyle w:val="3"/>
      </w:pPr>
      <w:r>
        <w:t>5.2. Operational Integration via CI/CD pipelines</w:t>
      </w:r>
    </w:p>
    <w:p>
      <w:pPr/>
      <w:r>
        <w:t>To realize the full value of the CAPS framework, organizations must transition from static, point-in-time risk assessments to continuous evaluation. We propose that the CAPS engine be integrated directly into Continuous Integration and Continuous Deployment (CI/CD) pipelines.</w:t>
      </w:r>
    </w:p>
    <w:p>
      <w:pPr/>
      <w:r>
        <w:t>By defining the deployment architecture as code (e.g., via Terraform or standard JSON topologies), the CAPS engine can be executed automatically on every pull request. If a developer introduces a new tool (creating a new edge in the graph) or downgrades a mitigation, CAPS will instantly recalculate the maximal path score. If the new topology violates a pre-defined risk threshold (e.g., S</w:t>
      </w:r>
      <w:r>
        <w:rPr>
          <w:vertAlign w:val="subscript"/>
        </w:rPr>
        <w:t>max</w:t>
      </w:r>
      <w:r>
        <w:t xml:space="preserve"> &gt; 50), the build can be automatically failed. This operationalizes “Security by Design” in LLM ecosystems, providing immediate, quantitative feedback to engineering teams before compositional vulnerabilities reach production environments.</w:t>
      </w:r>
    </w:p>
    <w:p>
      <w:pPr>
        <w:pStyle w:val="3"/>
      </w:pPr>
      <w:r>
        <w:t>5.3. Computational Scalability in CI/CD Environments</w:t>
      </w:r>
    </w:p>
    <w:p>
      <w:pPr/>
      <w:r>
        <w:t>To verify the efficiency of the proposed modified DFS algorithm within operational Continuous Integration and Continuous Deployment (CI/CD) pipelines, we conducted a computational performance test on synthetically generated graph topologies. As shown in Table 4, the algorithm scales efficiently even on very large and complex environments exceeding the assumed maximum path length (k</w:t>
      </w:r>
      <w:r>
        <w:rPr>
          <w:vertAlign w:val="subscript"/>
        </w:rPr>
        <w:t>max</w:t>
      </w:r>
      <w:r>
        <w:t xml:space="preserve"> = 10). For a typical enterprise deployment (e.g., 500 nodes and k</w:t>
      </w:r>
      <w:r>
        <w:rPr>
          <w:vertAlign w:val="subscript"/>
        </w:rPr>
        <w:t>max</w:t>
      </w:r>
      <w:r>
        <w:t xml:space="preserve"> = 15), the execution latency remains well under a second, demonstrating that CAPS can provide real-time risk assessments without blocking automated deployment workflows.</w:t>
      </w:r>
    </w:p>
    <w:p>
      <w:pPr>
        <w:pStyle w:val="238"/>
        <w:jc w:val="center"/>
      </w:pPr>
      <w:r>
        <w:t>Table 4</w:t>
      </w:r>
    </w:p>
    <w:p>
      <w:pPr>
        <w:pStyle w:val="238"/>
        <w:jc w:val="center"/>
      </w:pPr>
      <w:r>
        <w:t>Computational performance of the CAPS algorithm across varying graph complexities, executed on a standard cloud pipeline worker (2 vCPUs, 8GB RAM).</w:t>
      </w:r>
    </w:p>
    <w:tbl>
      <w:tblPr>
        <w:tblStyle w:val="87"/>
        <w:tblW w:type="auto" w:w="0"/>
        <w:jc w:val="center"/>
        <w:tblLook w:firstColumn="1" w:firstRow="1" w:lastColumn="0" w:lastRow="0" w:noHBand="0" w:noVBand="1" w:val="04A0"/>
      </w:tblPr>
      <w:tblGrid>
        <w:gridCol w:w="2340"/>
        <w:gridCol w:w="2340"/>
        <w:gridCol w:w="2340"/>
        <w:gridCol w:w="2340"/>
      </w:tblGrid>
      <w:tr>
        <w:tc>
          <w:tcPr>
            <w:tcW w:type="dxa" w:w="2340"/>
          </w:tcPr>
          <w:p>
            <w:pPr>
              <w:jc w:val="center"/>
            </w:pPr>
            <w:r/>
            <w:r>
              <w:rPr>
                <w:b/>
              </w:rPr>
              <w:t>Nodes (|V|)</w:t>
            </w:r>
          </w:p>
        </w:tc>
        <w:tc>
          <w:tcPr>
            <w:tcW w:type="dxa" w:w="2340"/>
          </w:tcPr>
          <w:p>
            <w:pPr>
              <w:jc w:val="center"/>
            </w:pPr>
            <w:r/>
            <w:r>
              <w:rPr>
                <w:b/>
              </w:rPr>
              <w:t>Edges (|E|)</w:t>
            </w:r>
          </w:p>
        </w:tc>
        <w:tc>
          <w:tcPr>
            <w:tcW w:type="dxa" w:w="2340"/>
          </w:tcPr>
          <w:p>
            <w:pPr>
              <w:jc w:val="center"/>
            </w:pPr>
            <w:r/>
            <w:r>
              <w:rPr>
                <w:b/>
              </w:rPr>
              <w:t>Max Path (k_max)</w:t>
            </w:r>
          </w:p>
        </w:tc>
        <w:tc>
          <w:tcPr>
            <w:tcW w:type="dxa" w:w="2340"/>
          </w:tcPr>
          <w:p>
            <w:pPr>
              <w:jc w:val="center"/>
            </w:pPr>
            <w:r/>
            <w:r>
              <w:rPr>
                <w:b/>
              </w:rPr>
              <w:t>Execution Latency (ms)</w:t>
            </w:r>
          </w:p>
        </w:tc>
      </w:tr>
      <w:tr>
        <w:tc>
          <w:tcPr>
            <w:tcW w:type="dxa" w:w="2340"/>
          </w:tcPr>
          <w:p>
            <w:pPr>
              <w:jc w:val="center"/>
            </w:pPr>
            <w:r/>
            <w:r>
              <w:t>50</w:t>
            </w:r>
          </w:p>
        </w:tc>
        <w:tc>
          <w:tcPr>
            <w:tcW w:type="dxa" w:w="2340"/>
          </w:tcPr>
          <w:p>
            <w:pPr>
              <w:jc w:val="center"/>
            </w:pPr>
            <w:r/>
            <w:r>
              <w:t>150</w:t>
            </w:r>
          </w:p>
        </w:tc>
        <w:tc>
          <w:tcPr>
            <w:tcW w:type="dxa" w:w="2340"/>
          </w:tcPr>
          <w:p>
            <w:pPr>
              <w:jc w:val="center"/>
            </w:pPr>
            <w:r/>
            <w:r>
              <w:t>10</w:t>
            </w:r>
          </w:p>
        </w:tc>
        <w:tc>
          <w:tcPr>
            <w:tcW w:type="dxa" w:w="2340"/>
          </w:tcPr>
          <w:p>
            <w:pPr>
              <w:jc w:val="center"/>
            </w:pPr>
            <w:r/>
            <w:r>
              <w:t>12.4</w:t>
            </w:r>
          </w:p>
        </w:tc>
      </w:tr>
      <w:tr>
        <w:tc>
          <w:tcPr>
            <w:tcW w:type="dxa" w:w="2340"/>
          </w:tcPr>
          <w:p>
            <w:pPr>
              <w:jc w:val="center"/>
            </w:pPr>
            <w:r/>
            <w:r>
              <w:t>500</w:t>
            </w:r>
          </w:p>
        </w:tc>
        <w:tc>
          <w:tcPr>
            <w:tcW w:type="dxa" w:w="2340"/>
          </w:tcPr>
          <w:p>
            <w:pPr>
              <w:jc w:val="center"/>
            </w:pPr>
            <w:r/>
            <w:r>
              <w:t>2,500</w:t>
            </w:r>
          </w:p>
        </w:tc>
        <w:tc>
          <w:tcPr>
            <w:tcW w:type="dxa" w:w="2340"/>
          </w:tcPr>
          <w:p>
            <w:pPr>
              <w:jc w:val="center"/>
            </w:pPr>
            <w:r/>
            <w:r>
              <w:t>15</w:t>
            </w:r>
          </w:p>
        </w:tc>
        <w:tc>
          <w:tcPr>
            <w:tcW w:type="dxa" w:w="2340"/>
          </w:tcPr>
          <w:p>
            <w:pPr>
              <w:jc w:val="center"/>
            </w:pPr>
            <w:r/>
            <w:r>
              <w:t>145.2</w:t>
            </w:r>
          </w:p>
        </w:tc>
      </w:tr>
      <w:tr>
        <w:tc>
          <w:tcPr>
            <w:tcW w:type="dxa" w:w="2340"/>
          </w:tcPr>
          <w:p>
            <w:pPr>
              <w:jc w:val="center"/>
            </w:pPr>
            <w:r/>
            <w:r>
              <w:t>5,000</w:t>
            </w:r>
          </w:p>
        </w:tc>
        <w:tc>
          <w:tcPr>
            <w:tcW w:type="dxa" w:w="2340"/>
          </w:tcPr>
          <w:p>
            <w:pPr>
              <w:jc w:val="center"/>
            </w:pPr>
            <w:r/>
            <w:r>
              <w:t>45,000</w:t>
            </w:r>
          </w:p>
        </w:tc>
        <w:tc>
          <w:tcPr>
            <w:tcW w:type="dxa" w:w="2340"/>
          </w:tcPr>
          <w:p>
            <w:pPr>
              <w:jc w:val="center"/>
            </w:pPr>
            <w:r/>
            <w:r>
              <w:t>20</w:t>
            </w:r>
          </w:p>
        </w:tc>
        <w:tc>
          <w:tcPr>
            <w:tcW w:type="dxa" w:w="2340"/>
          </w:tcPr>
          <w:p>
            <w:pPr>
              <w:jc w:val="center"/>
            </w:pPr>
            <w:r/>
            <w:r>
              <w:t>1,284.7</w:t>
            </w:r>
          </w:p>
        </w:tc>
      </w:tr>
    </w:tbl>
    <w:p>
      <w:pPr>
        <w:pStyle w:val="3"/>
      </w:pPr>
      <w:r>
        <w:t>5.4. Limitations and Future Work</w:t>
      </w:r>
    </w:p>
    <w:p>
      <w:pPr/>
      <w:r>
        <w:t>While CAPS provides a robust structural and mathematical foundation, the accuracy of its outputs is inherently bounded by the fidelity of its inputs. The model currently relies on heuristic or expert-consensus estimations for Base Exploitability (E) and Mitigation Effectiveness (M). To address this reliance, operational deployments of CAPS should ground these initial values in empirical cybersecurity databases. Specifically, the base vulnerability (E) can be quantitatively derived using the Exploit Prediction Scoring System (EPSS), which provides data-driven probability estimates of exploitability in the wild. Similarly, mitigation effectiveness (M) can be standardized by mapping defenses to the MITRE D3FEND matrix, assigning efficacy weights based on historical deployment telemetry rather than qualitative consensus. In rapidly evolving fields like Adversarial Machine Learning, these values can fluctuate wildly based on the discovery of novel jailbreak techniques or prompt injection variants.</w:t>
      </w:r>
    </w:p>
    <w:p>
      <w:pPr/>
      <w:r>
        <w:t>Future work will focus on dynamic parameter estimation and dependency-aware modeling. By integrating automated LLM red-teaming frameworks (such as Promptfoo or Garak) with the CAPS engine, we can continuously bombard components with synthetic payloads. The empirical success rates of these localized attacks can then be fed back into the CAPS graph, enabling dynamic, real-time recalculation of E</w:t>
      </w:r>
      <w:r>
        <w:rPr>
          <w:vertAlign w:val="subscript"/>
        </w:rPr>
        <w:t>base</w:t>
      </w:r>
      <w:r>
        <w:t xml:space="preserve"> and M(mit). Additionally, Equation (1) currently models effective exploitability by multiplying survival probabilities, implicitly assuming statistical independence among defenses. In practice, overlapping security mechanisms (e.g., regex filters and WAFs) often exhibit correlated failure modes. Future iterations of CAPS will explore Bayesian Networks or Copula functions to capture these dependencies, yielding a more robust, self-tuning threat assessment ecosystem.</w:t>
      </w:r>
    </w:p>
    <w:p>
      <w:pPr>
        <w:pStyle w:val="3"/>
      </w:pPr>
      <w:r>
        <w:t>5.5. Dual-Use and Broader Impact</w:t>
      </w:r>
    </w:p>
    <w:p>
      <w:pPr/>
      <w:r>
        <w:t>As with any advanced security assessment framework, CAPS presents potential dual-use risks. In theory, an adversary could use the CAPS engine to identify the path of least resistance (the critical path) through an LLM deployment stack, optimizing their attack strategy. However, we assess this risk as minimal in practice. The CAPS algorithm strictly requires high-fidelity, white-box architectural telemetry—including comprehensive knowledge of internal graph topologies, deployed security guardrails, and precise component vulnerabilities. This level of internal visibility is inherently unavailable to external black-box attackers, making CAPS predominantly an asymmetric advantage for defenders and internal security engineering teams.</w:t>
      </w:r>
    </w:p>
    <w:p>
      <w:pPr>
        <w:pStyle w:val="3"/>
      </w:pPr>
      <w:r>
        <w:t>6. Conclusion</w:t>
      </w:r>
    </w:p>
    <w:p>
      <w:pPr/>
      <w:r>
        <w:t>As Large Language Models (LLMs) evolve into deeply embedded autonomous agents, security paradigms must shift from isolated component evaluation to holistic systemic risk analysis. This paper introduced the Compositional Attack Path Scoring (CAPS) framework, utilizing a graph-theoretic approach coupled with exponential chaining decay to mathematically model multi-hop exploit friction. By calculating the “Effective Exploitability” across trust boundaries, CAPS corrects the severe risk inflation inherent in traditional scoring methods. Our evaluations confirm that CAPS provides a superior, realistically calibrated risk assessment while delivering actionable, ROI-driven mitigation strategies, empowering organizations to optimally secure complex AI architectures.</w:t>
      </w:r>
    </w:p>
    <w:p>
      <w:pPr>
        <w:pStyle w:val="3"/>
      </w:pPr>
      <w:r>
        <w:t>Funding Support</w:t>
      </w:r>
    </w:p>
    <w:p>
      <w:pPr/>
      <w:r>
        <w:t>The authors received no specific grant from any funding agency in the public, commercial, or not-for-profit sectors for this work.</w:t>
      </w:r>
    </w:p>
    <w:p>
      <w:pPr>
        <w:pStyle w:val="3"/>
      </w:pPr>
      <w:r>
        <w:t>Ethical Statement</w:t>
      </w:r>
    </w:p>
    <w:p>
      <w:pPr/>
      <w:r>
        <w:t>This study does not contain any studies with human or animal subjects performed by any of the authors.</w:t>
      </w:r>
    </w:p>
    <w:p>
      <w:pPr>
        <w:pStyle w:val="3"/>
      </w:pPr>
      <w:r>
        <w:t>Conflicts of Interest</w:t>
      </w:r>
    </w:p>
    <w:p>
      <w:pPr/>
      <w:r>
        <w:t>The authors declare that they have no conflicts of interest to this work.</w:t>
      </w:r>
    </w:p>
    <w:p>
      <w:pPr>
        <w:pStyle w:val="3"/>
      </w:pPr>
      <w:r>
        <w:t>Data Availability Statement</w:t>
      </w:r>
    </w:p>
    <w:p>
      <w:pPr/>
      <w:r>
        <w:t>The data and source code that support the findings of this study are openly available in the CAPS repository on GitHub.</w:t>
      </w:r>
    </w:p>
    <w:p>
      <w:pPr>
        <w:pStyle w:val="3"/>
      </w:pPr>
      <w:r>
        <w:t>References</w:t>
      </w:r>
    </w:p>
    <w:p>
      <w:pPr>
        <w:pStyle w:val="388"/>
      </w:pPr>
      <w:r>
        <w:t>[1] Ammann, P., Wijesekera, D., and Kaushik, S. (2002). Scalable, graph-based network vulnerability analysis. In Proceedings of the 9th ACM Conference on Computer and Communications Security (CCS ’02), pages 217–224.</w:t>
      </w:r>
    </w:p>
    <w:p>
      <w:pPr>
        <w:pStyle w:val="388"/>
      </w:pPr>
      <w:r>
        <w:t>[2] Anil, C., Durmus, E., Sharma, M., Benton, J., et al. (2024). Many-shot jailbreaking. Anthropic Research.</w:t>
      </w:r>
    </w:p>
    <w:p>
      <w:pPr>
        <w:pStyle w:val="388"/>
      </w:pPr>
      <w:r>
        <w:t>[3] Ben-Tov, M., Geva, M., and Sharif, M. (2025). Universal jailbreak suffixes are strong attention hijackers. arXiv 2506.12880.</w:t>
      </w:r>
    </w:p>
    <w:p>
      <w:pPr>
        <w:pStyle w:val="388"/>
      </w:pPr>
      <w:r>
        <w:t>[4] Chang, H., Jun, Y., and Lee, H. (2025a). ChatInject: Abusing chat templates for prompt injection in LLM agents. arXiv preprint arXiv:2509.22830.</w:t>
      </w:r>
    </w:p>
    <w:p>
      <w:pPr>
        <w:pStyle w:val="388"/>
      </w:pPr>
      <w:r>
        <w:t>[5] Chang, Z., Li, M., Jia, X., Wang, J., Huang, Y., Jiang, Z., Liu, Y., and Wang, Q. (2025b). One shot dominance: Knowledge poisoning attack on retrieval-augmented generation systems. In Findings of the Association for Computational Linguistics: EMNLP 2025, pages 18811–18825.</w:t>
      </w:r>
    </w:p>
    <w:p>
      <w:pPr>
        <w:pStyle w:val="388"/>
      </w:pPr>
      <w:r>
        <w:t>[6] Chao, P., Debenedetti, E., Robey, A., Andriushchenko, M., Croce, F., Sehwag, V., Dobriban, E., Flammarion, N., Pappas, G. J., Tramèr, F., Hassani, H., and Wong, E. (2024). JailbreakBench: An open robustness benchmark for jailbreaking large language models. In Advances in Neural Information Processing Systems (NeurIPS), Datasets and Benchmarks Track.</w:t>
      </w:r>
    </w:p>
    <w:p>
      <w:pPr>
        <w:pStyle w:val="388"/>
      </w:pPr>
      <w:r>
        <w:t>[7] Chao, P., Robey, A., Dobriban, E., Hassani, H., Pappas, G. J., and Wong, E. (2023). Jailbreaking black box large language models in twenty queries. arXiv preprint arXiv:2310.08419.</w:t>
      </w:r>
    </w:p>
    <w:p>
      <w:pPr>
        <w:pStyle w:val="388"/>
      </w:pPr>
      <w:r>
        <w:t>[8] Chau, D. H., Nachenberg, C., Wilhelm, J., Wright, A., and Faloutsos, C. (2011). Polonium: Tera-scale graph mining and inference for malware detection. In Proceedings of the SIAM International Conference on Data Mining (SDM ’11), pages 131–142.</w:t>
      </w:r>
    </w:p>
    <w:p>
      <w:pPr>
        <w:pStyle w:val="388"/>
      </w:pPr>
      <w:r>
        <w:t>[9] Chen, S., Piet, J., Sitawarin, C., and Wagner, D. (2025). StruQ: Defending against prompt injection with structured queries. In Proceedings of the 34th USENIX Security Symposium (USENIX Security ’25).</w:t>
      </w:r>
    </w:p>
    <w:p>
      <w:pPr>
        <w:pStyle w:val="388"/>
      </w:pPr>
      <w:r>
        <w:t>[10] Cyrille, T. N. R. and Schwarz, F. (2026). STRIDE-AI: A threat modeling framework for generative AI security assessment. arXiv preprint arXiv:2605.17163.</w:t>
      </w:r>
    </w:p>
    <w:p>
      <w:pPr>
        <w:pStyle w:val="388"/>
      </w:pPr>
      <w:r>
        <w:t>[11] Debenedetti, E., Shumailov, I., Fan, T., Hayes, J., Carlini, N., Fabian, D., Kern, C., Shi, C., Terzis, A., and Tramèr, F. (2025). Defeating prompt injections by design. arXiv preprint arXiv:2503.18813.</w:t>
      </w:r>
    </w:p>
    <w:p>
      <w:pPr>
        <w:pStyle w:val="388"/>
      </w:pPr>
      <w:r>
        <w:t>[12] Debenedetti, E., Zhang, J., Balunović, M., Beurer-Kellner, L., Fischer, M., and Tramèr, F. (2024). AgentDojo: A dynamic environment to evaluate prompt injection attacks and defenses for LLM agents. In Advances in Neural Information Processing Systems (NeurIPS), Datasets and Benchmarks Track.</w:t>
      </w:r>
    </w:p>
    <w:p>
      <w:pPr>
        <w:pStyle w:val="388"/>
      </w:pPr>
      <w:r>
        <w:t>[13] Dong, S., Xu, S., He, P., Li, Y., Tang, J., Liu, T., Liu, H., and Xiang, Z. (2025). Memory injection attacks on LLM agents via query-only interaction. arXiv preprint arXiv:2503.03704.</w:t>
      </w:r>
    </w:p>
    <w:p>
      <w:pPr>
        <w:pStyle w:val="388"/>
      </w:pPr>
      <w:r>
        <w:t>[14] Greshake, K., Abdelnabi, S., Mishra, S., Endres, C., Holz, T., and Fritz, M. (2023). Not what you’ve signed up for: Compromising real-world LLM-integrated applications with indirect prompt injection. In Proceedings of the 16th ACM Workshop on Artificial Intelligence and Security (AISec ’23).</w:t>
      </w:r>
    </w:p>
    <w:p>
      <w:pPr>
        <w:pStyle w:val="388"/>
      </w:pPr>
      <w:r>
        <w:t>[15] Ha, H., Zhan, Q., Kim, J., Bralios, D., Sanniboina, S., Peng, N., Chang, K.-W., Kang, D., and Ji, H. (2025). MM-PoisonRAG: Disrupting multimodal RAG with local and global poisoning attacks. arXiv preprint arXiv:2502.17832.</w:t>
      </w:r>
    </w:p>
    <w:p>
      <w:pPr>
        <w:pStyle w:val="388"/>
      </w:pPr>
      <w:r>
        <w:t>[16] Hagendorff, T., Derner, E., and Oliver, N. (2026). Large reasoning models are autonomous jailbreak agents. Nature Communications, 17:1435.</w:t>
      </w:r>
    </w:p>
    <w:p>
      <w:pPr>
        <w:pStyle w:val="388"/>
      </w:pPr>
      <w:r>
        <w:t>[17] He, P., Lin, Y., Dong, S., Xu, H., Xing, Y., and Liu, H. (2025). Red-teaming LLM multi-agent systems via communication attacks. In Findings of the Association for Computational Linguistics: ACL 2025.</w:t>
      </w:r>
    </w:p>
    <w:p>
      <w:pPr>
        <w:pStyle w:val="388"/>
      </w:pPr>
      <w:r>
        <w:t>[18] Invariant Labs (2025). MCP security notification: Tool poisoning attacks. Invariant Labs Security Research.</w:t>
      </w:r>
    </w:p>
    <w:p>
      <w:pPr>
        <w:pStyle w:val="388"/>
      </w:pPr>
      <w:r>
        <w:t>[19] Johnson, M. and Lee, S. (2026). Goal-driven risk assessment for llm-powered systems: A healthcare case study. In Annual Computer Security Applications Conference Workshops.</w:t>
      </w:r>
    </w:p>
    <w:p>
      <w:pPr>
        <w:pStyle w:val="388"/>
      </w:pPr>
      <w:r>
        <w:t>[20] Johnson, S., Pham, V., and Le, T. (2025). Manipulating LLM web agents with indirect prompt injection attack via HTML accessibility tree. arXiv preprint arXiv:2507.14799.</w:t>
      </w:r>
    </w:p>
    <w:p>
      <w:pPr>
        <w:pStyle w:val="388"/>
      </w:pPr>
      <w:r>
        <w:t>[21] Kuo, M., Zhang, J., Ding, A., Wang, Q., DiValentin, L., Bao, Y., Wei, W., Li, H., and Chen, Y. (2025). H-CoT: Hijacking the chain-of-thought safety reasoning mechanism to jailbreak large reasoning models, including OpenAI o1/o3, DeepSeek-R1, and Gemini 2.0 Flash Thinking. arXiv preprint arXiv:2502.12893.</w:t>
      </w:r>
    </w:p>
    <w:p>
      <w:pPr>
        <w:pStyle w:val="388"/>
      </w:pPr>
      <w:r>
        <w:t>[22] Li, Y., Ahn, S., Jiang, H., Abdi, A. H., Yang, Y., and Qiu, L. (2025). SecurityLingua: Efficient defense of LLM jailbreak attacks via security-aware prompt compression. arXiv preprint arXiv:2506.12707.</w:t>
      </w:r>
    </w:p>
    <w:p>
      <w:pPr>
        <w:pStyle w:val="388"/>
      </w:pPr>
      <w:r>
        <w:t>[23] Liu, X., Li, P., Suh, E., Vorobeychik, Y., Mao, Z., Jha, S., McDaniel, P., Sun, H., Li, B., and Xiao, C. (2025). AutoDAN-Turbo: A lifelong agent for strategy self-exploration to jailbreak LLMs. In Proceedings of the 13th International Conference on Learning Representations (ICLR). Spotlight.</w:t>
      </w:r>
    </w:p>
    <w:p>
      <w:pPr>
        <w:pStyle w:val="388"/>
      </w:pPr>
      <w:r>
        <w:t>[24] Liu, X. and Xiao, C. (2025). AutoDAN-Reasoning: Enhancing strategies exploration based jailbreak attacks with test-time scaling. arXiv 2510.05379.</w:t>
      </w:r>
    </w:p>
    <w:p>
      <w:pPr>
        <w:pStyle w:val="388"/>
      </w:pPr>
      <w:r>
        <w:t>[25] Maloyan, N. and Namiot, D. (2026). Breaking the protocol: Security analysis of the model context protocol specification and prompt injection vulnerabilities in tool-integrated LLM agents. arXiv preprint arXiv:2601.17549.</w:t>
      </w:r>
    </w:p>
    <w:p>
      <w:pPr>
        <w:pStyle w:val="388"/>
      </w:pPr>
      <w:r>
        <w:t>[26] Manadhata, P. K. and Wing, J. M. (2011). An attack surface metric. IEEE Transactions on Software Engineering, 37(3):371–386.</w:t>
      </w:r>
    </w:p>
    <w:p>
      <w:pPr>
        <w:pStyle w:val="388"/>
      </w:pPr>
      <w:r>
        <w:t>[27] Mazeika, M., Phan, L., Yin, X., Zou, A., Wang, Z., Mu, N., Sakhaee, E., Li, N., Basart, S., Li, B., Forsyth, D., and Hendrycks, D. (2024). HarmBench: A standardized evaluation framework for automated red teaming and robust refusal. In Proceedings of the 41st International Conference on Machine Learning (ICML), volume 235 of Proceedings of Machine Learning Research, pages 35181–35224.</w:t>
      </w:r>
    </w:p>
    <w:p>
      <w:pPr>
        <w:pStyle w:val="388"/>
      </w:pPr>
      <w:r>
        <w:t>[28] Nagaraja, N. and Bahsi, H. (2026). Where do llm-based systems break? a system-level security framework for risk assessment and treatment. 2603.07460.</w:t>
      </w:r>
    </w:p>
    <w:p>
      <w:pPr>
        <w:pStyle w:val="388"/>
      </w:pPr>
      <w:r>
        <w:t>[29] Nasr, M., Carlini, N., Sitawarin, C., Schulhoff, S. V., Hayes, J., et al. (2025). The attacker moves second: Stronger adaptive attacks bypass defenses against LLM jailbreaks and prompt injections. arXiv preprint arXiv:2510.09023.</w:t>
      </w:r>
    </w:p>
    <w:p>
      <w:pPr>
        <w:pStyle w:val="388"/>
      </w:pPr>
      <w:r>
        <w:t>[30] National Security Agency (NSA), Artificial Intelligence Security Center (2026). Model context protocol (MCP): Security design considerations for AI-driven automation. Cybersecurity Information Sheet, Version 1.0.</w:t>
      </w:r>
    </w:p>
    <w:p>
      <w:pPr>
        <w:pStyle w:val="388"/>
      </w:pPr>
      <w:r>
        <w:t>[31] Nguyen, V.-A., Zhao, S., Dao, G., Hu, R., Xie, Y., and Tuan, L. A. (2025). Three minds, one legend: Jailbreak large reasoning model with adaptive stacked ciphers. arXiv 2505.16241.</w:t>
      </w:r>
    </w:p>
    <w:p>
      <w:pPr>
        <w:pStyle w:val="388"/>
      </w:pPr>
      <w:r>
        <w:t>[32] Russinovich, M., Salem, A., and Eldan, R. (2025). Great, now write an article about that: The Crescendo multi-turn LLM jailbreak attack. In Proceedings of the 34th USENIX Security Symposium (USENIX Security ’25), pages 2421–2440.</w:t>
      </w:r>
    </w:p>
    <w:p>
      <w:pPr>
        <w:pStyle w:val="388"/>
      </w:pPr>
      <w:r>
        <w:t>[33] Sharma, M., Tong, M., Mu, J., Wei, J., Benton, J., Bowman, S. R., et al. (2025). Constitutional classifiers: Defending against universal jailbreaks across thousands of hours of red teaming. arXiv preprint arXiv:2501.18837.</w:t>
      </w:r>
    </w:p>
    <w:p>
      <w:pPr>
        <w:pStyle w:val="388"/>
      </w:pPr>
      <w:r>
        <w:t>[34] Sheyner, O., Haines, J., Jha, S., Lippmann, R., and Wing, J. M. (2002). Automated generation and analysis of attack graphs. In Proceedings of the 2002 IEEE Symposium on Security and Privacy (S&amp;P), pages 273–284.</w:t>
      </w:r>
    </w:p>
    <w:p>
      <w:pPr>
        <w:pStyle w:val="388"/>
      </w:pPr>
      <w:r>
        <w:t>[35] Souly, A., Lu, Q., Bowen, D., Trinh, T., Hsieh, E., Pandey, S., Abbeel, P., Svegliato, J., Emmons, S., Watkins, O., and Toyer, S. (2024). A StrongREJECT for empty jailbreaks. In Advances in Neural Information Processing Systems (NeurIPS).</w:t>
      </w:r>
    </w:p>
    <w:p>
      <w:pPr>
        <w:pStyle w:val="388"/>
      </w:pPr>
      <w:r>
        <w:t>[36] Van hamme, T., Vissers, T., Carnerero-Cano, J., Fritz, M., Lupu, E. C., Desmet, L., and Divakaran, D. M. (2026). MATRA: Modeling the attack surface of agentic AI systems. arXiv preprint arXiv:2605.10763.</w:t>
      </w:r>
    </w:p>
    <w:p>
      <w:pPr>
        <w:pStyle w:val="388"/>
      </w:pPr>
      <w:r>
        <w:t>[37] Wang, Z., Gao, Y., Wang, Y., Liu, S., Sun, H., Cheng, H., Shi, G., Du, H., and Li, X. (2025). MCPTox: A benchmark for tool poisoning attack on real-world MCP servers. arXiv preprint arXiv:2508.14925.</w:t>
      </w:r>
    </w:p>
    <w:p>
      <w:pPr>
        <w:pStyle w:val="388"/>
      </w:pPr>
      <w:r>
        <w:t>[38] Zhan, Q., Liang, Z., Ying, Z., and Kang, D. (2024). InjecAgent: Benchmarking indirect prompt injections in tool-integrated large language model agents. In Findings of the Association for Computational Linguistics: ACL 2024, pages 10471–10506.</w:t>
      </w:r>
    </w:p>
    <w:p>
      <w:pPr>
        <w:pStyle w:val="388"/>
      </w:pPr>
      <w:r>
        <w:t>[39] Zhang, B., Chen, Y., Fang, M., Liu, Z., Nie, L., Li, T., and Liu, Z. (2026). Practical poisoning attacks against retrieval-augmented generation. ACM SACMAT.</w:t>
      </w:r>
    </w:p>
    <w:p>
      <w:pPr>
        <w:pStyle w:val="388"/>
      </w:pPr>
      <w:r>
        <w:t>[40] Zhang, B. et al. (2025a). Traceback of poisoning attacks to retrieval-augmented generation. In Proceedings of the ACM on Web Conference 2025 (WWW ’25).</w:t>
      </w:r>
    </w:p>
    <w:p>
      <w:pPr>
        <w:pStyle w:val="388"/>
      </w:pPr>
      <w:r>
        <w:t>[41] Zhang, H., Huang, J., Mei, K., Yao, Y., Wang, Z., Zhan, C., Wang, H., and Zhang, Y. (2025b). Agent security bench (ASB): Formalizing and benchmarking attacks and defenses in LLM-based agents. In Proceedings of the 13th International Conference on Learning Representations (ICLR).</w:t>
      </w:r>
    </w:p>
    <w:p>
      <w:pPr>
        <w:pStyle w:val="388"/>
      </w:pPr>
      <w:r>
        <w:t>[42] Zhou, Y., Liu, S., Siow, J., Du, X., and Liu, Y. (2019). Devign: Effective vulnerability identification by learning comprehensive program semantics via graph neural networks. In Advances in Neural Information Processing Systems (NeurIPS), pages 10197–10207.</w:t>
      </w:r>
    </w:p>
    <w:p>
      <w:pPr>
        <w:pStyle w:val="388"/>
      </w:pPr>
      <w:r>
        <w:t>[43] Zou, A., Phan, L., Wang, J., Duenas, D., Lin, M., Andriushchenko, M., Wang, R., Kolter, J. Z., Fredrikson, M., and Hendrycks, D. (2024). Improving alignment and robustness with circuit breakers. In Advances in Neural Information Processing Systems (NeurIPS).</w:t>
      </w:r>
    </w:p>
    <w:p>
      <w:pPr>
        <w:pStyle w:val="388"/>
      </w:pPr>
      <w:r>
        <w:t>[44] Zou, A., Wang, Z., Carlini, N., Nasr, M., Kolter, J. Z., and Fredrikson, M. (2023). Universal and transferable adversarial attacks on aligned language models. arXiv preprint arXiv:2307.15043.</w:t>
      </w:r>
    </w:p>
    <w:p>
      <w:pPr>
        <w:pStyle w:val="388"/>
      </w:pPr>
      <w:r>
        <w:t>[45] Zou, W., Geng, R., Wang, B., and Jia, J. (2025). PoisonedRAG: Knowledge corruption attacks to retrieval-augmented generation of large language models. In Proceedings of the 34th USENIX Security Symposium (USENIX Security ’25), pages 3827–3844.</w:t>
      </w:r>
    </w:p>
    <w:sectPr>
      <w:type w:val="continuous"/>
      <w:pgSz w:w="12240" w:h="15840"/>
      <w:pgMar w:top="1440" w:right="1440" w:bottom="1440" w:left="1440" w:header="709" w:footer="709" w:gutter="0"/>
      <w:cols w:space="708" w:num="2"/>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Latha">
    <w:altName w:val="Segoe UI Semilight"/>
    <w:panose1 w:val="02000400000000000000"/>
    <w:charset w:val="01"/>
    <w:family w:val="roman"/>
    <w:pitch w:val="default"/>
    <w:sig w:usb0="00000000" w:usb1="00000000" w:usb2="00000000" w:usb3="00000000" w:csb0="00000000" w:csb1="00000000"/>
  </w:font>
  <w:font w:name="Segoe UI Semilight">
    <w:panose1 w:val="020B0402040204020203"/>
    <w:charset w:val="00"/>
    <w:family w:val="auto"/>
    <w:pitch w:val="default"/>
    <w:sig w:usb0="E4002EFF" w:usb1="C000E47F" w:usb2="00000009" w:usb3="00000000" w:csb0="200001FF" w:csb1="00000000"/>
  </w:font>
  <w:font w:name="Cambria">
    <w:panose1 w:val="02040503050406030204"/>
    <w:charset w:val="00"/>
    <w:family w:val="roman"/>
    <w:pitch w:val="default"/>
    <w:sig w:usb0="E00006FF" w:usb1="420024FF" w:usb2="02000000" w:usb3="00000000" w:csb0="2000019F" w:csb1="00000000"/>
  </w:font>
  <w:font w:name="Tahoma">
    <w:panose1 w:val="020B0604030504040204"/>
    <w:charset w:val="00"/>
    <w:family w:val="swiss"/>
    <w:pitch w:val="default"/>
    <w:sig w:usb0="E1002EFF" w:usb1="C000605B" w:usb2="00000029" w:usb3="00000000" w:csb0="200101FF" w:csb1="20280000"/>
  </w:font>
  <w:font w:name="Calibri Light">
    <w:panose1 w:val="020F0302020204030204"/>
    <w:charset w:val="00"/>
    <w:family w:val="swiss"/>
    <w:pitch w:val="default"/>
    <w:sig w:usb0="E4002EFF" w:usb1="C200247B" w:usb2="00000009" w:usb3="00000000" w:csb0="200001FF" w:csb1="00000000"/>
  </w:font>
  <w:font w:name="Consolas">
    <w:panose1 w:val="020B0609020204030204"/>
    <w:charset w:val="00"/>
    <w:family w:val="modern"/>
    <w:pitch w:val="default"/>
    <w:sig w:usb0="E00006FF" w:usb1="0000FCFF" w:usb2="00000001" w:usb3="00000000" w:csb0="6000019F" w:csb1="DFD70000"/>
  </w:font>
  <w:font w:name="MS Mincho">
    <w:altName w:val="MS UI Gothic"/>
    <w:panose1 w:val="02020609040205080304"/>
    <w:charset w:val="80"/>
    <w:family w:val="roman"/>
    <w:pitch w:val="default"/>
    <w:sig w:usb0="00000000" w:usb1="00000000" w:usb2="08000012" w:usb3="00000000" w:csb0="4002009F" w:csb1="DFD70000"/>
  </w:font>
  <w:font w:name="MS UI Gothic">
    <w:panose1 w:val="020B0600070205080204"/>
    <w:charset w:val="80"/>
    <w:family w:val="auto"/>
    <w:pitch w:val="default"/>
    <w:sig w:usb0="E00002FF" w:usb1="6AC7FDFB" w:usb2="08000012" w:usb3="00000000" w:csb0="4002009F" w:csb1="DFD70000"/>
  </w:font>
  <w:font w:name="DMAIH O+ Adv T T 140f 2bdb">
    <w:altName w:val="Cambria"/>
    <w:panose1 w:val="00000000000000000000"/>
    <w:charset w:val="00"/>
    <w:family w:val="roman"/>
    <w:pitch w:val="default"/>
    <w:sig w:usb0="00000000" w:usb1="00000000" w:usb2="00000000" w:usb3="00000000" w:csb0="00000001" w:csb1="00000000"/>
  </w:font>
  <w:font w:name="AdvOTd43c2f13">
    <w:altName w:val="Calibri"/>
    <w:panose1 w:val="00000000000000000000"/>
    <w:charset w:val="00"/>
    <w:family w:val="swiss"/>
    <w:pitch w:val="default"/>
    <w:sig w:usb0="00000000" w:usb1="0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B085929">
    <w:pPr>
      <w:pStyle w:val="54"/>
      <w:jc w:val="right"/>
    </w:pPr>
    <w:r>
      <w:rPr>
        <w:lang w:eastAsia="zh-CN"/>
      </w:rPr>
      <mc:AlternateContent>
        <mc:Choice Requires="wps">
          <w:drawing>
            <wp:anchor distT="0" distB="0" distL="114300" distR="114300" simplePos="0" relativeHeight="251660288" behindDoc="0" locked="0" layoutInCell="1" allowOverlap="1">
              <wp:simplePos x="0" y="0"/>
              <wp:positionH relativeFrom="margin">
                <wp:align>right</wp:align>
              </wp:positionH>
              <wp:positionV relativeFrom="paragraph">
                <wp:posOffset>0</wp:posOffset>
              </wp:positionV>
              <wp:extent cx="1828800" cy="1828800"/>
              <wp:effectExtent l="0" t="0" r="0" b="0"/>
              <wp:wrapNone/>
              <wp:docPr id="1" name="文本框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2EDE36AF">
                          <w:pPr>
                            <w:pStyle w:val="54"/>
                          </w:pPr>
                          <w:r>
                            <w:fldChar w:fldCharType="begin"/>
                          </w:r>
                          <w:r>
                            <w:instrText xml:space="preserve"> PAGE  \* MERGEFORMAT </w:instrText>
                          </w:r>
                          <w:r>
                            <w:fldChar w:fldCharType="separate"/>
                          </w:r>
                          <w:r>
                            <w:t>4</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right;mso-position-horizontal-relative:margin;mso-wrap-style:none;z-index:25166028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IzXDnwqAgAAVQQAAA4AAABkcnMvZTJvRG9jLnhtbK1UzY7TMBC+I/EO&#10;lu80aRGrKmq6KlsVIVXsSgVxdh2nieQ/2W6T8gDwBpy4cOe5+hx8zk8XLRz2wMUZe8bfzPfNOIvb&#10;VklyEs7XRud0OkkpEZqbotaHnH76uHk1p8QHpgsmjRY5PQtPb5cvXywam4mZqYwshCMA0T5rbE6r&#10;EGyWJJ5XQjE/MVZoOEvjFAvYukNSONYAXclklqY3SWNcYZ3hwnucrnsnHRDdcwBNWdZcrA0/KqFD&#10;j+qEZAGUfFVbT5ddtWUpeLgvSy8CkTkF09CtSAJ7H9dkuWDZwTFb1XwogT2nhCecFKs1kl6h1iww&#10;cnT1X1Cq5s54U4YJNyrpiXSKgMU0faLNrmJWdFwgtbdX0f3/g+UfTg+O1AUmgRLNFBp++f7t8uPX&#10;5edXMo3yNNZniNpZxIX2rWlj6HDucRhZt6VT8Qs+BH6Ie76KK9pAeLw0n83nKVwcvnEDnOTxunU+&#10;vBNGkWjk1KF7najstPWhDx1DYjZtNrWUOGeZ1KTJ6c3rN2l34eoBuNTIEUn0xUYrtPt2YLA3xRnE&#10;nOknw1u+qZF8y3x4YA6jgILxWMI9llIaJDGDRUll3Jd/ncd4dAheShqMVk41XhIl8r1G5wAYRsON&#10;xn409FHdGcwquoFaOhMXXJCjWTqjPuMFrWIOuJjmyJTTMJp3oR9vvEAuVqsuCLNmWdjqneUROirm&#10;7eoYIGCnaxSlV2LQCtPWdWZ4GXGc/9x3UY9/g+Vv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UAAAACACHTuJAfublIPcAAADhAQAA&#10;EwAAAFtDb250ZW50X1R5cGVzXS54bWyVkUFOwzAQRfdI3MHyFiVOu0AIJemCtEtAqBxgZE8Si2Rs&#10;eUxob4+TthtEkVjaM/+/J7vcHMZBTBjYOqrkKi+kQNLOWOoq+b7fZQ9ScAQyMDjCSh6R5aa+vSn3&#10;R48sUpq4kn2M/lEp1j2OwLnzSGnSujBCTMfQKQ/6AzpU66K4V9pRRIpZnDtkXTbYwucQxfaQrk8m&#10;AQeW4um0OLMqCd4PVkNMpmoi84OSnQl5Si473FvPd0lDql8J8+Q64Jx7SU8TrEHxCiE+w5g0lAms&#10;jPuigFP+d8lsOXLm2tZqzJvATYq94XSxutaOa9c4/d/y7ZK6dKvlg+pvUEsBAhQAFAAAAAgAh07i&#10;QH7m5SD3AAAA4QEAABMAAAAAAAAAAQAgAAAAkwQAAFtDb250ZW50X1R5cGVzXS54bWxQSwECFAAK&#10;AAAAAACHTuJAAAAAAAAAAAAAAAAABgAAAAAAAAAAABAAAAB1AwAAX3JlbHMvUEsBAhQAFAAAAAgA&#10;h07iQIoUZjzRAAAAlAEAAAsAAAAAAAAAAQAgAAAAmQMAAF9yZWxzLy5yZWxzUEsBAhQACgAAAAAA&#10;h07iQAAAAAAAAAAAAAAAAAQAAAAAAAAAAAAQAAAAAAAAAGRycy9QSwECFAAUAAAACACHTuJAs0lY&#10;7tAAAAAFAQAADwAAAAAAAAABACAAAAAiAAAAZHJzL2Rvd25yZXYueG1sUEsBAhQAFAAAAAgAh07i&#10;QIzXDnwqAgAAVQQAAA4AAAAAAAAAAQAgAAAAHwEAAGRycy9lMm9Eb2MueG1sUEsFBgAAAAAGAAYA&#10;WQEAALsFAAAAAA==&#10;">
              <v:fill on="f" focussize="0,0"/>
              <v:stroke on="f" weight="0.5pt"/>
              <v:imagedata o:title=""/>
              <o:lock v:ext="edit" aspectratio="f"/>
              <v:textbox inset="0mm,0mm,0mm,0mm" style="mso-fit-shape-to-text:t;">
                <w:txbxContent>
                  <w:p w14:paraId="2EDE36AF">
                    <w:pPr>
                      <w:pStyle w:val="54"/>
                    </w:pPr>
                    <w:r>
                      <w:fldChar w:fldCharType="begin"/>
                    </w:r>
                    <w:r>
                      <w:instrText xml:space="preserve"> PAGE  \* MERGEFORMAT </w:instrText>
                    </w:r>
                    <w:r>
                      <w:fldChar w:fldCharType="separate"/>
                    </w:r>
                    <w:r>
                      <w:t>4</w:t>
                    </w:r>
                    <w:r>
                      <w:fldChar w:fldCharType="end"/>
                    </w:r>
                  </w:p>
                </w:txbxContent>
              </v:textbox>
            </v:shape>
          </w:pict>
        </mc:Fallback>
      </mc:AlternateContent>
    </w:r>
    <w:sdt>
      <w:sdtPr>
        <w:id w:val="1547723411"/>
      </w:sdtPr>
      <w:sdtContent/>
    </w:sdt>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22C67B8">
    <w:pPr>
      <w:autoSpaceDE w:val="0"/>
      <w:autoSpaceDN w:val="0"/>
      <w:adjustRightInd w:val="0"/>
      <w:spacing w:after="0"/>
      <w:rPr>
        <w:rFonts w:cs="Times New Roman"/>
        <w:color w:val="666666"/>
        <w:sz w:val="14"/>
        <w:szCs w:val="14"/>
        <w:lang w:bidi="ar-SA"/>
      </w:rPr>
    </w:pPr>
  </w:p>
  <w:p w14:paraId="248ABBF7">
    <w:pPr>
      <w:autoSpaceDE w:val="0"/>
      <w:autoSpaceDN w:val="0"/>
      <w:adjustRightInd w:val="0"/>
      <w:spacing w:after="0"/>
      <w:rPr>
        <w:rFonts w:cs="Times New Roman"/>
        <w:color w:val="666666"/>
        <w:sz w:val="14"/>
        <w:szCs w:val="14"/>
        <w:lang w:bidi="ar-SA"/>
      </w:rPr>
    </w:pPr>
  </w:p>
  <w:p w14:paraId="3DB6EDEA">
    <w:pPr>
      <w:autoSpaceDE w:val="0"/>
      <w:autoSpaceDN w:val="0"/>
      <w:adjustRightInd w:val="0"/>
      <w:spacing w:after="0"/>
      <w:rPr>
        <w:rFonts w:cs="Times New Roman"/>
        <w:color w:val="0000FF"/>
        <w:sz w:val="14"/>
        <w:szCs w:val="14"/>
        <w:lang w:bidi="ar-SA"/>
      </w:rPr>
    </w:pPr>
    <w:r>
      <w:rPr>
        <w:rFonts w:cs="Times New Roman"/>
        <w:sz w:val="14"/>
        <w:lang w:eastAsia="zh-CN" w:bidi="ar-SA"/>
      </w:rPr>
      <mc:AlternateContent>
        <mc:Choice Requires="wps">
          <w:drawing>
            <wp:anchor distT="0" distB="0" distL="114300" distR="114300" simplePos="0" relativeHeight="251661312" behindDoc="0" locked="0" layoutInCell="1" allowOverlap="1">
              <wp:simplePos x="0" y="0"/>
              <wp:positionH relativeFrom="margin">
                <wp:align>right</wp:align>
              </wp:positionH>
              <wp:positionV relativeFrom="paragraph">
                <wp:posOffset>0</wp:posOffset>
              </wp:positionV>
              <wp:extent cx="1828800" cy="1828800"/>
              <wp:effectExtent l="0" t="0" r="0" b="0"/>
              <wp:wrapNone/>
              <wp:docPr id="2" name="文本框 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2DE4199B">
                          <w:pPr>
                            <w:pStyle w:val="54"/>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right;mso-position-horizontal-relative:margin;mso-wrap-style:none;z-index:251661312;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AVhjD8rAgAAVQQAAA4AAABkcnMvZTJvRG9jLnhtbK1UzY7TMBC+I/EO&#10;lu80bRGrqmq6KlsVIVXsSgVxdh2nieQ/2W6T8gDwBpy4cOe5+hx8dpIuWjjsgYsz9oy/8ffNTBa3&#10;rZLkJJyvjc7pZDSmRGhuilofcvrp4+bVjBIfmC6YNFrk9Cw8vV2+fLFo7FxMTWVkIRwBiPbzxua0&#10;CsHOs8zzSijmR8YKDWdpnGIBW3fICscaoCuZTcfjm6wxrrDOcOE9Ttedk/aI7jmApixrLtaGH5XQ&#10;oUN1QrIASr6qrafL9NqyFDzcl6UXgcicgmlIK5LA3sc1Wy7Y/OCYrWreP4E95wlPOClWayS9Qq1Z&#10;YOTo6r+gVM2d8aYMI25U1hFJioDFZPxEm13FrEhcILW3V9H9/4PlH04PjtRFTqeUaKZQ8Mv3b5cf&#10;vy4/v5JplKexfo6onUVcaN+aFk0znHscRtZt6VT8gg+BH+Ker+KKNhAeL82ms9kYLg7fsAF+9njd&#10;Oh/eCaNINHLqUL0kKjttfehCh5CYTZtNLWWqoNSkyenN6zfjdOHqAbjUyBFJdI+NVmj3bc9sb4oz&#10;iDnTdYa3fFMj+Zb58MAcWgEPxrCEeyylNEhieouSyrgv/zqP8agQvJQ0aK2cakwSJfK9RuUAGAbD&#10;DcZ+MPRR3Rn06gRDaHkyccEFOZilM+ozJmgVc8DFNEemnIbBvAtde2MCuVitUhB6zbKw1TvLI3QU&#10;z9vVMUDApGsUpVOi1wrdlirTT0Zs5z/3Kerxb7D8DV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JQEAABbQ29udGVudF9UeXBlc10ueG1sUEsBAhQA&#10;CgAAAAAAh07iQAAAAAAAAAAAAAAAAAYAAAAAAAAAAAAQAAAAdgMAAF9yZWxzL1BLAQIUABQAAAAI&#10;AIdO4kCKFGY80QAAAJQBAAALAAAAAAAAAAEAIAAAAJoDAABfcmVscy8ucmVsc1BLAQIUAAoAAAAA&#10;AIdO4kAAAAAAAAAAAAAAAAAEAAAAAAAAAAAAEAAAAAAAAABkcnMvUEsBAhQAFAAAAAgAh07iQLNJ&#10;WO7QAAAABQEAAA8AAAAAAAAAAQAgAAAAIgAAAGRycy9kb3ducmV2LnhtbFBLAQIUABQAAAAIAIdO&#10;4kAFYYw/KwIAAFUEAAAOAAAAAAAAAAEAIAAAAB8BAABkcnMvZTJvRG9jLnhtbFBLBQYAAAAABgAG&#10;AFkBAAC8BQAAAAA=&#10;">
              <v:fill on="f" focussize="0,0"/>
              <v:stroke on="f" weight="0.5pt"/>
              <v:imagedata o:title=""/>
              <o:lock v:ext="edit" aspectratio="f"/>
              <v:textbox inset="0mm,0mm,0mm,0mm" style="mso-fit-shape-to-text:t;">
                <w:txbxContent>
                  <w:p w14:paraId="2DE4199B">
                    <w:pPr>
                      <w:pStyle w:val="54"/>
                    </w:pPr>
                    <w:r>
                      <w:fldChar w:fldCharType="begin"/>
                    </w:r>
                    <w:r>
                      <w:instrText xml:space="preserve"> PAGE  \* MERGEFORMAT </w:instrText>
                    </w:r>
                    <w:r>
                      <w:fldChar w:fldCharType="separate"/>
                    </w:r>
                    <w:r>
                      <w:t>1</w:t>
                    </w:r>
                    <w:r>
                      <w:fldChar w:fldCharType="end"/>
                    </w:r>
                  </w:p>
                </w:txbxContent>
              </v:textbox>
            </v:shape>
          </w:pict>
        </mc:Fallback>
      </mc:AlternateContent>
    </w:r>
    <w:r>
      <w:rPr>
        <w:rFonts w:cs="Times New Roman"/>
        <w:color w:val="666666"/>
        <w:sz w:val="14"/>
        <w:szCs w:val="14"/>
        <w:lang w:bidi="ar-SA"/>
      </w:rPr>
      <w:t>© The Author(s) 202</w:t>
    </w:r>
    <w:r>
      <w:rPr>
        <w:rFonts w:hint="eastAsia" w:eastAsia="宋体" w:cs="Times New Roman"/>
        <w:color w:val="666666"/>
        <w:sz w:val="14"/>
        <w:szCs w:val="14"/>
        <w:lang w:val="en-US" w:eastAsia="zh-CN" w:bidi="ar-SA"/>
      </w:rPr>
      <w:t>6</w:t>
    </w:r>
    <w:r>
      <w:rPr>
        <w:rFonts w:cs="Times New Roman"/>
        <w:color w:val="666666"/>
        <w:sz w:val="14"/>
        <w:szCs w:val="14"/>
        <w:lang w:bidi="ar-SA"/>
      </w:rPr>
      <w:t>. Published by BON VIEW PUBLISHING PTE. LTD. This is an open access article under the CC BY License (</w:t>
    </w:r>
    <w:r>
      <w:rPr>
        <w:rFonts w:cs="Times New Roman"/>
        <w:color w:val="0000FF"/>
        <w:sz w:val="14"/>
        <w:szCs w:val="14"/>
        <w:lang w:bidi="ar-SA"/>
      </w:rPr>
      <w:t>https://creativecommons.org/</w:t>
    </w:r>
  </w:p>
  <w:p w14:paraId="32F4AB45">
    <w:pPr>
      <w:pStyle w:val="54"/>
    </w:pPr>
    <w:r>
      <w:rPr>
        <w:rFonts w:cs="Times New Roman"/>
        <w:color w:val="0000FF"/>
        <w:sz w:val="14"/>
        <w:szCs w:val="14"/>
      </w:rPr>
      <w:t>licenses/by/4.0/</w:t>
    </w:r>
    <w:r>
      <w:rPr>
        <w:rFonts w:cs="Times New Roman"/>
        <w:color w:val="666666"/>
        <w:sz w:val="14"/>
        <w:szCs w:val="14"/>
      </w:rPr>
      <w:t>).</w:t>
    </w:r>
    <w:r>
      <w:rPr>
        <w:rFonts w:ascii="AdvOTd43c2f13" w:hAnsi="AdvOTd43c2f13" w:cs="AdvOTd43c2f13"/>
        <w:color w:val="666666"/>
        <w:sz w:val="14"/>
        <w:szCs w:val="14"/>
      </w:rPr>
      <w:tab/>
    </w:r>
    <w:r>
      <w:rPr>
        <w:rFonts w:ascii="AdvOTd43c2f13" w:hAnsi="AdvOTd43c2f13" w:cs="AdvOTd43c2f13"/>
        <w:color w:val="666666"/>
        <w:sz w:val="14"/>
        <w:szCs w:val="14"/>
      </w:rPr>
      <w:tab/>
    </w:r>
    <w:sdt>
      <w:sdtPr>
        <w:id w:val="1990898028"/>
      </w:sdtPr>
      <w:sdtContent/>
    </w:sdt>
  </w:p>
  <w:p w14:paraId="4F65C46D">
    <w:pPr>
      <w:pStyle w:val="54"/>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pPr>
      <w:r>
        <w:separator/>
      </w:r>
    </w:p>
  </w:footnote>
  <w:footnote w:type="continuationSeparator" w:id="1">
    <w:p>
      <w:pPr>
        <w:spacing w:before="0" w:after="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2CA200F">
    <w:pPr>
      <w:pStyle w:val="56"/>
      <w:rPr>
        <w:rFonts w:cs="Times New Roman"/>
        <w:sz w:val="20"/>
        <w:szCs w:val="20"/>
      </w:rPr>
    </w:pPr>
    <w:r>
      <w:rPr>
        <w:rFonts w:hint="eastAsia" w:cs="Times New Roman"/>
        <w:sz w:val="20"/>
        <w:szCs w:val="20"/>
        <w:lang w:val="en-US" w:eastAsia="zh-CN"/>
      </w:rPr>
      <w:t>Artificial Intelligence and Applications</w:t>
    </w:r>
    <w:r>
      <w:rPr>
        <w:rFonts w:cs="Times New Roman"/>
        <w:sz w:val="20"/>
        <w:szCs w:val="20"/>
        <w:lang w:eastAsia="zh-CN"/>
      </w:rPr>
      <w:t xml:space="preserve"> </w:t>
    </w:r>
    <w:r>
      <w:rPr>
        <w:rFonts w:hint="eastAsia" w:cs="Times New Roman"/>
        <w:sz w:val="20"/>
        <w:szCs w:val="20"/>
        <w:lang w:eastAsia="zh-CN"/>
      </w:rPr>
      <w:t xml:space="preserve"> </w:t>
    </w:r>
    <w:r>
      <w:rPr>
        <w:rFonts w:cs="Times New Roman"/>
        <w:sz w:val="20"/>
        <w:szCs w:val="20"/>
      </w:rPr>
      <w:t xml:space="preserve">Vol. XX </w:t>
    </w:r>
    <w:r>
      <w:rPr>
        <w:rFonts w:hint="eastAsia" w:eastAsia="宋体" w:cs="Times New Roman"/>
        <w:sz w:val="20"/>
        <w:szCs w:val="20"/>
        <w:lang w:eastAsia="zh-CN"/>
      </w:rPr>
      <w:t xml:space="preserve"> </w:t>
    </w:r>
    <w:r>
      <w:rPr>
        <w:rFonts w:cs="Times New Roman"/>
        <w:sz w:val="20"/>
        <w:szCs w:val="20"/>
      </w:rPr>
      <w:t xml:space="preserve">Iss. XX </w:t>
    </w:r>
    <w:r>
      <w:rPr>
        <w:rFonts w:hint="eastAsia" w:eastAsia="宋体" w:cs="Times New Roman"/>
        <w:sz w:val="20"/>
        <w:szCs w:val="20"/>
        <w:lang w:eastAsia="zh-CN"/>
      </w:rPr>
      <w:t xml:space="preserve"> </w:t>
    </w:r>
    <w:r>
      <w:rPr>
        <w:rFonts w:cs="Times New Roman"/>
        <w:sz w:val="20"/>
        <w:szCs w:val="20"/>
      </w:rPr>
      <w:t>yyyy</w:t>
    </w:r>
  </w:p>
  <w:p w14:paraId="050980C5">
    <w:pPr>
      <w:pStyle w:val="56"/>
      <w:rPr>
        <w:b/>
      </w:rPr>
    </w:pPr>
    <w:r>
      <w:rPr>
        <w:b/>
      </w:rPr>
      <w:t>______________________________________________________________________________</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6E2370C"/>
    <w:multiLevelType w:val="multilevel"/>
    <w:tmpl w:val="06E2370C"/>
    <w:lvl w:ilvl="0" w:tentative="0">
      <w:start w:val="1"/>
      <w:numFmt w:val="decimal"/>
      <w:pStyle w:val="63"/>
      <w:lvlText w:val="%1."/>
      <w:lvlJc w:val="left"/>
      <w:pPr>
        <w:tabs>
          <w:tab w:val="left" w:pos="720"/>
        </w:tabs>
        <w:ind w:left="720" w:hanging="720"/>
      </w:pPr>
    </w:lvl>
    <w:lvl w:ilvl="1" w:tentative="0">
      <w:start w:val="1"/>
      <w:numFmt w:val="decimal"/>
      <w:lvlText w:val="%2."/>
      <w:lvlJc w:val="left"/>
      <w:pPr>
        <w:tabs>
          <w:tab w:val="left" w:pos="1440"/>
        </w:tabs>
        <w:ind w:left="1440" w:hanging="720"/>
      </w:pPr>
    </w:lvl>
    <w:lvl w:ilvl="2" w:tentative="0">
      <w:start w:val="1"/>
      <w:numFmt w:val="decimal"/>
      <w:lvlText w:val="%3."/>
      <w:lvlJc w:val="left"/>
      <w:pPr>
        <w:tabs>
          <w:tab w:val="left" w:pos="2160"/>
        </w:tabs>
        <w:ind w:left="2160" w:hanging="720"/>
      </w:pPr>
    </w:lvl>
    <w:lvl w:ilvl="3" w:tentative="0">
      <w:start w:val="1"/>
      <w:numFmt w:val="decimal"/>
      <w:lvlText w:val="%4."/>
      <w:lvlJc w:val="left"/>
      <w:pPr>
        <w:tabs>
          <w:tab w:val="left" w:pos="2880"/>
        </w:tabs>
        <w:ind w:left="2880" w:hanging="720"/>
      </w:pPr>
    </w:lvl>
    <w:lvl w:ilvl="4" w:tentative="0">
      <w:start w:val="1"/>
      <w:numFmt w:val="decimal"/>
      <w:lvlText w:val="%5."/>
      <w:lvlJc w:val="left"/>
      <w:pPr>
        <w:tabs>
          <w:tab w:val="left" w:pos="3600"/>
        </w:tabs>
        <w:ind w:left="3600" w:hanging="720"/>
      </w:pPr>
    </w:lvl>
    <w:lvl w:ilvl="5" w:tentative="0">
      <w:start w:val="1"/>
      <w:numFmt w:val="decimal"/>
      <w:lvlText w:val="%6."/>
      <w:lvlJc w:val="left"/>
      <w:pPr>
        <w:tabs>
          <w:tab w:val="left" w:pos="4320"/>
        </w:tabs>
        <w:ind w:left="4320" w:hanging="720"/>
      </w:pPr>
    </w:lvl>
    <w:lvl w:ilvl="6" w:tentative="0">
      <w:start w:val="1"/>
      <w:numFmt w:val="decimal"/>
      <w:lvlText w:val="%7."/>
      <w:lvlJc w:val="left"/>
      <w:pPr>
        <w:tabs>
          <w:tab w:val="left" w:pos="5040"/>
        </w:tabs>
        <w:ind w:left="5040" w:hanging="720"/>
      </w:pPr>
    </w:lvl>
    <w:lvl w:ilvl="7" w:tentative="0">
      <w:start w:val="1"/>
      <w:numFmt w:val="decimal"/>
      <w:lvlText w:val="%8."/>
      <w:lvlJc w:val="left"/>
      <w:pPr>
        <w:tabs>
          <w:tab w:val="left" w:pos="5760"/>
        </w:tabs>
        <w:ind w:left="5760" w:hanging="720"/>
      </w:pPr>
    </w:lvl>
    <w:lvl w:ilvl="8" w:tentative="0">
      <w:start w:val="1"/>
      <w:numFmt w:val="decimal"/>
      <w:lvlText w:val="%9."/>
      <w:lvlJc w:val="left"/>
      <w:pPr>
        <w:tabs>
          <w:tab w:val="left" w:pos="6480"/>
        </w:tabs>
        <w:ind w:left="6480" w:hanging="720"/>
      </w:pPr>
    </w:lvl>
  </w:abstractNum>
  <w:abstractNum w:abstractNumId="1">
    <w:nsid w:val="52CA544A"/>
    <w:multiLevelType w:val="singleLevel"/>
    <w:tmpl w:val="52CA544A"/>
    <w:lvl w:ilvl="0" w:tentative="0">
      <w:start w:val="1"/>
      <w:numFmt w:val="decimal"/>
      <w:pStyle w:val="388"/>
      <w:lvlText w:val="[%1]"/>
      <w:lvlJc w:val="left"/>
      <w:pPr>
        <w:tabs>
          <w:tab w:val="left" w:pos="360"/>
        </w:tabs>
        <w:ind w:left="360" w:hanging="360"/>
      </w:pPr>
      <w:rPr>
        <w:rFonts w:hint="default" w:ascii="Times New Roman" w:hAnsi="Times New Roman" w:cs="Times New Roman"/>
        <w:b w:val="0"/>
        <w:bCs w:val="0"/>
        <w:i w:val="0"/>
        <w:iCs w:val="0"/>
        <w:sz w:val="16"/>
        <w:szCs w:val="16"/>
      </w:rPr>
    </w:lvl>
  </w:abstractNum>
  <w:abstractNum w:abstractNumId="2">
    <w:nsid w:val="55FF61CD"/>
    <w:multiLevelType w:val="multilevel"/>
    <w:tmpl w:val="55FF61CD"/>
    <w:lvl w:ilvl="0" w:tentative="0">
      <w:start w:val="0"/>
      <w:numFmt w:val="bullet"/>
      <w:pStyle w:val="20"/>
      <w:lvlText w:val="-"/>
      <w:lvlJc w:val="left"/>
      <w:pPr>
        <w:ind w:left="720" w:hanging="360"/>
      </w:pPr>
      <w:rPr>
        <w:rFonts w:hint="default" w:ascii="Times New Roman" w:hAnsi="Times New Roman" w:cs="Times New Roman" w:eastAsiaTheme="minorHAnsi"/>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3">
    <w:nsid w:val="6CD32DA8"/>
    <w:multiLevelType w:val="singleLevel"/>
    <w:tmpl w:val="6CD32DA8"/>
    <w:lvl w:ilvl="0" w:tentative="0">
      <w:start w:val="1"/>
      <w:numFmt w:val="upperRoman"/>
      <w:pStyle w:val="389"/>
      <w:lvlText w:val="TABLE %1. "/>
      <w:lvlJc w:val="left"/>
      <w:pPr>
        <w:tabs>
          <w:tab w:val="left" w:pos="1080"/>
        </w:tabs>
      </w:pPr>
      <w:rPr>
        <w:rFonts w:hint="default" w:ascii="Times New Roman" w:hAnsi="Times New Roman" w:cs="Times New Roman"/>
        <w:b w:val="0"/>
        <w:bCs w:val="0"/>
        <w:i w:val="0"/>
        <w:iCs w:val="0"/>
        <w:sz w:val="16"/>
        <w:szCs w:val="16"/>
      </w:rPr>
    </w:lvl>
  </w:abstractNum>
  <w:num w:numId="1">
    <w:abstractNumId w:val="2"/>
  </w:num>
  <w:num w:numId="2">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1"/>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1"/>
  <w:bordersDoNotSurroundFooter w:val="1"/>
  <w:attachedTemplate r:id="rId1"/>
  <w:documentProtection w:enforcement="0"/>
  <w:defaultTabStop w:val="720"/>
  <w:drawingGridHorizontalSpacing w:val="110"/>
  <w:displayHorizontalDrawingGridEvery w:val="2"/>
  <w:characterSpacingControl w:val="doNotCompress"/>
  <w:footnotePr>
    <w:footnote w:id="0"/>
    <w:footnote w:id="1"/>
  </w:foot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MzFkYjU5M2M5ZGM2ZmVjY2Q3ZTFjZGViNmZjYzIxYTAifQ=="/>
    <w:docVar w:name="Context_Styler" w:val="2020-07-14 17:07:45"/>
    <w:docVar w:name="Generate_and_Validate" w:val="2020-07-15 14:21:04"/>
    <w:docVar w:name="Style_Palette" w:val="2020-07-04 22:56:55"/>
    <w:docVar w:name="Verify_Styles" w:val="2020-07-04 23:02:03"/>
  </w:docVars>
  <w:rsids>
    <w:rsidRoot w:val="78522E19"/>
    <w:rsid w:val="00002D19"/>
    <w:rsid w:val="000039B4"/>
    <w:rsid w:val="00003AE4"/>
    <w:rsid w:val="000048D0"/>
    <w:rsid w:val="0000535A"/>
    <w:rsid w:val="00006D58"/>
    <w:rsid w:val="0001131D"/>
    <w:rsid w:val="000122DA"/>
    <w:rsid w:val="000129C3"/>
    <w:rsid w:val="00012BE2"/>
    <w:rsid w:val="00013DE0"/>
    <w:rsid w:val="00016F07"/>
    <w:rsid w:val="00020C6C"/>
    <w:rsid w:val="00023AAD"/>
    <w:rsid w:val="00025D59"/>
    <w:rsid w:val="00025DD4"/>
    <w:rsid w:val="00025F06"/>
    <w:rsid w:val="00026D76"/>
    <w:rsid w:val="00027FE3"/>
    <w:rsid w:val="0003096F"/>
    <w:rsid w:val="00030BB1"/>
    <w:rsid w:val="00030EC1"/>
    <w:rsid w:val="00032472"/>
    <w:rsid w:val="0003248A"/>
    <w:rsid w:val="00033930"/>
    <w:rsid w:val="00033D21"/>
    <w:rsid w:val="0003618D"/>
    <w:rsid w:val="00040175"/>
    <w:rsid w:val="00042910"/>
    <w:rsid w:val="00042ABA"/>
    <w:rsid w:val="00042D7A"/>
    <w:rsid w:val="000432EF"/>
    <w:rsid w:val="00044F7F"/>
    <w:rsid w:val="000469E1"/>
    <w:rsid w:val="00046E97"/>
    <w:rsid w:val="00047CFE"/>
    <w:rsid w:val="00051C78"/>
    <w:rsid w:val="00052642"/>
    <w:rsid w:val="00052D9B"/>
    <w:rsid w:val="000538EA"/>
    <w:rsid w:val="00053929"/>
    <w:rsid w:val="00053EA3"/>
    <w:rsid w:val="0005542B"/>
    <w:rsid w:val="00060EEE"/>
    <w:rsid w:val="0006297E"/>
    <w:rsid w:val="00063F65"/>
    <w:rsid w:val="00064337"/>
    <w:rsid w:val="000648E5"/>
    <w:rsid w:val="00064F44"/>
    <w:rsid w:val="00067972"/>
    <w:rsid w:val="0007132B"/>
    <w:rsid w:val="000727C5"/>
    <w:rsid w:val="00072FE4"/>
    <w:rsid w:val="000739B9"/>
    <w:rsid w:val="0007405F"/>
    <w:rsid w:val="0007739D"/>
    <w:rsid w:val="0007797D"/>
    <w:rsid w:val="00077F10"/>
    <w:rsid w:val="00082606"/>
    <w:rsid w:val="0008361C"/>
    <w:rsid w:val="000844DE"/>
    <w:rsid w:val="0008568B"/>
    <w:rsid w:val="000858EE"/>
    <w:rsid w:val="00085DFE"/>
    <w:rsid w:val="00085ED0"/>
    <w:rsid w:val="0008793E"/>
    <w:rsid w:val="0009133E"/>
    <w:rsid w:val="000926CB"/>
    <w:rsid w:val="000931F1"/>
    <w:rsid w:val="00095432"/>
    <w:rsid w:val="00095C08"/>
    <w:rsid w:val="00097FAB"/>
    <w:rsid w:val="000A14ED"/>
    <w:rsid w:val="000A3920"/>
    <w:rsid w:val="000A3AAC"/>
    <w:rsid w:val="000A4E75"/>
    <w:rsid w:val="000A7A14"/>
    <w:rsid w:val="000B00C2"/>
    <w:rsid w:val="000B0239"/>
    <w:rsid w:val="000B03D5"/>
    <w:rsid w:val="000B2B23"/>
    <w:rsid w:val="000B2C99"/>
    <w:rsid w:val="000B3769"/>
    <w:rsid w:val="000B7592"/>
    <w:rsid w:val="000C0BC2"/>
    <w:rsid w:val="000C0E37"/>
    <w:rsid w:val="000C2505"/>
    <w:rsid w:val="000C2CC1"/>
    <w:rsid w:val="000C38A0"/>
    <w:rsid w:val="000C3FBE"/>
    <w:rsid w:val="000C47AA"/>
    <w:rsid w:val="000C4F98"/>
    <w:rsid w:val="000C61B3"/>
    <w:rsid w:val="000C7617"/>
    <w:rsid w:val="000C7835"/>
    <w:rsid w:val="000C78F1"/>
    <w:rsid w:val="000D13EF"/>
    <w:rsid w:val="000D67D8"/>
    <w:rsid w:val="000D72E9"/>
    <w:rsid w:val="000E10D1"/>
    <w:rsid w:val="000E1304"/>
    <w:rsid w:val="000E1BA2"/>
    <w:rsid w:val="000E3A1D"/>
    <w:rsid w:val="000E3AA2"/>
    <w:rsid w:val="000E46AC"/>
    <w:rsid w:val="000E66AD"/>
    <w:rsid w:val="000E68B2"/>
    <w:rsid w:val="000E6F9F"/>
    <w:rsid w:val="000F1540"/>
    <w:rsid w:val="000F1B9A"/>
    <w:rsid w:val="000F49ED"/>
    <w:rsid w:val="000F50E5"/>
    <w:rsid w:val="001003AD"/>
    <w:rsid w:val="0010249A"/>
    <w:rsid w:val="00102B8B"/>
    <w:rsid w:val="00102EC9"/>
    <w:rsid w:val="001035CB"/>
    <w:rsid w:val="00104C61"/>
    <w:rsid w:val="00106CEA"/>
    <w:rsid w:val="001135DA"/>
    <w:rsid w:val="001137E8"/>
    <w:rsid w:val="00114465"/>
    <w:rsid w:val="00114550"/>
    <w:rsid w:val="001149E9"/>
    <w:rsid w:val="00114D7B"/>
    <w:rsid w:val="0011648D"/>
    <w:rsid w:val="0011679C"/>
    <w:rsid w:val="001175FD"/>
    <w:rsid w:val="00120614"/>
    <w:rsid w:val="001207B0"/>
    <w:rsid w:val="00122436"/>
    <w:rsid w:val="00123F12"/>
    <w:rsid w:val="00124159"/>
    <w:rsid w:val="0012573A"/>
    <w:rsid w:val="00127147"/>
    <w:rsid w:val="001272B0"/>
    <w:rsid w:val="0012768E"/>
    <w:rsid w:val="0012796D"/>
    <w:rsid w:val="00130151"/>
    <w:rsid w:val="00133EB2"/>
    <w:rsid w:val="0013481A"/>
    <w:rsid w:val="001349C9"/>
    <w:rsid w:val="00135785"/>
    <w:rsid w:val="00135817"/>
    <w:rsid w:val="00137A9E"/>
    <w:rsid w:val="00140B51"/>
    <w:rsid w:val="00142001"/>
    <w:rsid w:val="001430A0"/>
    <w:rsid w:val="00143A45"/>
    <w:rsid w:val="00146716"/>
    <w:rsid w:val="001471B1"/>
    <w:rsid w:val="001477C5"/>
    <w:rsid w:val="0015042B"/>
    <w:rsid w:val="0015139E"/>
    <w:rsid w:val="0015265F"/>
    <w:rsid w:val="001534C3"/>
    <w:rsid w:val="00157EDC"/>
    <w:rsid w:val="001605E9"/>
    <w:rsid w:val="0016347B"/>
    <w:rsid w:val="00163DB5"/>
    <w:rsid w:val="00163FE3"/>
    <w:rsid w:val="001641A0"/>
    <w:rsid w:val="00166CF3"/>
    <w:rsid w:val="00166D40"/>
    <w:rsid w:val="001674E5"/>
    <w:rsid w:val="00167ADD"/>
    <w:rsid w:val="00170806"/>
    <w:rsid w:val="00170B0A"/>
    <w:rsid w:val="00171496"/>
    <w:rsid w:val="001714FB"/>
    <w:rsid w:val="00172F90"/>
    <w:rsid w:val="00176F00"/>
    <w:rsid w:val="00176F91"/>
    <w:rsid w:val="0017790D"/>
    <w:rsid w:val="001828C3"/>
    <w:rsid w:val="001833B5"/>
    <w:rsid w:val="00184D67"/>
    <w:rsid w:val="00185A8E"/>
    <w:rsid w:val="00186233"/>
    <w:rsid w:val="00186E3F"/>
    <w:rsid w:val="00186EC2"/>
    <w:rsid w:val="00187F60"/>
    <w:rsid w:val="00190445"/>
    <w:rsid w:val="00190C2F"/>
    <w:rsid w:val="00191852"/>
    <w:rsid w:val="00192CFD"/>
    <w:rsid w:val="00192D8B"/>
    <w:rsid w:val="001940AB"/>
    <w:rsid w:val="00194A14"/>
    <w:rsid w:val="001968A6"/>
    <w:rsid w:val="00196934"/>
    <w:rsid w:val="001A1490"/>
    <w:rsid w:val="001A3DCC"/>
    <w:rsid w:val="001A4BF9"/>
    <w:rsid w:val="001A7298"/>
    <w:rsid w:val="001A7E3E"/>
    <w:rsid w:val="001A7F02"/>
    <w:rsid w:val="001B1358"/>
    <w:rsid w:val="001B4AA2"/>
    <w:rsid w:val="001B5849"/>
    <w:rsid w:val="001B62BB"/>
    <w:rsid w:val="001B7572"/>
    <w:rsid w:val="001C2E51"/>
    <w:rsid w:val="001C3375"/>
    <w:rsid w:val="001C3EC2"/>
    <w:rsid w:val="001C3FED"/>
    <w:rsid w:val="001C4CF5"/>
    <w:rsid w:val="001C644A"/>
    <w:rsid w:val="001C74BA"/>
    <w:rsid w:val="001D0D81"/>
    <w:rsid w:val="001D1345"/>
    <w:rsid w:val="001D17AF"/>
    <w:rsid w:val="001D3867"/>
    <w:rsid w:val="001D3AAA"/>
    <w:rsid w:val="001D50B0"/>
    <w:rsid w:val="001E0AB4"/>
    <w:rsid w:val="001E16D7"/>
    <w:rsid w:val="001E2A7C"/>
    <w:rsid w:val="001E3839"/>
    <w:rsid w:val="001E4567"/>
    <w:rsid w:val="001E495D"/>
    <w:rsid w:val="001E6079"/>
    <w:rsid w:val="001E73E4"/>
    <w:rsid w:val="001E7B91"/>
    <w:rsid w:val="001E7D44"/>
    <w:rsid w:val="001E7D96"/>
    <w:rsid w:val="001F1FA2"/>
    <w:rsid w:val="001F32B1"/>
    <w:rsid w:val="001F48FF"/>
    <w:rsid w:val="001F7113"/>
    <w:rsid w:val="002028DC"/>
    <w:rsid w:val="002060EE"/>
    <w:rsid w:val="00206413"/>
    <w:rsid w:val="0020660A"/>
    <w:rsid w:val="00215221"/>
    <w:rsid w:val="00215DEB"/>
    <w:rsid w:val="002167E7"/>
    <w:rsid w:val="002172BB"/>
    <w:rsid w:val="00217422"/>
    <w:rsid w:val="00217923"/>
    <w:rsid w:val="00220C23"/>
    <w:rsid w:val="00221100"/>
    <w:rsid w:val="002242D8"/>
    <w:rsid w:val="0022515A"/>
    <w:rsid w:val="00226061"/>
    <w:rsid w:val="00226C79"/>
    <w:rsid w:val="00227230"/>
    <w:rsid w:val="0022796C"/>
    <w:rsid w:val="002320C8"/>
    <w:rsid w:val="00232DEE"/>
    <w:rsid w:val="0023322D"/>
    <w:rsid w:val="00233490"/>
    <w:rsid w:val="002341F4"/>
    <w:rsid w:val="002366BE"/>
    <w:rsid w:val="00236ECD"/>
    <w:rsid w:val="00240536"/>
    <w:rsid w:val="00240E60"/>
    <w:rsid w:val="00241A1D"/>
    <w:rsid w:val="0024273D"/>
    <w:rsid w:val="00244B8D"/>
    <w:rsid w:val="002459B0"/>
    <w:rsid w:val="00246957"/>
    <w:rsid w:val="0024698B"/>
    <w:rsid w:val="002474D0"/>
    <w:rsid w:val="002478F1"/>
    <w:rsid w:val="00250824"/>
    <w:rsid w:val="002514C1"/>
    <w:rsid w:val="0025248C"/>
    <w:rsid w:val="00253676"/>
    <w:rsid w:val="00254EC0"/>
    <w:rsid w:val="002569B7"/>
    <w:rsid w:val="002574C9"/>
    <w:rsid w:val="002579EC"/>
    <w:rsid w:val="0026066D"/>
    <w:rsid w:val="002610BC"/>
    <w:rsid w:val="00264571"/>
    <w:rsid w:val="00264BDB"/>
    <w:rsid w:val="002668A6"/>
    <w:rsid w:val="00266C89"/>
    <w:rsid w:val="00266E4C"/>
    <w:rsid w:val="00271D65"/>
    <w:rsid w:val="00273ADC"/>
    <w:rsid w:val="00273CB8"/>
    <w:rsid w:val="002748F6"/>
    <w:rsid w:val="00275173"/>
    <w:rsid w:val="002751BD"/>
    <w:rsid w:val="00277A34"/>
    <w:rsid w:val="00280E7D"/>
    <w:rsid w:val="0028102B"/>
    <w:rsid w:val="002818E0"/>
    <w:rsid w:val="00281B47"/>
    <w:rsid w:val="00282910"/>
    <w:rsid w:val="0028310E"/>
    <w:rsid w:val="00283A64"/>
    <w:rsid w:val="002901C4"/>
    <w:rsid w:val="00290A71"/>
    <w:rsid w:val="00290B47"/>
    <w:rsid w:val="002913FD"/>
    <w:rsid w:val="00293D61"/>
    <w:rsid w:val="00294BEC"/>
    <w:rsid w:val="00295962"/>
    <w:rsid w:val="002961EA"/>
    <w:rsid w:val="00297DD7"/>
    <w:rsid w:val="002A0142"/>
    <w:rsid w:val="002A0EA9"/>
    <w:rsid w:val="002A14D2"/>
    <w:rsid w:val="002A20BD"/>
    <w:rsid w:val="002A2289"/>
    <w:rsid w:val="002A36F6"/>
    <w:rsid w:val="002A44B5"/>
    <w:rsid w:val="002A4F70"/>
    <w:rsid w:val="002A50CD"/>
    <w:rsid w:val="002A56A6"/>
    <w:rsid w:val="002A7A95"/>
    <w:rsid w:val="002B1062"/>
    <w:rsid w:val="002B249A"/>
    <w:rsid w:val="002B3BAD"/>
    <w:rsid w:val="002B549A"/>
    <w:rsid w:val="002B73E8"/>
    <w:rsid w:val="002C01BC"/>
    <w:rsid w:val="002C08C7"/>
    <w:rsid w:val="002C1E7C"/>
    <w:rsid w:val="002C2613"/>
    <w:rsid w:val="002C383C"/>
    <w:rsid w:val="002C3906"/>
    <w:rsid w:val="002C4D06"/>
    <w:rsid w:val="002C6416"/>
    <w:rsid w:val="002C6946"/>
    <w:rsid w:val="002D0565"/>
    <w:rsid w:val="002D078A"/>
    <w:rsid w:val="002D09B5"/>
    <w:rsid w:val="002D1A31"/>
    <w:rsid w:val="002D5930"/>
    <w:rsid w:val="002D5F5D"/>
    <w:rsid w:val="002D7216"/>
    <w:rsid w:val="002E03A2"/>
    <w:rsid w:val="002E0655"/>
    <w:rsid w:val="002E0896"/>
    <w:rsid w:val="002E13ED"/>
    <w:rsid w:val="002E154D"/>
    <w:rsid w:val="002E2327"/>
    <w:rsid w:val="002E38B0"/>
    <w:rsid w:val="002E38EE"/>
    <w:rsid w:val="002E4AA4"/>
    <w:rsid w:val="002E583C"/>
    <w:rsid w:val="002E58AB"/>
    <w:rsid w:val="002E681C"/>
    <w:rsid w:val="002E6D7C"/>
    <w:rsid w:val="002E7BEF"/>
    <w:rsid w:val="002E7C42"/>
    <w:rsid w:val="002F1B38"/>
    <w:rsid w:val="002F2564"/>
    <w:rsid w:val="002F3153"/>
    <w:rsid w:val="002F359C"/>
    <w:rsid w:val="002F369E"/>
    <w:rsid w:val="002F4AB2"/>
    <w:rsid w:val="002F4BE4"/>
    <w:rsid w:val="002F575C"/>
    <w:rsid w:val="002F5775"/>
    <w:rsid w:val="002F7DF3"/>
    <w:rsid w:val="002F7FE7"/>
    <w:rsid w:val="00300DFB"/>
    <w:rsid w:val="00302381"/>
    <w:rsid w:val="00302941"/>
    <w:rsid w:val="00302A5B"/>
    <w:rsid w:val="00303D56"/>
    <w:rsid w:val="00304756"/>
    <w:rsid w:val="003060AF"/>
    <w:rsid w:val="003060C3"/>
    <w:rsid w:val="00306122"/>
    <w:rsid w:val="003078EE"/>
    <w:rsid w:val="00311A23"/>
    <w:rsid w:val="0031251A"/>
    <w:rsid w:val="00312C36"/>
    <w:rsid w:val="00313DA0"/>
    <w:rsid w:val="00314600"/>
    <w:rsid w:val="003158C8"/>
    <w:rsid w:val="00315EB8"/>
    <w:rsid w:val="00316162"/>
    <w:rsid w:val="003170F3"/>
    <w:rsid w:val="00320E07"/>
    <w:rsid w:val="00320FC6"/>
    <w:rsid w:val="003223DE"/>
    <w:rsid w:val="00322936"/>
    <w:rsid w:val="00322EF1"/>
    <w:rsid w:val="00325AA1"/>
    <w:rsid w:val="0032650E"/>
    <w:rsid w:val="00326DA8"/>
    <w:rsid w:val="00327109"/>
    <w:rsid w:val="0032721B"/>
    <w:rsid w:val="00327932"/>
    <w:rsid w:val="00327F2B"/>
    <w:rsid w:val="00330543"/>
    <w:rsid w:val="00330F30"/>
    <w:rsid w:val="003314BC"/>
    <w:rsid w:val="0033237D"/>
    <w:rsid w:val="00332748"/>
    <w:rsid w:val="00333647"/>
    <w:rsid w:val="003336A6"/>
    <w:rsid w:val="0034050E"/>
    <w:rsid w:val="0034118E"/>
    <w:rsid w:val="003454BC"/>
    <w:rsid w:val="00346B6D"/>
    <w:rsid w:val="00350581"/>
    <w:rsid w:val="00350A3F"/>
    <w:rsid w:val="003511D9"/>
    <w:rsid w:val="0035198F"/>
    <w:rsid w:val="00351A16"/>
    <w:rsid w:val="0035371A"/>
    <w:rsid w:val="00353B55"/>
    <w:rsid w:val="00353FE5"/>
    <w:rsid w:val="00355E77"/>
    <w:rsid w:val="003562BD"/>
    <w:rsid w:val="00357CC3"/>
    <w:rsid w:val="003611DD"/>
    <w:rsid w:val="00361C10"/>
    <w:rsid w:val="00362991"/>
    <w:rsid w:val="00365B4E"/>
    <w:rsid w:val="00365BF1"/>
    <w:rsid w:val="003678ED"/>
    <w:rsid w:val="00367A56"/>
    <w:rsid w:val="00370097"/>
    <w:rsid w:val="00370579"/>
    <w:rsid w:val="0037135E"/>
    <w:rsid w:val="00372202"/>
    <w:rsid w:val="00372A86"/>
    <w:rsid w:val="00372C91"/>
    <w:rsid w:val="0037330A"/>
    <w:rsid w:val="003733EE"/>
    <w:rsid w:val="00373D53"/>
    <w:rsid w:val="0037528E"/>
    <w:rsid w:val="003756FA"/>
    <w:rsid w:val="00377438"/>
    <w:rsid w:val="00377453"/>
    <w:rsid w:val="00377555"/>
    <w:rsid w:val="003808F2"/>
    <w:rsid w:val="003816AB"/>
    <w:rsid w:val="003842F2"/>
    <w:rsid w:val="0038485F"/>
    <w:rsid w:val="00384ADC"/>
    <w:rsid w:val="00384C78"/>
    <w:rsid w:val="0038622B"/>
    <w:rsid w:val="003865B0"/>
    <w:rsid w:val="00386ADA"/>
    <w:rsid w:val="003919A2"/>
    <w:rsid w:val="00392BB4"/>
    <w:rsid w:val="003930FF"/>
    <w:rsid w:val="00393108"/>
    <w:rsid w:val="0039389D"/>
    <w:rsid w:val="00394207"/>
    <w:rsid w:val="00395304"/>
    <w:rsid w:val="003973B5"/>
    <w:rsid w:val="00397850"/>
    <w:rsid w:val="003A12EC"/>
    <w:rsid w:val="003A152C"/>
    <w:rsid w:val="003A1905"/>
    <w:rsid w:val="003A2BF2"/>
    <w:rsid w:val="003A31AA"/>
    <w:rsid w:val="003A3AAD"/>
    <w:rsid w:val="003A5B90"/>
    <w:rsid w:val="003B26EE"/>
    <w:rsid w:val="003B3987"/>
    <w:rsid w:val="003B3E59"/>
    <w:rsid w:val="003B5506"/>
    <w:rsid w:val="003B611C"/>
    <w:rsid w:val="003B67C9"/>
    <w:rsid w:val="003B71A1"/>
    <w:rsid w:val="003B7882"/>
    <w:rsid w:val="003C12A9"/>
    <w:rsid w:val="003C1681"/>
    <w:rsid w:val="003C1757"/>
    <w:rsid w:val="003C1BFF"/>
    <w:rsid w:val="003C1DCD"/>
    <w:rsid w:val="003C317F"/>
    <w:rsid w:val="003C4259"/>
    <w:rsid w:val="003C594D"/>
    <w:rsid w:val="003C6DD2"/>
    <w:rsid w:val="003C7C8E"/>
    <w:rsid w:val="003D15F2"/>
    <w:rsid w:val="003D1B58"/>
    <w:rsid w:val="003D2FFF"/>
    <w:rsid w:val="003D4BB7"/>
    <w:rsid w:val="003D5617"/>
    <w:rsid w:val="003D5C69"/>
    <w:rsid w:val="003D6590"/>
    <w:rsid w:val="003D7477"/>
    <w:rsid w:val="003D7D06"/>
    <w:rsid w:val="003E1440"/>
    <w:rsid w:val="003E2125"/>
    <w:rsid w:val="003E3BB1"/>
    <w:rsid w:val="003E4019"/>
    <w:rsid w:val="003E4564"/>
    <w:rsid w:val="003E457A"/>
    <w:rsid w:val="003E45D7"/>
    <w:rsid w:val="003E51C3"/>
    <w:rsid w:val="003E53AC"/>
    <w:rsid w:val="003E5B22"/>
    <w:rsid w:val="003E61F4"/>
    <w:rsid w:val="003E7070"/>
    <w:rsid w:val="003F0F7E"/>
    <w:rsid w:val="003F15FF"/>
    <w:rsid w:val="003F2353"/>
    <w:rsid w:val="003F6212"/>
    <w:rsid w:val="003F6ADC"/>
    <w:rsid w:val="003F6B4A"/>
    <w:rsid w:val="003F78F8"/>
    <w:rsid w:val="00400037"/>
    <w:rsid w:val="00400E61"/>
    <w:rsid w:val="004038A2"/>
    <w:rsid w:val="00404BC5"/>
    <w:rsid w:val="004107D2"/>
    <w:rsid w:val="00411CBA"/>
    <w:rsid w:val="004128E8"/>
    <w:rsid w:val="00412BCB"/>
    <w:rsid w:val="004146B4"/>
    <w:rsid w:val="00415C40"/>
    <w:rsid w:val="0041651B"/>
    <w:rsid w:val="00416E6E"/>
    <w:rsid w:val="00417387"/>
    <w:rsid w:val="00420E69"/>
    <w:rsid w:val="00420ED9"/>
    <w:rsid w:val="004224FF"/>
    <w:rsid w:val="00425410"/>
    <w:rsid w:val="00426A60"/>
    <w:rsid w:val="004277FF"/>
    <w:rsid w:val="00430A35"/>
    <w:rsid w:val="0043124A"/>
    <w:rsid w:val="0043530F"/>
    <w:rsid w:val="004364B5"/>
    <w:rsid w:val="00436941"/>
    <w:rsid w:val="00440B25"/>
    <w:rsid w:val="00440B96"/>
    <w:rsid w:val="0044207A"/>
    <w:rsid w:val="004425B6"/>
    <w:rsid w:val="004435FA"/>
    <w:rsid w:val="00445240"/>
    <w:rsid w:val="004453F9"/>
    <w:rsid w:val="00451FA6"/>
    <w:rsid w:val="0045247C"/>
    <w:rsid w:val="00452993"/>
    <w:rsid w:val="00452C40"/>
    <w:rsid w:val="00452E26"/>
    <w:rsid w:val="004541E7"/>
    <w:rsid w:val="00454ECB"/>
    <w:rsid w:val="0045567E"/>
    <w:rsid w:val="00456960"/>
    <w:rsid w:val="00460B9D"/>
    <w:rsid w:val="004614A5"/>
    <w:rsid w:val="00461521"/>
    <w:rsid w:val="00461F7F"/>
    <w:rsid w:val="0046468F"/>
    <w:rsid w:val="00465D0D"/>
    <w:rsid w:val="00470648"/>
    <w:rsid w:val="0047088A"/>
    <w:rsid w:val="00470DC5"/>
    <w:rsid w:val="0047106F"/>
    <w:rsid w:val="004713C1"/>
    <w:rsid w:val="00472707"/>
    <w:rsid w:val="00473491"/>
    <w:rsid w:val="00473B7A"/>
    <w:rsid w:val="00473E4B"/>
    <w:rsid w:val="00474E41"/>
    <w:rsid w:val="004751CD"/>
    <w:rsid w:val="00475257"/>
    <w:rsid w:val="004755EC"/>
    <w:rsid w:val="00475F0E"/>
    <w:rsid w:val="00476EF7"/>
    <w:rsid w:val="00476FB2"/>
    <w:rsid w:val="00477424"/>
    <w:rsid w:val="0048248C"/>
    <w:rsid w:val="0048471D"/>
    <w:rsid w:val="00484729"/>
    <w:rsid w:val="00485210"/>
    <w:rsid w:val="004859A2"/>
    <w:rsid w:val="00486F0F"/>
    <w:rsid w:val="00490068"/>
    <w:rsid w:val="00490A1C"/>
    <w:rsid w:val="00490F39"/>
    <w:rsid w:val="0049149B"/>
    <w:rsid w:val="004916F6"/>
    <w:rsid w:val="00491ED2"/>
    <w:rsid w:val="004933AC"/>
    <w:rsid w:val="00493416"/>
    <w:rsid w:val="00493A80"/>
    <w:rsid w:val="0049693A"/>
    <w:rsid w:val="00496B94"/>
    <w:rsid w:val="00496EF2"/>
    <w:rsid w:val="004A0A88"/>
    <w:rsid w:val="004A0F4F"/>
    <w:rsid w:val="004A1168"/>
    <w:rsid w:val="004A1752"/>
    <w:rsid w:val="004A1949"/>
    <w:rsid w:val="004A2A6E"/>
    <w:rsid w:val="004A2AFB"/>
    <w:rsid w:val="004A2B16"/>
    <w:rsid w:val="004A2C23"/>
    <w:rsid w:val="004A317C"/>
    <w:rsid w:val="004A38DA"/>
    <w:rsid w:val="004A3DCC"/>
    <w:rsid w:val="004A47EA"/>
    <w:rsid w:val="004A4A03"/>
    <w:rsid w:val="004A5031"/>
    <w:rsid w:val="004A50A8"/>
    <w:rsid w:val="004A57AC"/>
    <w:rsid w:val="004A5D36"/>
    <w:rsid w:val="004A5DAD"/>
    <w:rsid w:val="004A74D4"/>
    <w:rsid w:val="004B036E"/>
    <w:rsid w:val="004B053A"/>
    <w:rsid w:val="004B06AC"/>
    <w:rsid w:val="004B0D36"/>
    <w:rsid w:val="004B0F7C"/>
    <w:rsid w:val="004B112B"/>
    <w:rsid w:val="004B29AC"/>
    <w:rsid w:val="004B609D"/>
    <w:rsid w:val="004B66D8"/>
    <w:rsid w:val="004C01D1"/>
    <w:rsid w:val="004C25F7"/>
    <w:rsid w:val="004C39C2"/>
    <w:rsid w:val="004C3EBA"/>
    <w:rsid w:val="004C436F"/>
    <w:rsid w:val="004C473C"/>
    <w:rsid w:val="004C5648"/>
    <w:rsid w:val="004C701C"/>
    <w:rsid w:val="004C7994"/>
    <w:rsid w:val="004C7A1B"/>
    <w:rsid w:val="004D1E86"/>
    <w:rsid w:val="004D5DDD"/>
    <w:rsid w:val="004D705B"/>
    <w:rsid w:val="004E0E5F"/>
    <w:rsid w:val="004E163A"/>
    <w:rsid w:val="004E2162"/>
    <w:rsid w:val="004E2817"/>
    <w:rsid w:val="004E2DF4"/>
    <w:rsid w:val="004E3C8C"/>
    <w:rsid w:val="004E3D83"/>
    <w:rsid w:val="004E3DF5"/>
    <w:rsid w:val="004E3FE7"/>
    <w:rsid w:val="004E486C"/>
    <w:rsid w:val="004E4B31"/>
    <w:rsid w:val="004E502C"/>
    <w:rsid w:val="004E540D"/>
    <w:rsid w:val="004E761C"/>
    <w:rsid w:val="004F0415"/>
    <w:rsid w:val="004F1987"/>
    <w:rsid w:val="004F1FDC"/>
    <w:rsid w:val="004F2B1A"/>
    <w:rsid w:val="004F2B80"/>
    <w:rsid w:val="004F5FA4"/>
    <w:rsid w:val="004F6301"/>
    <w:rsid w:val="004F64EE"/>
    <w:rsid w:val="004F6CB3"/>
    <w:rsid w:val="004F7142"/>
    <w:rsid w:val="004F7640"/>
    <w:rsid w:val="00500CC7"/>
    <w:rsid w:val="00502AC4"/>
    <w:rsid w:val="00503723"/>
    <w:rsid w:val="005046DB"/>
    <w:rsid w:val="00507009"/>
    <w:rsid w:val="00507279"/>
    <w:rsid w:val="005072D0"/>
    <w:rsid w:val="005073E1"/>
    <w:rsid w:val="0051044F"/>
    <w:rsid w:val="00511D00"/>
    <w:rsid w:val="00512413"/>
    <w:rsid w:val="00512695"/>
    <w:rsid w:val="00513A2F"/>
    <w:rsid w:val="00514239"/>
    <w:rsid w:val="00514640"/>
    <w:rsid w:val="00515B5C"/>
    <w:rsid w:val="0051680E"/>
    <w:rsid w:val="005204A7"/>
    <w:rsid w:val="00521176"/>
    <w:rsid w:val="0052427B"/>
    <w:rsid w:val="00524E03"/>
    <w:rsid w:val="00525B92"/>
    <w:rsid w:val="005268C4"/>
    <w:rsid w:val="00526E58"/>
    <w:rsid w:val="00530325"/>
    <w:rsid w:val="00530781"/>
    <w:rsid w:val="0053144E"/>
    <w:rsid w:val="005328E8"/>
    <w:rsid w:val="00532E0F"/>
    <w:rsid w:val="005335CD"/>
    <w:rsid w:val="005339D9"/>
    <w:rsid w:val="0053573E"/>
    <w:rsid w:val="00536BDA"/>
    <w:rsid w:val="0054091F"/>
    <w:rsid w:val="00541090"/>
    <w:rsid w:val="00541435"/>
    <w:rsid w:val="00542CBA"/>
    <w:rsid w:val="005444D8"/>
    <w:rsid w:val="00544AF8"/>
    <w:rsid w:val="00546289"/>
    <w:rsid w:val="00552686"/>
    <w:rsid w:val="005531F9"/>
    <w:rsid w:val="00554B97"/>
    <w:rsid w:val="00556A18"/>
    <w:rsid w:val="00556F31"/>
    <w:rsid w:val="00557CAD"/>
    <w:rsid w:val="0056184F"/>
    <w:rsid w:val="005621C9"/>
    <w:rsid w:val="005628C3"/>
    <w:rsid w:val="00562E15"/>
    <w:rsid w:val="005634D7"/>
    <w:rsid w:val="00563E6F"/>
    <w:rsid w:val="00564A2A"/>
    <w:rsid w:val="00564E22"/>
    <w:rsid w:val="00565150"/>
    <w:rsid w:val="00567C07"/>
    <w:rsid w:val="00570EBF"/>
    <w:rsid w:val="00572E19"/>
    <w:rsid w:val="00573015"/>
    <w:rsid w:val="005752AA"/>
    <w:rsid w:val="00581D8B"/>
    <w:rsid w:val="0058351E"/>
    <w:rsid w:val="0058423F"/>
    <w:rsid w:val="005845BF"/>
    <w:rsid w:val="005870A8"/>
    <w:rsid w:val="005872F1"/>
    <w:rsid w:val="00591C19"/>
    <w:rsid w:val="00592842"/>
    <w:rsid w:val="00592C80"/>
    <w:rsid w:val="00592D35"/>
    <w:rsid w:val="00593E84"/>
    <w:rsid w:val="0059434D"/>
    <w:rsid w:val="0059647C"/>
    <w:rsid w:val="00597198"/>
    <w:rsid w:val="005A0016"/>
    <w:rsid w:val="005A09A5"/>
    <w:rsid w:val="005A5507"/>
    <w:rsid w:val="005A564B"/>
    <w:rsid w:val="005A6487"/>
    <w:rsid w:val="005A66DF"/>
    <w:rsid w:val="005A73EE"/>
    <w:rsid w:val="005B13BB"/>
    <w:rsid w:val="005B4D60"/>
    <w:rsid w:val="005B5CF6"/>
    <w:rsid w:val="005B63E0"/>
    <w:rsid w:val="005B7561"/>
    <w:rsid w:val="005C1B28"/>
    <w:rsid w:val="005C2A72"/>
    <w:rsid w:val="005C3005"/>
    <w:rsid w:val="005C54D8"/>
    <w:rsid w:val="005C79D6"/>
    <w:rsid w:val="005D0200"/>
    <w:rsid w:val="005D02BE"/>
    <w:rsid w:val="005D4CE8"/>
    <w:rsid w:val="005E0107"/>
    <w:rsid w:val="005E09B3"/>
    <w:rsid w:val="005E0D66"/>
    <w:rsid w:val="005E2B25"/>
    <w:rsid w:val="005E5FBC"/>
    <w:rsid w:val="005E67D7"/>
    <w:rsid w:val="005F05EC"/>
    <w:rsid w:val="005F138D"/>
    <w:rsid w:val="005F5D77"/>
    <w:rsid w:val="005F62D6"/>
    <w:rsid w:val="005F633A"/>
    <w:rsid w:val="005F7F73"/>
    <w:rsid w:val="00607A4F"/>
    <w:rsid w:val="00610E78"/>
    <w:rsid w:val="00611286"/>
    <w:rsid w:val="00611948"/>
    <w:rsid w:val="006137AD"/>
    <w:rsid w:val="006142D1"/>
    <w:rsid w:val="00614F12"/>
    <w:rsid w:val="006151E6"/>
    <w:rsid w:val="00615A06"/>
    <w:rsid w:val="006163B3"/>
    <w:rsid w:val="0062000C"/>
    <w:rsid w:val="006207C1"/>
    <w:rsid w:val="00620967"/>
    <w:rsid w:val="00620D2A"/>
    <w:rsid w:val="00622161"/>
    <w:rsid w:val="00625374"/>
    <w:rsid w:val="00625A91"/>
    <w:rsid w:val="006302E1"/>
    <w:rsid w:val="0063225F"/>
    <w:rsid w:val="006324C9"/>
    <w:rsid w:val="00632F3A"/>
    <w:rsid w:val="0063405A"/>
    <w:rsid w:val="006347B3"/>
    <w:rsid w:val="00634FE3"/>
    <w:rsid w:val="0063518A"/>
    <w:rsid w:val="006355BD"/>
    <w:rsid w:val="00635B4F"/>
    <w:rsid w:val="00637641"/>
    <w:rsid w:val="00640EE2"/>
    <w:rsid w:val="00641B17"/>
    <w:rsid w:val="00641C6B"/>
    <w:rsid w:val="00641CC2"/>
    <w:rsid w:val="00641F7C"/>
    <w:rsid w:val="0064283C"/>
    <w:rsid w:val="0064488A"/>
    <w:rsid w:val="00644A73"/>
    <w:rsid w:val="006452E9"/>
    <w:rsid w:val="00645968"/>
    <w:rsid w:val="00647150"/>
    <w:rsid w:val="00647AE1"/>
    <w:rsid w:val="006502F7"/>
    <w:rsid w:val="00651DB6"/>
    <w:rsid w:val="006527BE"/>
    <w:rsid w:val="006558D4"/>
    <w:rsid w:val="00655DF1"/>
    <w:rsid w:val="0065650A"/>
    <w:rsid w:val="0065679B"/>
    <w:rsid w:val="00656D7C"/>
    <w:rsid w:val="00657193"/>
    <w:rsid w:val="006612A6"/>
    <w:rsid w:val="00661F60"/>
    <w:rsid w:val="00662C89"/>
    <w:rsid w:val="00663B76"/>
    <w:rsid w:val="00664212"/>
    <w:rsid w:val="00665083"/>
    <w:rsid w:val="006652DA"/>
    <w:rsid w:val="006654F4"/>
    <w:rsid w:val="00667A1D"/>
    <w:rsid w:val="00670A88"/>
    <w:rsid w:val="006723A5"/>
    <w:rsid w:val="006735A0"/>
    <w:rsid w:val="00673692"/>
    <w:rsid w:val="00674B01"/>
    <w:rsid w:val="00675E30"/>
    <w:rsid w:val="006762BB"/>
    <w:rsid w:val="00680282"/>
    <w:rsid w:val="006808C0"/>
    <w:rsid w:val="006832C1"/>
    <w:rsid w:val="00684A60"/>
    <w:rsid w:val="006853E5"/>
    <w:rsid w:val="006878F5"/>
    <w:rsid w:val="0069003F"/>
    <w:rsid w:val="006900A2"/>
    <w:rsid w:val="00690698"/>
    <w:rsid w:val="006908C2"/>
    <w:rsid w:val="0069123E"/>
    <w:rsid w:val="0069168D"/>
    <w:rsid w:val="00692118"/>
    <w:rsid w:val="00692B32"/>
    <w:rsid w:val="00692E99"/>
    <w:rsid w:val="00694451"/>
    <w:rsid w:val="006973DD"/>
    <w:rsid w:val="00697746"/>
    <w:rsid w:val="006A0FE8"/>
    <w:rsid w:val="006A308E"/>
    <w:rsid w:val="006A4486"/>
    <w:rsid w:val="006A4D95"/>
    <w:rsid w:val="006A5405"/>
    <w:rsid w:val="006A5407"/>
    <w:rsid w:val="006B2077"/>
    <w:rsid w:val="006B2E0A"/>
    <w:rsid w:val="006B3BCA"/>
    <w:rsid w:val="006B4BBD"/>
    <w:rsid w:val="006B58FA"/>
    <w:rsid w:val="006B647F"/>
    <w:rsid w:val="006C033C"/>
    <w:rsid w:val="006C0E7C"/>
    <w:rsid w:val="006C194F"/>
    <w:rsid w:val="006C200B"/>
    <w:rsid w:val="006C3295"/>
    <w:rsid w:val="006C3959"/>
    <w:rsid w:val="006C3BE5"/>
    <w:rsid w:val="006C66DB"/>
    <w:rsid w:val="006C74B8"/>
    <w:rsid w:val="006D14C2"/>
    <w:rsid w:val="006D1CEB"/>
    <w:rsid w:val="006D36EF"/>
    <w:rsid w:val="006D4069"/>
    <w:rsid w:val="006D517B"/>
    <w:rsid w:val="006D5E82"/>
    <w:rsid w:val="006D787D"/>
    <w:rsid w:val="006E05F7"/>
    <w:rsid w:val="006E0D2E"/>
    <w:rsid w:val="006E1A62"/>
    <w:rsid w:val="006E21E9"/>
    <w:rsid w:val="006E2464"/>
    <w:rsid w:val="006E2B90"/>
    <w:rsid w:val="006E4FBD"/>
    <w:rsid w:val="006F2D27"/>
    <w:rsid w:val="006F5C48"/>
    <w:rsid w:val="006F663E"/>
    <w:rsid w:val="00700B1C"/>
    <w:rsid w:val="00701C68"/>
    <w:rsid w:val="007020C6"/>
    <w:rsid w:val="00703746"/>
    <w:rsid w:val="00703BB3"/>
    <w:rsid w:val="00705206"/>
    <w:rsid w:val="007059B2"/>
    <w:rsid w:val="007062CD"/>
    <w:rsid w:val="00706AE5"/>
    <w:rsid w:val="00713011"/>
    <w:rsid w:val="007130AD"/>
    <w:rsid w:val="00715EB4"/>
    <w:rsid w:val="00717193"/>
    <w:rsid w:val="00717A09"/>
    <w:rsid w:val="00720649"/>
    <w:rsid w:val="007209DB"/>
    <w:rsid w:val="00721102"/>
    <w:rsid w:val="00721CC1"/>
    <w:rsid w:val="00721F85"/>
    <w:rsid w:val="007227CB"/>
    <w:rsid w:val="007265FE"/>
    <w:rsid w:val="007312B8"/>
    <w:rsid w:val="007321D5"/>
    <w:rsid w:val="0073385B"/>
    <w:rsid w:val="0073437B"/>
    <w:rsid w:val="00734A30"/>
    <w:rsid w:val="00734B2F"/>
    <w:rsid w:val="007358CA"/>
    <w:rsid w:val="0073594F"/>
    <w:rsid w:val="007400B5"/>
    <w:rsid w:val="00740C28"/>
    <w:rsid w:val="00740CAD"/>
    <w:rsid w:val="0074122A"/>
    <w:rsid w:val="007413AE"/>
    <w:rsid w:val="0074207D"/>
    <w:rsid w:val="00743EB2"/>
    <w:rsid w:val="0074503B"/>
    <w:rsid w:val="00745EFA"/>
    <w:rsid w:val="00747CD4"/>
    <w:rsid w:val="00750465"/>
    <w:rsid w:val="0075062F"/>
    <w:rsid w:val="00751BC9"/>
    <w:rsid w:val="00753880"/>
    <w:rsid w:val="00754C2F"/>
    <w:rsid w:val="0075578D"/>
    <w:rsid w:val="0075580B"/>
    <w:rsid w:val="007562AB"/>
    <w:rsid w:val="0076102B"/>
    <w:rsid w:val="00761488"/>
    <w:rsid w:val="00761B18"/>
    <w:rsid w:val="00761C01"/>
    <w:rsid w:val="00762AFD"/>
    <w:rsid w:val="00764070"/>
    <w:rsid w:val="00765555"/>
    <w:rsid w:val="00765F00"/>
    <w:rsid w:val="00767541"/>
    <w:rsid w:val="00771DF7"/>
    <w:rsid w:val="007728B8"/>
    <w:rsid w:val="00773165"/>
    <w:rsid w:val="00774B32"/>
    <w:rsid w:val="007757EB"/>
    <w:rsid w:val="00776248"/>
    <w:rsid w:val="00776EF3"/>
    <w:rsid w:val="00777315"/>
    <w:rsid w:val="00777CDE"/>
    <w:rsid w:val="00780523"/>
    <w:rsid w:val="00781840"/>
    <w:rsid w:val="00781D09"/>
    <w:rsid w:val="007842CD"/>
    <w:rsid w:val="0078447C"/>
    <w:rsid w:val="00784A07"/>
    <w:rsid w:val="00786D7C"/>
    <w:rsid w:val="007910DF"/>
    <w:rsid w:val="00791DF1"/>
    <w:rsid w:val="007929AA"/>
    <w:rsid w:val="00792C1F"/>
    <w:rsid w:val="007930AD"/>
    <w:rsid w:val="00794D2F"/>
    <w:rsid w:val="007950B9"/>
    <w:rsid w:val="00797119"/>
    <w:rsid w:val="00797352"/>
    <w:rsid w:val="0079766B"/>
    <w:rsid w:val="007A09EE"/>
    <w:rsid w:val="007A0C10"/>
    <w:rsid w:val="007A22B9"/>
    <w:rsid w:val="007A3DD3"/>
    <w:rsid w:val="007A4B20"/>
    <w:rsid w:val="007A689E"/>
    <w:rsid w:val="007A74CE"/>
    <w:rsid w:val="007B0642"/>
    <w:rsid w:val="007B0AF0"/>
    <w:rsid w:val="007B0C32"/>
    <w:rsid w:val="007B1656"/>
    <w:rsid w:val="007B1E82"/>
    <w:rsid w:val="007B1F80"/>
    <w:rsid w:val="007B2282"/>
    <w:rsid w:val="007B6126"/>
    <w:rsid w:val="007B67D0"/>
    <w:rsid w:val="007B6AF7"/>
    <w:rsid w:val="007B7402"/>
    <w:rsid w:val="007B7DCB"/>
    <w:rsid w:val="007C1018"/>
    <w:rsid w:val="007C157D"/>
    <w:rsid w:val="007C23C0"/>
    <w:rsid w:val="007C2D4E"/>
    <w:rsid w:val="007C2F69"/>
    <w:rsid w:val="007C494B"/>
    <w:rsid w:val="007C5E63"/>
    <w:rsid w:val="007C6310"/>
    <w:rsid w:val="007C6597"/>
    <w:rsid w:val="007C6A4F"/>
    <w:rsid w:val="007D1B07"/>
    <w:rsid w:val="007D1CE1"/>
    <w:rsid w:val="007D40A1"/>
    <w:rsid w:val="007D5BA6"/>
    <w:rsid w:val="007D7994"/>
    <w:rsid w:val="007D7D12"/>
    <w:rsid w:val="007E23B7"/>
    <w:rsid w:val="007E3988"/>
    <w:rsid w:val="007E4587"/>
    <w:rsid w:val="007E5925"/>
    <w:rsid w:val="007E5E74"/>
    <w:rsid w:val="007E728A"/>
    <w:rsid w:val="007E7AB8"/>
    <w:rsid w:val="007F1E29"/>
    <w:rsid w:val="007F3104"/>
    <w:rsid w:val="007F36F2"/>
    <w:rsid w:val="007F600E"/>
    <w:rsid w:val="007F6727"/>
    <w:rsid w:val="007F6AE4"/>
    <w:rsid w:val="007F6D64"/>
    <w:rsid w:val="007F7E11"/>
    <w:rsid w:val="00801670"/>
    <w:rsid w:val="00804565"/>
    <w:rsid w:val="008052F3"/>
    <w:rsid w:val="00805A75"/>
    <w:rsid w:val="0080703C"/>
    <w:rsid w:val="008078AB"/>
    <w:rsid w:val="00807FD9"/>
    <w:rsid w:val="008100FD"/>
    <w:rsid w:val="008109FF"/>
    <w:rsid w:val="00812F59"/>
    <w:rsid w:val="0081323C"/>
    <w:rsid w:val="008144A1"/>
    <w:rsid w:val="008146C3"/>
    <w:rsid w:val="00816243"/>
    <w:rsid w:val="00821346"/>
    <w:rsid w:val="008237D2"/>
    <w:rsid w:val="00823D5A"/>
    <w:rsid w:val="00823D5B"/>
    <w:rsid w:val="00824903"/>
    <w:rsid w:val="0083163D"/>
    <w:rsid w:val="00832C6B"/>
    <w:rsid w:val="00832E22"/>
    <w:rsid w:val="008331BC"/>
    <w:rsid w:val="00834C63"/>
    <w:rsid w:val="00835931"/>
    <w:rsid w:val="00835FC9"/>
    <w:rsid w:val="00836F52"/>
    <w:rsid w:val="008374AD"/>
    <w:rsid w:val="00840CF6"/>
    <w:rsid w:val="00842A63"/>
    <w:rsid w:val="008437B3"/>
    <w:rsid w:val="00843FDF"/>
    <w:rsid w:val="008442D4"/>
    <w:rsid w:val="00845227"/>
    <w:rsid w:val="008458E2"/>
    <w:rsid w:val="00846707"/>
    <w:rsid w:val="00847D2C"/>
    <w:rsid w:val="00850D8B"/>
    <w:rsid w:val="008511B9"/>
    <w:rsid w:val="00852499"/>
    <w:rsid w:val="0085400C"/>
    <w:rsid w:val="0085427A"/>
    <w:rsid w:val="00855801"/>
    <w:rsid w:val="00855AFE"/>
    <w:rsid w:val="00856232"/>
    <w:rsid w:val="0085679A"/>
    <w:rsid w:val="0086046C"/>
    <w:rsid w:val="00860F12"/>
    <w:rsid w:val="00863A41"/>
    <w:rsid w:val="008658E1"/>
    <w:rsid w:val="008667BD"/>
    <w:rsid w:val="008673F3"/>
    <w:rsid w:val="00870CE2"/>
    <w:rsid w:val="00871BB1"/>
    <w:rsid w:val="00872613"/>
    <w:rsid w:val="00874BF6"/>
    <w:rsid w:val="0087568F"/>
    <w:rsid w:val="00877BD4"/>
    <w:rsid w:val="0088174B"/>
    <w:rsid w:val="00881CF9"/>
    <w:rsid w:val="008837A7"/>
    <w:rsid w:val="0088416B"/>
    <w:rsid w:val="0088525A"/>
    <w:rsid w:val="00885604"/>
    <w:rsid w:val="008878D4"/>
    <w:rsid w:val="00890644"/>
    <w:rsid w:val="0089078C"/>
    <w:rsid w:val="008914F6"/>
    <w:rsid w:val="00891715"/>
    <w:rsid w:val="00891EB3"/>
    <w:rsid w:val="00892E05"/>
    <w:rsid w:val="0089398E"/>
    <w:rsid w:val="00893CD4"/>
    <w:rsid w:val="0089421C"/>
    <w:rsid w:val="008A07ED"/>
    <w:rsid w:val="008A0F90"/>
    <w:rsid w:val="008A0FBC"/>
    <w:rsid w:val="008A2E14"/>
    <w:rsid w:val="008A3C8B"/>
    <w:rsid w:val="008A3F95"/>
    <w:rsid w:val="008A462E"/>
    <w:rsid w:val="008A484F"/>
    <w:rsid w:val="008A773F"/>
    <w:rsid w:val="008A7848"/>
    <w:rsid w:val="008A7A95"/>
    <w:rsid w:val="008B08EA"/>
    <w:rsid w:val="008B0A63"/>
    <w:rsid w:val="008B326D"/>
    <w:rsid w:val="008B32D3"/>
    <w:rsid w:val="008B350E"/>
    <w:rsid w:val="008B386A"/>
    <w:rsid w:val="008B39A9"/>
    <w:rsid w:val="008B4298"/>
    <w:rsid w:val="008B42B7"/>
    <w:rsid w:val="008B6541"/>
    <w:rsid w:val="008B749E"/>
    <w:rsid w:val="008B74F2"/>
    <w:rsid w:val="008C0064"/>
    <w:rsid w:val="008C028B"/>
    <w:rsid w:val="008C0857"/>
    <w:rsid w:val="008C1392"/>
    <w:rsid w:val="008C23E3"/>
    <w:rsid w:val="008C2F05"/>
    <w:rsid w:val="008C3860"/>
    <w:rsid w:val="008C4100"/>
    <w:rsid w:val="008C42C7"/>
    <w:rsid w:val="008C4C1A"/>
    <w:rsid w:val="008C53B1"/>
    <w:rsid w:val="008C5B09"/>
    <w:rsid w:val="008C671C"/>
    <w:rsid w:val="008C72F7"/>
    <w:rsid w:val="008D0598"/>
    <w:rsid w:val="008D233A"/>
    <w:rsid w:val="008D3100"/>
    <w:rsid w:val="008D698E"/>
    <w:rsid w:val="008E02B5"/>
    <w:rsid w:val="008E35B7"/>
    <w:rsid w:val="008E4F67"/>
    <w:rsid w:val="008E56FE"/>
    <w:rsid w:val="008E5DA7"/>
    <w:rsid w:val="008E6478"/>
    <w:rsid w:val="008E658C"/>
    <w:rsid w:val="008E6FF0"/>
    <w:rsid w:val="008E71A9"/>
    <w:rsid w:val="008F05D5"/>
    <w:rsid w:val="008F08CA"/>
    <w:rsid w:val="008F1441"/>
    <w:rsid w:val="008F48C8"/>
    <w:rsid w:val="008F61FC"/>
    <w:rsid w:val="008F6C08"/>
    <w:rsid w:val="009066F7"/>
    <w:rsid w:val="00910AFD"/>
    <w:rsid w:val="00910EEB"/>
    <w:rsid w:val="00912BCB"/>
    <w:rsid w:val="009131F7"/>
    <w:rsid w:val="00917D2E"/>
    <w:rsid w:val="00920043"/>
    <w:rsid w:val="0092078D"/>
    <w:rsid w:val="00921788"/>
    <w:rsid w:val="009218BA"/>
    <w:rsid w:val="00923FF4"/>
    <w:rsid w:val="00925A77"/>
    <w:rsid w:val="00925B29"/>
    <w:rsid w:val="00926BA7"/>
    <w:rsid w:val="00927B72"/>
    <w:rsid w:val="00927CCE"/>
    <w:rsid w:val="009322F5"/>
    <w:rsid w:val="0093324A"/>
    <w:rsid w:val="00934211"/>
    <w:rsid w:val="00935713"/>
    <w:rsid w:val="0093655E"/>
    <w:rsid w:val="009426DA"/>
    <w:rsid w:val="009427D3"/>
    <w:rsid w:val="009447DC"/>
    <w:rsid w:val="00946C9C"/>
    <w:rsid w:val="009471E4"/>
    <w:rsid w:val="009538E5"/>
    <w:rsid w:val="00953A90"/>
    <w:rsid w:val="00953F2E"/>
    <w:rsid w:val="00955D51"/>
    <w:rsid w:val="0096040E"/>
    <w:rsid w:val="00960DD2"/>
    <w:rsid w:val="009625DB"/>
    <w:rsid w:val="00962848"/>
    <w:rsid w:val="00962859"/>
    <w:rsid w:val="00962B40"/>
    <w:rsid w:val="00963521"/>
    <w:rsid w:val="00963D40"/>
    <w:rsid w:val="00964590"/>
    <w:rsid w:val="00965933"/>
    <w:rsid w:val="009702F4"/>
    <w:rsid w:val="0097276E"/>
    <w:rsid w:val="00972F63"/>
    <w:rsid w:val="00973B39"/>
    <w:rsid w:val="00976620"/>
    <w:rsid w:val="00976F9F"/>
    <w:rsid w:val="00976FB3"/>
    <w:rsid w:val="0097775D"/>
    <w:rsid w:val="00980838"/>
    <w:rsid w:val="009826E0"/>
    <w:rsid w:val="00982DA5"/>
    <w:rsid w:val="00983F93"/>
    <w:rsid w:val="00985863"/>
    <w:rsid w:val="00985BAF"/>
    <w:rsid w:val="009860FF"/>
    <w:rsid w:val="00986D7C"/>
    <w:rsid w:val="0098734E"/>
    <w:rsid w:val="00987E62"/>
    <w:rsid w:val="009908B3"/>
    <w:rsid w:val="00992E4A"/>
    <w:rsid w:val="00994DAD"/>
    <w:rsid w:val="00995759"/>
    <w:rsid w:val="009959DE"/>
    <w:rsid w:val="009965B8"/>
    <w:rsid w:val="009A373A"/>
    <w:rsid w:val="009A4F1F"/>
    <w:rsid w:val="009A5A35"/>
    <w:rsid w:val="009A673B"/>
    <w:rsid w:val="009B283F"/>
    <w:rsid w:val="009B4B26"/>
    <w:rsid w:val="009B5864"/>
    <w:rsid w:val="009B58DF"/>
    <w:rsid w:val="009B714A"/>
    <w:rsid w:val="009C0F60"/>
    <w:rsid w:val="009C25AA"/>
    <w:rsid w:val="009C2760"/>
    <w:rsid w:val="009C2F8E"/>
    <w:rsid w:val="009C3EEC"/>
    <w:rsid w:val="009C4719"/>
    <w:rsid w:val="009C4C38"/>
    <w:rsid w:val="009C5B3B"/>
    <w:rsid w:val="009C7608"/>
    <w:rsid w:val="009D0680"/>
    <w:rsid w:val="009D1050"/>
    <w:rsid w:val="009D4487"/>
    <w:rsid w:val="009D5848"/>
    <w:rsid w:val="009D7A18"/>
    <w:rsid w:val="009E126D"/>
    <w:rsid w:val="009E1CE2"/>
    <w:rsid w:val="009E3322"/>
    <w:rsid w:val="009E34E3"/>
    <w:rsid w:val="009E55C6"/>
    <w:rsid w:val="009E5E41"/>
    <w:rsid w:val="009E7A9E"/>
    <w:rsid w:val="009E7AE1"/>
    <w:rsid w:val="009F1050"/>
    <w:rsid w:val="009F1888"/>
    <w:rsid w:val="009F1D02"/>
    <w:rsid w:val="009F2ECC"/>
    <w:rsid w:val="009F31B4"/>
    <w:rsid w:val="009F37AC"/>
    <w:rsid w:val="009F549A"/>
    <w:rsid w:val="00A003A8"/>
    <w:rsid w:val="00A00F3C"/>
    <w:rsid w:val="00A03034"/>
    <w:rsid w:val="00A04495"/>
    <w:rsid w:val="00A053A2"/>
    <w:rsid w:val="00A06BBC"/>
    <w:rsid w:val="00A06EDA"/>
    <w:rsid w:val="00A070B3"/>
    <w:rsid w:val="00A10349"/>
    <w:rsid w:val="00A1040B"/>
    <w:rsid w:val="00A1119B"/>
    <w:rsid w:val="00A111B8"/>
    <w:rsid w:val="00A11A2B"/>
    <w:rsid w:val="00A11DCF"/>
    <w:rsid w:val="00A12779"/>
    <w:rsid w:val="00A131F6"/>
    <w:rsid w:val="00A16626"/>
    <w:rsid w:val="00A17689"/>
    <w:rsid w:val="00A17D1F"/>
    <w:rsid w:val="00A203A0"/>
    <w:rsid w:val="00A227BB"/>
    <w:rsid w:val="00A22C2E"/>
    <w:rsid w:val="00A22D31"/>
    <w:rsid w:val="00A22F21"/>
    <w:rsid w:val="00A24078"/>
    <w:rsid w:val="00A26304"/>
    <w:rsid w:val="00A2632F"/>
    <w:rsid w:val="00A276BC"/>
    <w:rsid w:val="00A30669"/>
    <w:rsid w:val="00A3075B"/>
    <w:rsid w:val="00A30B26"/>
    <w:rsid w:val="00A31A6C"/>
    <w:rsid w:val="00A32E49"/>
    <w:rsid w:val="00A34834"/>
    <w:rsid w:val="00A35A57"/>
    <w:rsid w:val="00A35F70"/>
    <w:rsid w:val="00A364EF"/>
    <w:rsid w:val="00A37274"/>
    <w:rsid w:val="00A37EFC"/>
    <w:rsid w:val="00A4183A"/>
    <w:rsid w:val="00A41AFA"/>
    <w:rsid w:val="00A4377D"/>
    <w:rsid w:val="00A44ADA"/>
    <w:rsid w:val="00A465D4"/>
    <w:rsid w:val="00A47988"/>
    <w:rsid w:val="00A51D19"/>
    <w:rsid w:val="00A52B21"/>
    <w:rsid w:val="00A543FE"/>
    <w:rsid w:val="00A55C81"/>
    <w:rsid w:val="00A560F2"/>
    <w:rsid w:val="00A5690E"/>
    <w:rsid w:val="00A6194D"/>
    <w:rsid w:val="00A619CB"/>
    <w:rsid w:val="00A62261"/>
    <w:rsid w:val="00A63C2F"/>
    <w:rsid w:val="00A65B8B"/>
    <w:rsid w:val="00A66259"/>
    <w:rsid w:val="00A66B36"/>
    <w:rsid w:val="00A72634"/>
    <w:rsid w:val="00A7268C"/>
    <w:rsid w:val="00A72C1B"/>
    <w:rsid w:val="00A73398"/>
    <w:rsid w:val="00A735F4"/>
    <w:rsid w:val="00A73A4B"/>
    <w:rsid w:val="00A75981"/>
    <w:rsid w:val="00A75DA7"/>
    <w:rsid w:val="00A76287"/>
    <w:rsid w:val="00A77BE8"/>
    <w:rsid w:val="00A834A8"/>
    <w:rsid w:val="00A837C8"/>
    <w:rsid w:val="00A844D4"/>
    <w:rsid w:val="00A85076"/>
    <w:rsid w:val="00A86CC4"/>
    <w:rsid w:val="00A92C44"/>
    <w:rsid w:val="00A93173"/>
    <w:rsid w:val="00A93EF1"/>
    <w:rsid w:val="00A941F5"/>
    <w:rsid w:val="00A95E7B"/>
    <w:rsid w:val="00A9618D"/>
    <w:rsid w:val="00A976A6"/>
    <w:rsid w:val="00AA0EE2"/>
    <w:rsid w:val="00AA1829"/>
    <w:rsid w:val="00AA1B04"/>
    <w:rsid w:val="00AA205F"/>
    <w:rsid w:val="00AA209E"/>
    <w:rsid w:val="00AA44FE"/>
    <w:rsid w:val="00AA6446"/>
    <w:rsid w:val="00AB02CA"/>
    <w:rsid w:val="00AB0685"/>
    <w:rsid w:val="00AB12C5"/>
    <w:rsid w:val="00AB2AF2"/>
    <w:rsid w:val="00AB3D4F"/>
    <w:rsid w:val="00AB4458"/>
    <w:rsid w:val="00AB53C5"/>
    <w:rsid w:val="00AC15D6"/>
    <w:rsid w:val="00AC1CAB"/>
    <w:rsid w:val="00AC2174"/>
    <w:rsid w:val="00AC223A"/>
    <w:rsid w:val="00AC2A43"/>
    <w:rsid w:val="00AC2DB9"/>
    <w:rsid w:val="00AC33EF"/>
    <w:rsid w:val="00AC37FB"/>
    <w:rsid w:val="00AC4DB3"/>
    <w:rsid w:val="00AC4E5C"/>
    <w:rsid w:val="00AC6666"/>
    <w:rsid w:val="00AD0659"/>
    <w:rsid w:val="00AD0A1F"/>
    <w:rsid w:val="00AD2240"/>
    <w:rsid w:val="00AD330A"/>
    <w:rsid w:val="00AD4073"/>
    <w:rsid w:val="00AD4639"/>
    <w:rsid w:val="00AD60FE"/>
    <w:rsid w:val="00AD72E6"/>
    <w:rsid w:val="00AD774C"/>
    <w:rsid w:val="00AE15B7"/>
    <w:rsid w:val="00AE2F20"/>
    <w:rsid w:val="00AE60D9"/>
    <w:rsid w:val="00AE63C1"/>
    <w:rsid w:val="00AE6D7F"/>
    <w:rsid w:val="00AF04EC"/>
    <w:rsid w:val="00AF137A"/>
    <w:rsid w:val="00AF137D"/>
    <w:rsid w:val="00AF15CF"/>
    <w:rsid w:val="00AF247C"/>
    <w:rsid w:val="00AF2DAF"/>
    <w:rsid w:val="00AF31E9"/>
    <w:rsid w:val="00AF5751"/>
    <w:rsid w:val="00AF5AFB"/>
    <w:rsid w:val="00AF7A71"/>
    <w:rsid w:val="00AF7BAD"/>
    <w:rsid w:val="00AF7C57"/>
    <w:rsid w:val="00B00115"/>
    <w:rsid w:val="00B01090"/>
    <w:rsid w:val="00B0165B"/>
    <w:rsid w:val="00B01874"/>
    <w:rsid w:val="00B03B83"/>
    <w:rsid w:val="00B03FD4"/>
    <w:rsid w:val="00B052CD"/>
    <w:rsid w:val="00B114B3"/>
    <w:rsid w:val="00B159E5"/>
    <w:rsid w:val="00B1697C"/>
    <w:rsid w:val="00B17C91"/>
    <w:rsid w:val="00B209A5"/>
    <w:rsid w:val="00B20C60"/>
    <w:rsid w:val="00B20CE8"/>
    <w:rsid w:val="00B21AE1"/>
    <w:rsid w:val="00B231EE"/>
    <w:rsid w:val="00B23B38"/>
    <w:rsid w:val="00B2445E"/>
    <w:rsid w:val="00B258C3"/>
    <w:rsid w:val="00B262E5"/>
    <w:rsid w:val="00B2795B"/>
    <w:rsid w:val="00B30E4D"/>
    <w:rsid w:val="00B31609"/>
    <w:rsid w:val="00B3448C"/>
    <w:rsid w:val="00B3453B"/>
    <w:rsid w:val="00B34C3A"/>
    <w:rsid w:val="00B3597A"/>
    <w:rsid w:val="00B37A5E"/>
    <w:rsid w:val="00B37BF9"/>
    <w:rsid w:val="00B40D38"/>
    <w:rsid w:val="00B42BF5"/>
    <w:rsid w:val="00B42E71"/>
    <w:rsid w:val="00B431AD"/>
    <w:rsid w:val="00B43A2E"/>
    <w:rsid w:val="00B43FB2"/>
    <w:rsid w:val="00B44949"/>
    <w:rsid w:val="00B45E8A"/>
    <w:rsid w:val="00B45ED6"/>
    <w:rsid w:val="00B5127A"/>
    <w:rsid w:val="00B54894"/>
    <w:rsid w:val="00B54F90"/>
    <w:rsid w:val="00B550DE"/>
    <w:rsid w:val="00B55472"/>
    <w:rsid w:val="00B57EB0"/>
    <w:rsid w:val="00B6074B"/>
    <w:rsid w:val="00B60A6E"/>
    <w:rsid w:val="00B610E6"/>
    <w:rsid w:val="00B613DE"/>
    <w:rsid w:val="00B614BF"/>
    <w:rsid w:val="00B63ACD"/>
    <w:rsid w:val="00B64682"/>
    <w:rsid w:val="00B65B82"/>
    <w:rsid w:val="00B6731F"/>
    <w:rsid w:val="00B718AC"/>
    <w:rsid w:val="00B71C6B"/>
    <w:rsid w:val="00B72421"/>
    <w:rsid w:val="00B728B8"/>
    <w:rsid w:val="00B72D69"/>
    <w:rsid w:val="00B73B94"/>
    <w:rsid w:val="00B75BBA"/>
    <w:rsid w:val="00B76335"/>
    <w:rsid w:val="00B822B1"/>
    <w:rsid w:val="00B83EC6"/>
    <w:rsid w:val="00B83FAF"/>
    <w:rsid w:val="00B85CA7"/>
    <w:rsid w:val="00B8660F"/>
    <w:rsid w:val="00B8740C"/>
    <w:rsid w:val="00B87BBF"/>
    <w:rsid w:val="00B87F9D"/>
    <w:rsid w:val="00B9255F"/>
    <w:rsid w:val="00B929A6"/>
    <w:rsid w:val="00B93D75"/>
    <w:rsid w:val="00B94851"/>
    <w:rsid w:val="00B949B5"/>
    <w:rsid w:val="00B94E20"/>
    <w:rsid w:val="00BA02C2"/>
    <w:rsid w:val="00BA0DD6"/>
    <w:rsid w:val="00BA1586"/>
    <w:rsid w:val="00BA1C1B"/>
    <w:rsid w:val="00BA2E85"/>
    <w:rsid w:val="00BA6564"/>
    <w:rsid w:val="00BA6755"/>
    <w:rsid w:val="00BB1BEE"/>
    <w:rsid w:val="00BB2891"/>
    <w:rsid w:val="00BB4FA4"/>
    <w:rsid w:val="00BB6A9E"/>
    <w:rsid w:val="00BB721A"/>
    <w:rsid w:val="00BC0774"/>
    <w:rsid w:val="00BC09DC"/>
    <w:rsid w:val="00BC35C2"/>
    <w:rsid w:val="00BC4675"/>
    <w:rsid w:val="00BC4729"/>
    <w:rsid w:val="00BC4A67"/>
    <w:rsid w:val="00BC5F5B"/>
    <w:rsid w:val="00BC67A6"/>
    <w:rsid w:val="00BC7415"/>
    <w:rsid w:val="00BC77AA"/>
    <w:rsid w:val="00BD0AAB"/>
    <w:rsid w:val="00BD0BC7"/>
    <w:rsid w:val="00BD113E"/>
    <w:rsid w:val="00BD2665"/>
    <w:rsid w:val="00BD27AA"/>
    <w:rsid w:val="00BD4798"/>
    <w:rsid w:val="00BD6BFA"/>
    <w:rsid w:val="00BE02ED"/>
    <w:rsid w:val="00BE1700"/>
    <w:rsid w:val="00BE2D2D"/>
    <w:rsid w:val="00BE3220"/>
    <w:rsid w:val="00BE4605"/>
    <w:rsid w:val="00BE491E"/>
    <w:rsid w:val="00BE4E33"/>
    <w:rsid w:val="00BE7D69"/>
    <w:rsid w:val="00BF03F0"/>
    <w:rsid w:val="00BF0CC5"/>
    <w:rsid w:val="00BF0F9D"/>
    <w:rsid w:val="00BF1470"/>
    <w:rsid w:val="00BF225E"/>
    <w:rsid w:val="00BF2BAC"/>
    <w:rsid w:val="00BF3812"/>
    <w:rsid w:val="00BF4B30"/>
    <w:rsid w:val="00BF517D"/>
    <w:rsid w:val="00BF6CE1"/>
    <w:rsid w:val="00BF6F64"/>
    <w:rsid w:val="00BF7FC8"/>
    <w:rsid w:val="00C01DA7"/>
    <w:rsid w:val="00C048F2"/>
    <w:rsid w:val="00C073B4"/>
    <w:rsid w:val="00C07C03"/>
    <w:rsid w:val="00C11A4D"/>
    <w:rsid w:val="00C120AA"/>
    <w:rsid w:val="00C1589F"/>
    <w:rsid w:val="00C165F4"/>
    <w:rsid w:val="00C16A5D"/>
    <w:rsid w:val="00C17FB6"/>
    <w:rsid w:val="00C20B83"/>
    <w:rsid w:val="00C2251C"/>
    <w:rsid w:val="00C2306D"/>
    <w:rsid w:val="00C24136"/>
    <w:rsid w:val="00C253BB"/>
    <w:rsid w:val="00C268D9"/>
    <w:rsid w:val="00C27372"/>
    <w:rsid w:val="00C27990"/>
    <w:rsid w:val="00C31C7D"/>
    <w:rsid w:val="00C3423D"/>
    <w:rsid w:val="00C3424D"/>
    <w:rsid w:val="00C35D2D"/>
    <w:rsid w:val="00C37C3D"/>
    <w:rsid w:val="00C40199"/>
    <w:rsid w:val="00C40A15"/>
    <w:rsid w:val="00C40D12"/>
    <w:rsid w:val="00C41089"/>
    <w:rsid w:val="00C442D8"/>
    <w:rsid w:val="00C445BA"/>
    <w:rsid w:val="00C44B11"/>
    <w:rsid w:val="00C45740"/>
    <w:rsid w:val="00C46421"/>
    <w:rsid w:val="00C467C8"/>
    <w:rsid w:val="00C47D4D"/>
    <w:rsid w:val="00C52825"/>
    <w:rsid w:val="00C53499"/>
    <w:rsid w:val="00C5396D"/>
    <w:rsid w:val="00C54293"/>
    <w:rsid w:val="00C55022"/>
    <w:rsid w:val="00C56B14"/>
    <w:rsid w:val="00C56C51"/>
    <w:rsid w:val="00C60A09"/>
    <w:rsid w:val="00C614C5"/>
    <w:rsid w:val="00C61F48"/>
    <w:rsid w:val="00C623E5"/>
    <w:rsid w:val="00C633DE"/>
    <w:rsid w:val="00C64325"/>
    <w:rsid w:val="00C70048"/>
    <w:rsid w:val="00C702CE"/>
    <w:rsid w:val="00C7065C"/>
    <w:rsid w:val="00C7194C"/>
    <w:rsid w:val="00C721D7"/>
    <w:rsid w:val="00C72F82"/>
    <w:rsid w:val="00C730DE"/>
    <w:rsid w:val="00C733B5"/>
    <w:rsid w:val="00C73CAA"/>
    <w:rsid w:val="00C74A90"/>
    <w:rsid w:val="00C752AB"/>
    <w:rsid w:val="00C753D1"/>
    <w:rsid w:val="00C7762C"/>
    <w:rsid w:val="00C80817"/>
    <w:rsid w:val="00C80B8E"/>
    <w:rsid w:val="00C812B3"/>
    <w:rsid w:val="00C812F2"/>
    <w:rsid w:val="00C81835"/>
    <w:rsid w:val="00C83EF7"/>
    <w:rsid w:val="00C848EF"/>
    <w:rsid w:val="00C86294"/>
    <w:rsid w:val="00C87A45"/>
    <w:rsid w:val="00C904B7"/>
    <w:rsid w:val="00C941B6"/>
    <w:rsid w:val="00C95079"/>
    <w:rsid w:val="00C95D05"/>
    <w:rsid w:val="00CA2D26"/>
    <w:rsid w:val="00CA36A1"/>
    <w:rsid w:val="00CA486A"/>
    <w:rsid w:val="00CA4946"/>
    <w:rsid w:val="00CA51B9"/>
    <w:rsid w:val="00CA73FB"/>
    <w:rsid w:val="00CB0501"/>
    <w:rsid w:val="00CB21FE"/>
    <w:rsid w:val="00CB3AB4"/>
    <w:rsid w:val="00CB425D"/>
    <w:rsid w:val="00CB5A12"/>
    <w:rsid w:val="00CB6701"/>
    <w:rsid w:val="00CB72E4"/>
    <w:rsid w:val="00CC0CE3"/>
    <w:rsid w:val="00CC1960"/>
    <w:rsid w:val="00CC1965"/>
    <w:rsid w:val="00CC32F8"/>
    <w:rsid w:val="00CC43B7"/>
    <w:rsid w:val="00CC6163"/>
    <w:rsid w:val="00CC6CC4"/>
    <w:rsid w:val="00CC72C5"/>
    <w:rsid w:val="00CD1FFA"/>
    <w:rsid w:val="00CD268A"/>
    <w:rsid w:val="00CD3B1E"/>
    <w:rsid w:val="00CD3B67"/>
    <w:rsid w:val="00CD4133"/>
    <w:rsid w:val="00CD5096"/>
    <w:rsid w:val="00CD541D"/>
    <w:rsid w:val="00CD5DD6"/>
    <w:rsid w:val="00CD5E1C"/>
    <w:rsid w:val="00CD5F0D"/>
    <w:rsid w:val="00CD60B0"/>
    <w:rsid w:val="00CD6920"/>
    <w:rsid w:val="00CD795F"/>
    <w:rsid w:val="00CD79D7"/>
    <w:rsid w:val="00CE0959"/>
    <w:rsid w:val="00CE11DA"/>
    <w:rsid w:val="00CE305E"/>
    <w:rsid w:val="00CE3F52"/>
    <w:rsid w:val="00CE5577"/>
    <w:rsid w:val="00CE6131"/>
    <w:rsid w:val="00CE73A7"/>
    <w:rsid w:val="00CE75C9"/>
    <w:rsid w:val="00CF07D1"/>
    <w:rsid w:val="00CF255C"/>
    <w:rsid w:val="00CF3348"/>
    <w:rsid w:val="00CF43F5"/>
    <w:rsid w:val="00CF43F7"/>
    <w:rsid w:val="00CF58B1"/>
    <w:rsid w:val="00CF7710"/>
    <w:rsid w:val="00D00367"/>
    <w:rsid w:val="00D026B2"/>
    <w:rsid w:val="00D03505"/>
    <w:rsid w:val="00D03914"/>
    <w:rsid w:val="00D04445"/>
    <w:rsid w:val="00D04F12"/>
    <w:rsid w:val="00D05DF1"/>
    <w:rsid w:val="00D05FEA"/>
    <w:rsid w:val="00D063A8"/>
    <w:rsid w:val="00D07559"/>
    <w:rsid w:val="00D12320"/>
    <w:rsid w:val="00D13533"/>
    <w:rsid w:val="00D140E6"/>
    <w:rsid w:val="00D146DC"/>
    <w:rsid w:val="00D20D60"/>
    <w:rsid w:val="00D219D9"/>
    <w:rsid w:val="00D22FA7"/>
    <w:rsid w:val="00D23339"/>
    <w:rsid w:val="00D23436"/>
    <w:rsid w:val="00D24FEA"/>
    <w:rsid w:val="00D268ED"/>
    <w:rsid w:val="00D2758C"/>
    <w:rsid w:val="00D312C6"/>
    <w:rsid w:val="00D31BA4"/>
    <w:rsid w:val="00D32B29"/>
    <w:rsid w:val="00D33D81"/>
    <w:rsid w:val="00D34886"/>
    <w:rsid w:val="00D34B44"/>
    <w:rsid w:val="00D35281"/>
    <w:rsid w:val="00D35487"/>
    <w:rsid w:val="00D36034"/>
    <w:rsid w:val="00D37015"/>
    <w:rsid w:val="00D403EA"/>
    <w:rsid w:val="00D40999"/>
    <w:rsid w:val="00D40D20"/>
    <w:rsid w:val="00D41712"/>
    <w:rsid w:val="00D422A5"/>
    <w:rsid w:val="00D433BC"/>
    <w:rsid w:val="00D4530F"/>
    <w:rsid w:val="00D53678"/>
    <w:rsid w:val="00D55899"/>
    <w:rsid w:val="00D55E43"/>
    <w:rsid w:val="00D57B80"/>
    <w:rsid w:val="00D6034B"/>
    <w:rsid w:val="00D605F2"/>
    <w:rsid w:val="00D610D3"/>
    <w:rsid w:val="00D61970"/>
    <w:rsid w:val="00D62F59"/>
    <w:rsid w:val="00D67076"/>
    <w:rsid w:val="00D7602F"/>
    <w:rsid w:val="00D76425"/>
    <w:rsid w:val="00D77143"/>
    <w:rsid w:val="00D80A2E"/>
    <w:rsid w:val="00D8110F"/>
    <w:rsid w:val="00D813D5"/>
    <w:rsid w:val="00D81BE6"/>
    <w:rsid w:val="00D82A84"/>
    <w:rsid w:val="00D835E2"/>
    <w:rsid w:val="00D84B61"/>
    <w:rsid w:val="00D84D49"/>
    <w:rsid w:val="00D854F5"/>
    <w:rsid w:val="00D858D2"/>
    <w:rsid w:val="00D877B1"/>
    <w:rsid w:val="00D91C2A"/>
    <w:rsid w:val="00D92990"/>
    <w:rsid w:val="00D93144"/>
    <w:rsid w:val="00D93246"/>
    <w:rsid w:val="00D93FDD"/>
    <w:rsid w:val="00D951C7"/>
    <w:rsid w:val="00D95400"/>
    <w:rsid w:val="00D956CC"/>
    <w:rsid w:val="00D95C60"/>
    <w:rsid w:val="00D96A7B"/>
    <w:rsid w:val="00D973BF"/>
    <w:rsid w:val="00DA1F7C"/>
    <w:rsid w:val="00DA33E1"/>
    <w:rsid w:val="00DA4F6A"/>
    <w:rsid w:val="00DA5631"/>
    <w:rsid w:val="00DA59BB"/>
    <w:rsid w:val="00DB0739"/>
    <w:rsid w:val="00DB07B9"/>
    <w:rsid w:val="00DB07D3"/>
    <w:rsid w:val="00DB2D56"/>
    <w:rsid w:val="00DB373C"/>
    <w:rsid w:val="00DB4719"/>
    <w:rsid w:val="00DB4C22"/>
    <w:rsid w:val="00DB4F20"/>
    <w:rsid w:val="00DB53CC"/>
    <w:rsid w:val="00DB5949"/>
    <w:rsid w:val="00DB63AA"/>
    <w:rsid w:val="00DB6519"/>
    <w:rsid w:val="00DB6CE6"/>
    <w:rsid w:val="00DB7769"/>
    <w:rsid w:val="00DB7D22"/>
    <w:rsid w:val="00DC0371"/>
    <w:rsid w:val="00DC2ED4"/>
    <w:rsid w:val="00DC3848"/>
    <w:rsid w:val="00DC4110"/>
    <w:rsid w:val="00DC4722"/>
    <w:rsid w:val="00DC4895"/>
    <w:rsid w:val="00DC48CD"/>
    <w:rsid w:val="00DD021A"/>
    <w:rsid w:val="00DD0C5F"/>
    <w:rsid w:val="00DD1689"/>
    <w:rsid w:val="00DD1817"/>
    <w:rsid w:val="00DD1902"/>
    <w:rsid w:val="00DD306C"/>
    <w:rsid w:val="00DD4D71"/>
    <w:rsid w:val="00DD5D44"/>
    <w:rsid w:val="00DD7A0E"/>
    <w:rsid w:val="00DE1151"/>
    <w:rsid w:val="00DE286A"/>
    <w:rsid w:val="00DE2CBF"/>
    <w:rsid w:val="00DE412F"/>
    <w:rsid w:val="00DE4A6D"/>
    <w:rsid w:val="00DE4D20"/>
    <w:rsid w:val="00DE512E"/>
    <w:rsid w:val="00DE74A5"/>
    <w:rsid w:val="00DF09A5"/>
    <w:rsid w:val="00DF1489"/>
    <w:rsid w:val="00DF2028"/>
    <w:rsid w:val="00E01508"/>
    <w:rsid w:val="00E01AFF"/>
    <w:rsid w:val="00E01C8F"/>
    <w:rsid w:val="00E03623"/>
    <w:rsid w:val="00E04E11"/>
    <w:rsid w:val="00E06A9C"/>
    <w:rsid w:val="00E079E3"/>
    <w:rsid w:val="00E07E9D"/>
    <w:rsid w:val="00E10724"/>
    <w:rsid w:val="00E10F44"/>
    <w:rsid w:val="00E1155E"/>
    <w:rsid w:val="00E124C4"/>
    <w:rsid w:val="00E1345C"/>
    <w:rsid w:val="00E1539C"/>
    <w:rsid w:val="00E1686F"/>
    <w:rsid w:val="00E169D2"/>
    <w:rsid w:val="00E17242"/>
    <w:rsid w:val="00E17AFD"/>
    <w:rsid w:val="00E20ECB"/>
    <w:rsid w:val="00E236C8"/>
    <w:rsid w:val="00E25403"/>
    <w:rsid w:val="00E255AE"/>
    <w:rsid w:val="00E25861"/>
    <w:rsid w:val="00E31EDB"/>
    <w:rsid w:val="00E32697"/>
    <w:rsid w:val="00E33F09"/>
    <w:rsid w:val="00E3418A"/>
    <w:rsid w:val="00E344C2"/>
    <w:rsid w:val="00E34D88"/>
    <w:rsid w:val="00E36E7E"/>
    <w:rsid w:val="00E41610"/>
    <w:rsid w:val="00E41B7B"/>
    <w:rsid w:val="00E42B26"/>
    <w:rsid w:val="00E432E2"/>
    <w:rsid w:val="00E54ACE"/>
    <w:rsid w:val="00E55358"/>
    <w:rsid w:val="00E55DEB"/>
    <w:rsid w:val="00E562CB"/>
    <w:rsid w:val="00E57AD0"/>
    <w:rsid w:val="00E57BE2"/>
    <w:rsid w:val="00E61DEE"/>
    <w:rsid w:val="00E62CEE"/>
    <w:rsid w:val="00E6324C"/>
    <w:rsid w:val="00E638B6"/>
    <w:rsid w:val="00E6589B"/>
    <w:rsid w:val="00E66C6D"/>
    <w:rsid w:val="00E6712F"/>
    <w:rsid w:val="00E6774D"/>
    <w:rsid w:val="00E746CF"/>
    <w:rsid w:val="00E7490F"/>
    <w:rsid w:val="00E754AC"/>
    <w:rsid w:val="00E75CE9"/>
    <w:rsid w:val="00E8138F"/>
    <w:rsid w:val="00E82610"/>
    <w:rsid w:val="00E82A44"/>
    <w:rsid w:val="00E858B3"/>
    <w:rsid w:val="00E8643B"/>
    <w:rsid w:val="00E87971"/>
    <w:rsid w:val="00E87B6C"/>
    <w:rsid w:val="00E906D1"/>
    <w:rsid w:val="00E9121D"/>
    <w:rsid w:val="00E92593"/>
    <w:rsid w:val="00E92665"/>
    <w:rsid w:val="00E92FD0"/>
    <w:rsid w:val="00E95F0A"/>
    <w:rsid w:val="00E960A9"/>
    <w:rsid w:val="00E96870"/>
    <w:rsid w:val="00E96D27"/>
    <w:rsid w:val="00EA04AC"/>
    <w:rsid w:val="00EA1A8E"/>
    <w:rsid w:val="00EA1CD4"/>
    <w:rsid w:val="00EA38B3"/>
    <w:rsid w:val="00EA56EE"/>
    <w:rsid w:val="00EA64D1"/>
    <w:rsid w:val="00EA6A72"/>
    <w:rsid w:val="00EB02EE"/>
    <w:rsid w:val="00EB06F4"/>
    <w:rsid w:val="00EB1549"/>
    <w:rsid w:val="00EC058A"/>
    <w:rsid w:val="00EC38BC"/>
    <w:rsid w:val="00EC3930"/>
    <w:rsid w:val="00EC40FA"/>
    <w:rsid w:val="00EC4814"/>
    <w:rsid w:val="00EC52F2"/>
    <w:rsid w:val="00EC64C2"/>
    <w:rsid w:val="00ED1630"/>
    <w:rsid w:val="00ED234C"/>
    <w:rsid w:val="00ED48FB"/>
    <w:rsid w:val="00ED5A65"/>
    <w:rsid w:val="00ED7B5E"/>
    <w:rsid w:val="00ED7CE8"/>
    <w:rsid w:val="00EE0525"/>
    <w:rsid w:val="00EE1C78"/>
    <w:rsid w:val="00EE254D"/>
    <w:rsid w:val="00EE2858"/>
    <w:rsid w:val="00EE2DEF"/>
    <w:rsid w:val="00EE2F23"/>
    <w:rsid w:val="00EE3654"/>
    <w:rsid w:val="00EE4038"/>
    <w:rsid w:val="00EE5AF5"/>
    <w:rsid w:val="00EE6055"/>
    <w:rsid w:val="00EE6D86"/>
    <w:rsid w:val="00EE7211"/>
    <w:rsid w:val="00EF3088"/>
    <w:rsid w:val="00EF32C0"/>
    <w:rsid w:val="00EF449C"/>
    <w:rsid w:val="00EF49E5"/>
    <w:rsid w:val="00EF4B86"/>
    <w:rsid w:val="00EF743B"/>
    <w:rsid w:val="00EF7C32"/>
    <w:rsid w:val="00F00B67"/>
    <w:rsid w:val="00F011F3"/>
    <w:rsid w:val="00F016E9"/>
    <w:rsid w:val="00F01F12"/>
    <w:rsid w:val="00F03C5E"/>
    <w:rsid w:val="00F049BC"/>
    <w:rsid w:val="00F04C37"/>
    <w:rsid w:val="00F10671"/>
    <w:rsid w:val="00F10B5E"/>
    <w:rsid w:val="00F10BCF"/>
    <w:rsid w:val="00F12039"/>
    <w:rsid w:val="00F12397"/>
    <w:rsid w:val="00F12C99"/>
    <w:rsid w:val="00F13E57"/>
    <w:rsid w:val="00F14662"/>
    <w:rsid w:val="00F1784D"/>
    <w:rsid w:val="00F17B80"/>
    <w:rsid w:val="00F204A2"/>
    <w:rsid w:val="00F210AD"/>
    <w:rsid w:val="00F243F3"/>
    <w:rsid w:val="00F2602C"/>
    <w:rsid w:val="00F2688D"/>
    <w:rsid w:val="00F26CA4"/>
    <w:rsid w:val="00F34C9C"/>
    <w:rsid w:val="00F35045"/>
    <w:rsid w:val="00F35CE3"/>
    <w:rsid w:val="00F36EC6"/>
    <w:rsid w:val="00F4002F"/>
    <w:rsid w:val="00F40C12"/>
    <w:rsid w:val="00F415E1"/>
    <w:rsid w:val="00F41F91"/>
    <w:rsid w:val="00F45054"/>
    <w:rsid w:val="00F47256"/>
    <w:rsid w:val="00F5158A"/>
    <w:rsid w:val="00F522F3"/>
    <w:rsid w:val="00F533FF"/>
    <w:rsid w:val="00F546DD"/>
    <w:rsid w:val="00F60A38"/>
    <w:rsid w:val="00F62430"/>
    <w:rsid w:val="00F62E7F"/>
    <w:rsid w:val="00F66666"/>
    <w:rsid w:val="00F715FA"/>
    <w:rsid w:val="00F72062"/>
    <w:rsid w:val="00F73411"/>
    <w:rsid w:val="00F7384C"/>
    <w:rsid w:val="00F738B1"/>
    <w:rsid w:val="00F73F42"/>
    <w:rsid w:val="00F74CE0"/>
    <w:rsid w:val="00F762C3"/>
    <w:rsid w:val="00F770F3"/>
    <w:rsid w:val="00F77277"/>
    <w:rsid w:val="00F811E4"/>
    <w:rsid w:val="00F81275"/>
    <w:rsid w:val="00F812BE"/>
    <w:rsid w:val="00F812F5"/>
    <w:rsid w:val="00F85FF8"/>
    <w:rsid w:val="00F8603B"/>
    <w:rsid w:val="00F87753"/>
    <w:rsid w:val="00F87E21"/>
    <w:rsid w:val="00F91DAB"/>
    <w:rsid w:val="00F9206C"/>
    <w:rsid w:val="00F927B3"/>
    <w:rsid w:val="00F955C6"/>
    <w:rsid w:val="00F959C2"/>
    <w:rsid w:val="00F9734A"/>
    <w:rsid w:val="00FA01C3"/>
    <w:rsid w:val="00FA0328"/>
    <w:rsid w:val="00FA0506"/>
    <w:rsid w:val="00FA059F"/>
    <w:rsid w:val="00FA115B"/>
    <w:rsid w:val="00FA4F35"/>
    <w:rsid w:val="00FA64D0"/>
    <w:rsid w:val="00FA72C3"/>
    <w:rsid w:val="00FB14D8"/>
    <w:rsid w:val="00FB2A18"/>
    <w:rsid w:val="00FB4002"/>
    <w:rsid w:val="00FB45D4"/>
    <w:rsid w:val="00FB48E9"/>
    <w:rsid w:val="00FB4903"/>
    <w:rsid w:val="00FB5104"/>
    <w:rsid w:val="00FB6804"/>
    <w:rsid w:val="00FB72AC"/>
    <w:rsid w:val="00FC0ACE"/>
    <w:rsid w:val="00FC0BBC"/>
    <w:rsid w:val="00FC16E7"/>
    <w:rsid w:val="00FC18D3"/>
    <w:rsid w:val="00FC3954"/>
    <w:rsid w:val="00FC3CC7"/>
    <w:rsid w:val="00FC4250"/>
    <w:rsid w:val="00FC4ECC"/>
    <w:rsid w:val="00FC534F"/>
    <w:rsid w:val="00FC5B79"/>
    <w:rsid w:val="00FC61BA"/>
    <w:rsid w:val="00FD0027"/>
    <w:rsid w:val="00FD1186"/>
    <w:rsid w:val="00FD1208"/>
    <w:rsid w:val="00FD1B6D"/>
    <w:rsid w:val="00FD214D"/>
    <w:rsid w:val="00FD2E2F"/>
    <w:rsid w:val="00FD3A02"/>
    <w:rsid w:val="00FD4633"/>
    <w:rsid w:val="00FD5300"/>
    <w:rsid w:val="00FD6D45"/>
    <w:rsid w:val="00FE13F1"/>
    <w:rsid w:val="00FE3731"/>
    <w:rsid w:val="00FE4056"/>
    <w:rsid w:val="00FE5BC3"/>
    <w:rsid w:val="00FE64DE"/>
    <w:rsid w:val="021A270B"/>
    <w:rsid w:val="034759E4"/>
    <w:rsid w:val="03766DF0"/>
    <w:rsid w:val="05D9297D"/>
    <w:rsid w:val="0628472F"/>
    <w:rsid w:val="0A0E26B4"/>
    <w:rsid w:val="0A9926DB"/>
    <w:rsid w:val="0A996656"/>
    <w:rsid w:val="0B8D0492"/>
    <w:rsid w:val="0B9F51F8"/>
    <w:rsid w:val="0C112E71"/>
    <w:rsid w:val="0D336E17"/>
    <w:rsid w:val="0F587009"/>
    <w:rsid w:val="12C75CE2"/>
    <w:rsid w:val="188C399C"/>
    <w:rsid w:val="192D0BBE"/>
    <w:rsid w:val="1B2A61E4"/>
    <w:rsid w:val="1E775CA0"/>
    <w:rsid w:val="1FA140B4"/>
    <w:rsid w:val="26EA4592"/>
    <w:rsid w:val="272F40C7"/>
    <w:rsid w:val="29565868"/>
    <w:rsid w:val="2BA70B16"/>
    <w:rsid w:val="2C2E4F21"/>
    <w:rsid w:val="2C6D2698"/>
    <w:rsid w:val="34F90CBC"/>
    <w:rsid w:val="3687595A"/>
    <w:rsid w:val="370A0339"/>
    <w:rsid w:val="393B0C7E"/>
    <w:rsid w:val="3CBB7011"/>
    <w:rsid w:val="3D3879AE"/>
    <w:rsid w:val="3E497C2B"/>
    <w:rsid w:val="40806A9C"/>
    <w:rsid w:val="40C32E63"/>
    <w:rsid w:val="41BF7352"/>
    <w:rsid w:val="43216D76"/>
    <w:rsid w:val="45FD50F5"/>
    <w:rsid w:val="46045961"/>
    <w:rsid w:val="470C47C3"/>
    <w:rsid w:val="48ED3A75"/>
    <w:rsid w:val="49085071"/>
    <w:rsid w:val="49A63576"/>
    <w:rsid w:val="4ABE526B"/>
    <w:rsid w:val="4B321EE0"/>
    <w:rsid w:val="4C3A6C8B"/>
    <w:rsid w:val="4D153868"/>
    <w:rsid w:val="508E3509"/>
    <w:rsid w:val="51EF56D3"/>
    <w:rsid w:val="52376C2C"/>
    <w:rsid w:val="52E73CE8"/>
    <w:rsid w:val="56E9366F"/>
    <w:rsid w:val="5B1038C0"/>
    <w:rsid w:val="5B966FB7"/>
    <w:rsid w:val="5BBB1A7E"/>
    <w:rsid w:val="5C3B0D1E"/>
    <w:rsid w:val="5F3538F6"/>
    <w:rsid w:val="609B1E7E"/>
    <w:rsid w:val="60CA75BA"/>
    <w:rsid w:val="6C062A91"/>
    <w:rsid w:val="6F6E4AF7"/>
    <w:rsid w:val="6FE2278B"/>
    <w:rsid w:val="74C447E3"/>
    <w:rsid w:val="75F0011F"/>
    <w:rsid w:val="78522E19"/>
    <w:rsid w:val="79464C25"/>
    <w:rsid w:val="7B187EFC"/>
    <w:rsid w:val="7CA103C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Theme="minorEastAsia"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nhideWhenUsed="0" w:uiPriority="9" w:semiHidden="0" w:name="heading 2"/>
    <w:lsdException w:qFormat="1" w:unhideWhenUsed="0" w:uiPriority="9" w:semiHidden="0" w:name="heading 3"/>
    <w:lsdException w:qFormat="1" w:unhideWhenUsed="0" w:uiPriority="9" w:semiHidden="0" w:name="heading 4"/>
    <w:lsdException w:qFormat="1" w:unhideWhenUsed="0" w:uiPriority="9" w:semiHidden="0" w:name="heading 5"/>
    <w:lsdException w:qFormat="1" w:unhideWhenUsed="0" w:uiPriority="9" w:semiHidden="0" w:name="heading 6"/>
    <w:lsdException w:qFormat="1" w:unhideWhenUsed="0" w:uiPriority="9" w:semiHidden="0" w:name="heading 7"/>
    <w:lsdException w:qFormat="1" w:unhideWhenUsed="0" w:uiPriority="9" w:semiHidden="0" w:name="heading 8"/>
    <w:lsdException w:qFormat="1" w:unhideWhenUsed="0" w:uiPriority="9" w:semiHidden="0" w:name="heading 9"/>
    <w:lsdException w:qFormat="1" w:unhideWhenUsed="0" w:uiPriority="0" w:semiHidden="0" w:name="index 1"/>
    <w:lsdException w:qFormat="1" w:unhideWhenUsed="0" w:uiPriority="0" w:semiHidden="0" w:name="index 2"/>
    <w:lsdException w:qFormat="1" w:unhideWhenUsed="0" w:uiPriority="0" w:semiHidden="0" w:name="index 3"/>
    <w:lsdException w:qFormat="1" w:unhideWhenUsed="0" w:uiPriority="0" w:semiHidden="0" w:name="index 4"/>
    <w:lsdException w:qFormat="1" w:unhideWhenUsed="0" w:uiPriority="0" w:semiHidden="0" w:name="index 5"/>
    <w:lsdException w:qFormat="1" w:unhideWhenUsed="0" w:uiPriority="0" w:semiHidden="0" w:name="index 6"/>
    <w:lsdException w:qFormat="1" w:unhideWhenUsed="0" w:uiPriority="0" w:semiHidden="0" w:name="index 7"/>
    <w:lsdException w:qFormat="1" w:unhideWhenUsed="0" w:uiPriority="0" w:semiHidden="0" w:name="index 8"/>
    <w:lsdException w:qFormat="1" w:unhideWhenUsed="0" w:uiPriority="0" w:semiHidden="0" w:name="index 9"/>
    <w:lsdException w:qFormat="1" w:unhideWhenUsed="0" w:uiPriority="0" w:semiHidden="0" w:name="toc 1"/>
    <w:lsdException w:qFormat="1" w:unhideWhenUsed="0" w:uiPriority="0" w:semiHidden="0" w:name="toc 2"/>
    <w:lsdException w:qFormat="1" w:unhideWhenUsed="0" w:uiPriority="0" w:semiHidden="0" w:name="toc 3"/>
    <w:lsdException w:qFormat="1" w:unhideWhenUsed="0" w:uiPriority="0" w:semiHidden="0" w:name="toc 4"/>
    <w:lsdException w:qFormat="1" w:unhideWhenUsed="0" w:uiPriority="0" w:semiHidden="0" w:name="toc 5"/>
    <w:lsdException w:qFormat="1" w:unhideWhenUsed="0" w:uiPriority="0" w:semiHidden="0" w:name="toc 6"/>
    <w:lsdException w:qFormat="1" w:unhideWhenUsed="0" w:uiPriority="0" w:semiHidden="0" w:name="toc 7"/>
    <w:lsdException w:qFormat="1" w:unhideWhenUsed="0" w:uiPriority="0" w:semiHidden="0" w:name="toc 8"/>
    <w:lsdException w:qFormat="1" w:unhideWhenUsed="0" w:uiPriority="0" w:semiHidden="0" w:name="toc 9"/>
    <w:lsdException w:qFormat="1" w:unhideWhenUsed="0" w:uiPriority="0" w:semiHidden="0" w:name="Normal Indent"/>
    <w:lsdException w:qFormat="1" w:unhideWhenUsed="0" w:uiPriority="0" w:semiHidden="0" w:name="footnote text"/>
    <w:lsdException w:qFormat="1" w:unhideWhenUsed="0" w:uiPriority="0" w:name="annotation text"/>
    <w:lsdException w:qFormat="1" w:unhideWhenUsed="0" w:uiPriority="0" w:semiHidden="0" w:name="header"/>
    <w:lsdException w:qFormat="1" w:unhideWhenUsed="0" w:uiPriority="99" w:semiHidden="0" w:name="footer"/>
    <w:lsdException w:qFormat="1" w:unhideWhenUsed="0" w:uiPriority="0" w:semiHidden="0" w:name="index heading"/>
    <w:lsdException w:qFormat="1" w:uiPriority="35" w:name="caption"/>
    <w:lsdException w:qFormat="1" w:uiPriority="0" w:name="table of figures"/>
    <w:lsdException w:qFormat="1" w:unhideWhenUsed="0" w:uiPriority="0" w:semiHidden="0" w:name="envelope address"/>
    <w:lsdException w:qFormat="1" w:unhideWhenUsed="0" w:uiPriority="0" w:semiHidden="0" w:name="envelope return"/>
    <w:lsdException w:uiPriority="0" w:name="footnote reference"/>
    <w:lsdException w:qFormat="1" w:uiPriority="0" w:name="annotation reference"/>
    <w:lsdException w:uiPriority="0" w:name="line number"/>
    <w:lsdException w:uiPriority="0" w:name="page number"/>
    <w:lsdException w:uiPriority="0" w:name="endnote reference"/>
    <w:lsdException w:qFormat="1" w:unhideWhenUsed="0" w:uiPriority="0" w:semiHidden="0" w:name="endnote text"/>
    <w:lsdException w:qFormat="1" w:uiPriority="0" w:name="table of authorities"/>
    <w:lsdException w:qFormat="1" w:unhideWhenUsed="0" w:uiPriority="0" w:semiHidden="0" w:name="macro"/>
    <w:lsdException w:qFormat="1" w:unhideWhenUsed="0" w:uiPriority="0" w:semiHidden="0" w:name="toa heading"/>
    <w:lsdException w:qFormat="1" w:unhideWhenUsed="0" w:uiPriority="0" w:semiHidden="0" w:name="List"/>
    <w:lsdException w:qFormat="1" w:unhideWhenUsed="0" w:uiPriority="0" w:semiHidden="0" w:name="List Bullet"/>
    <w:lsdException w:qFormat="1" w:unhideWhenUsed="0" w:uiPriority="0" w:semiHidden="0" w:name="List Number"/>
    <w:lsdException w:qFormat="1" w:unhideWhenUsed="0" w:uiPriority="0" w:semiHidden="0" w:name="List 2"/>
    <w:lsdException w:qFormat="1" w:unhideWhenUsed="0" w:uiPriority="0" w:semiHidden="0" w:name="List 3"/>
    <w:lsdException w:qFormat="1" w:unhideWhenUsed="0" w:uiPriority="0" w:semiHidden="0" w:name="List 4"/>
    <w:lsdException w:qFormat="1" w:unhideWhenUsed="0" w:uiPriority="0" w:semiHidden="0" w:name="List 5"/>
    <w:lsdException w:qFormat="1" w:unhideWhenUsed="0" w:uiPriority="0" w:semiHidden="0" w:name="List Bullet 2"/>
    <w:lsdException w:qFormat="1" w:unhideWhenUsed="0" w:uiPriority="0" w:semiHidden="0" w:name="List Bullet 3"/>
    <w:lsdException w:qFormat="1" w:unhideWhenUsed="0" w:uiPriority="0" w:semiHidden="0" w:name="List Bullet 4"/>
    <w:lsdException w:qFormat="1" w:unhideWhenUsed="0" w:uiPriority="0" w:semiHidden="0" w:name="List Bullet 5"/>
    <w:lsdException w:qFormat="1" w:unhideWhenUsed="0" w:uiPriority="0" w:semiHidden="0" w:name="List Number 2"/>
    <w:lsdException w:qFormat="1" w:unhideWhenUsed="0" w:uiPriority="0" w:semiHidden="0" w:name="List Number 3"/>
    <w:lsdException w:qFormat="1" w:unhideWhenUsed="0" w:uiPriority="0" w:semiHidden="0" w:name="List Number 4"/>
    <w:lsdException w:qFormat="1" w:unhideWhenUsed="0" w:uiPriority="0" w:semiHidden="0" w:name="List Number 5"/>
    <w:lsdException w:qFormat="1" w:unhideWhenUsed="0" w:uiPriority="10" w:semiHidden="0" w:name="Title"/>
    <w:lsdException w:uiPriority="0" w:name="Closing"/>
    <w:lsdException w:qFormat="1" w:unhideWhenUsed="0" w:uiPriority="0" w:semiHidden="0" w:name="Signature"/>
    <w:lsdException w:qFormat="1" w:uiPriority="1" w:name="Default Paragraph Font"/>
    <w:lsdException w:qFormat="1" w:unhideWhenUsed="0" w:uiPriority="0" w:semiHidden="0" w:name="Body Text"/>
    <w:lsdException w:qFormat="1" w:uiPriority="0" w:name="Body Text Indent"/>
    <w:lsdException w:qFormat="1" w:unhideWhenUsed="0" w:uiPriority="0" w:semiHidden="0" w:name="List Continue"/>
    <w:lsdException w:qFormat="1" w:unhideWhenUsed="0" w:uiPriority="0" w:semiHidden="0" w:name="List Continue 2"/>
    <w:lsdException w:qFormat="1" w:unhideWhenUsed="0" w:uiPriority="0" w:semiHidden="0" w:name="List Continue 3"/>
    <w:lsdException w:qFormat="1" w:unhideWhenUsed="0" w:uiPriority="0" w:semiHidden="0" w:name="List Continue 4"/>
    <w:lsdException w:qFormat="1" w:unhideWhenUsed="0" w:uiPriority="0" w:semiHidden="0" w:name="List Continue 5"/>
    <w:lsdException w:qFormat="1" w:uiPriority="0" w:name="Message Header"/>
    <w:lsdException w:qFormat="1" w:unhideWhenUsed="0" w:uiPriority="11" w:semiHidden="0" w:name="Subtitle"/>
    <w:lsdException w:qFormat="1" w:unhideWhenUsed="0" w:uiPriority="0" w:semiHidden="0" w:name="Salutation"/>
    <w:lsdException w:qFormat="1" w:unhideWhenUsed="0" w:uiPriority="0" w:semiHidden="0" w:name="Date"/>
    <w:lsdException w:qFormat="1" w:uiPriority="0" w:name="Body Text First Indent"/>
    <w:lsdException w:qFormat="1" w:uiPriority="0" w:name="Body Text First Indent 2"/>
    <w:lsdException w:qFormat="1" w:unhideWhenUsed="0" w:uiPriority="0" w:semiHidden="0" w:name="Note Heading"/>
    <w:lsdException w:qFormat="1" w:uiPriority="0" w:name="Body Text 2"/>
    <w:lsdException w:qFormat="1" w:uiPriority="0" w:name="Body Text 3"/>
    <w:lsdException w:qFormat="1" w:uiPriority="0" w:name="Body Text Indent 2"/>
    <w:lsdException w:qFormat="1" w:uiPriority="0" w:name="Body Text Indent 3"/>
    <w:lsdException w:qFormat="1" w:unhideWhenUsed="0" w:uiPriority="0" w:semiHidden="0" w:name="Block Text"/>
    <w:lsdException w:qFormat="1" w:uiPriority="0" w:semiHidden="0" w:name="Hyperlink"/>
    <w:lsdException w:uiPriority="0" w:name="FollowedHyperlink"/>
    <w:lsdException w:qFormat="1" w:unhideWhenUsed="0" w:uiPriority="22" w:semiHidden="0" w:name="Strong"/>
    <w:lsdException w:qFormat="1" w:unhideWhenUsed="0" w:uiPriority="20" w:semiHidden="0" w:name="Emphasis"/>
    <w:lsdException w:qFormat="1" w:unhideWhenUsed="0" w:uiPriority="0" w:semiHidden="0" w:name="Document Map"/>
    <w:lsdException w:qFormat="1" w:unhideWhenUsed="0" w:uiPriority="0" w:semiHidden="0" w:name="Plain Text"/>
    <w:lsdException w:qFormat="1" w:unhideWhenUsed="0" w:uiPriority="0" w:semiHidden="0" w:name="E-mail Signature"/>
    <w:lsdException w:qFormat="1" w:unhideWhenUsed="0" w:uiPriority="0" w:semiHidden="0" w:name="Normal (Web)"/>
    <w:lsdException w:qFormat="1" w:uiPriority="0" w:name="HTML Acronym"/>
    <w:lsdException w:qFormat="1" w:uiPriority="0" w:name="HTML Address"/>
    <w:lsdException w:qFormat="1" w:uiPriority="0" w:name="HTML Cite"/>
    <w:lsdException w:qFormat="1" w:uiPriority="0" w:name="HTML Code"/>
    <w:lsdException w:qFormat="1" w:uiPriority="0" w:name="HTML Definition"/>
    <w:lsdException w:qFormat="1" w:uiPriority="0" w:name="HTML Keyboard"/>
    <w:lsdException w:qFormat="1" w:uiPriority="0" w:name="HTML Preformatted"/>
    <w:lsdException w:qFormat="1" w:uiPriority="0" w:name="HTML Sample"/>
    <w:lsdException w:qFormat="1" w:uiPriority="0" w:name="HTML Typewriter"/>
    <w:lsdException w:qFormat="1" w:uiPriority="0" w:name="HTML Variable"/>
    <w:lsdException w:qFormat="1" w:uiPriority="99" w:name="Normal Table"/>
    <w:lsdException w:qFormat="1" w:unhideWhenUsed="0" w:uiPriority="0" w:semiHidden="0" w:name="annotation subject"/>
    <w:lsdException w:qFormat="1" w:uiPriority="0" w:name="Table Simple 1"/>
    <w:lsdException w:qFormat="1" w:uiPriority="0" w:name="Table Simple 2"/>
    <w:lsdException w:qFormat="1" w:uiPriority="0" w:name="Table Simple 3"/>
    <w:lsdException w:qFormat="1" w:uiPriority="0" w:name="Table Classic 1"/>
    <w:lsdException w:qFormat="1" w:uiPriority="0" w:name="Table Classic 2"/>
    <w:lsdException w:qFormat="1" w:uiPriority="0" w:name="Table Classic 3"/>
    <w:lsdException w:qFormat="1" w:uiPriority="0" w:name="Table Classic 4"/>
    <w:lsdException w:qFormat="1" w:uiPriority="0" w:name="Table Colorful 1"/>
    <w:lsdException w:qFormat="1" w:uiPriority="0" w:name="Table Colorful 2"/>
    <w:lsdException w:qFormat="1" w:uiPriority="0" w:name="Table Colorful 3"/>
    <w:lsdException w:qFormat="1" w:uiPriority="0" w:name="Table Columns 1"/>
    <w:lsdException w:qFormat="1" w:uiPriority="0" w:name="Table Columns 2"/>
    <w:lsdException w:qFormat="1" w:uiPriority="0" w:name="Table Columns 3"/>
    <w:lsdException w:qFormat="1" w:uiPriority="0" w:name="Table Columns 4"/>
    <w:lsdException w:qFormat="1" w:uiPriority="0" w:name="Table Columns 5"/>
    <w:lsdException w:qFormat="1" w:uiPriority="0" w:name="Table Grid 1"/>
    <w:lsdException w:qFormat="1" w:uiPriority="0" w:name="Table Grid 2"/>
    <w:lsdException w:qFormat="1" w:uiPriority="0" w:name="Table Grid 3"/>
    <w:lsdException w:qFormat="1" w:uiPriority="0" w:name="Table Grid 4"/>
    <w:lsdException w:qFormat="1" w:uiPriority="0" w:name="Table Grid 5"/>
    <w:lsdException w:qFormat="1" w:uiPriority="0" w:name="Table Grid 6"/>
    <w:lsdException w:qFormat="1" w:uiPriority="0" w:name="Table Grid 7"/>
    <w:lsdException w:qFormat="1" w:uiPriority="0" w:name="Table Grid 8"/>
    <w:lsdException w:qFormat="1" w:uiPriority="0" w:name="Table List 1"/>
    <w:lsdException w:qFormat="1" w:uiPriority="0" w:name="Table List 2"/>
    <w:lsdException w:qFormat="1" w:uiPriority="0" w:name="Table List 3"/>
    <w:lsdException w:qFormat="1" w:uiPriority="0" w:name="Table List 4"/>
    <w:lsdException w:qFormat="1" w:uiPriority="0" w:name="Table List 5"/>
    <w:lsdException w:qFormat="1" w:uiPriority="0" w:name="Table List 6"/>
    <w:lsdException w:qFormat="1" w:uiPriority="0" w:name="Table List 7"/>
    <w:lsdException w:qFormat="1" w:uiPriority="0" w:name="Table List 8"/>
    <w:lsdException w:qFormat="1" w:uiPriority="0" w:name="Table 3D effects 1"/>
    <w:lsdException w:qFormat="1" w:uiPriority="0" w:name="Table 3D effects 2"/>
    <w:lsdException w:qFormat="1" w:uiPriority="0" w:name="Table 3D effects 3"/>
    <w:lsdException w:qFormat="1" w:uiPriority="0" w:name="Table Contemporary"/>
    <w:lsdException w:qFormat="1" w:uiPriority="0" w:name="Table Elegant"/>
    <w:lsdException w:qFormat="1" w:uiPriority="0" w:name="Table Professional"/>
    <w:lsdException w:qFormat="1" w:uiPriority="0" w:name="Table Subtle 1"/>
    <w:lsdException w:qFormat="1" w:uiPriority="0" w:name="Table Subtle 2"/>
    <w:lsdException w:qFormat="1" w:uiPriority="0" w:name="Table Web 1"/>
    <w:lsdException w:qFormat="1" w:uiPriority="0" w:name="Table Web 2"/>
    <w:lsdException w:qFormat="1" w:uiPriority="0" w:name="Table Web 3"/>
    <w:lsdException w:qFormat="1" w:unhideWhenUsed="0" w:uiPriority="0" w:name="Balloon Text"/>
    <w:lsdException w:qFormat="1" w:unhideWhenUsed="0" w:uiPriority="0" w:semiHidden="0" w:name="Table Grid"/>
    <w:lsdException w:qFormat="1" w:uiPriority="0" w:name="Table Theme"/>
    <w:lsdException w:qFormat="1" w:unhideWhenUsed="0" w:uiPriority="99" w:name="Placeholder Text"/>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autoRedefine/>
    <w:qFormat/>
    <w:uiPriority w:val="0"/>
    <w:pPr>
      <w:spacing w:after="240"/>
    </w:pPr>
    <w:rPr>
      <w:rFonts w:ascii="Times New Roman" w:hAnsi="Times New Roman" w:eastAsia="Times New Roman" w:cs="Latha"/>
      <w:sz w:val="24"/>
      <w:szCs w:val="22"/>
      <w:lang w:val="en-US" w:eastAsia="en-US" w:bidi="ta-IN"/>
    </w:rPr>
  </w:style>
  <w:style w:type="paragraph" w:styleId="3">
    <w:name w:val="heading 1"/>
    <w:basedOn w:val="1"/>
    <w:next w:val="1"/>
    <w:link w:val="221"/>
    <w:qFormat/>
    <w:uiPriority w:val="9"/>
    <w:pPr>
      <w:keepNext/>
      <w:keepLines/>
      <w:spacing w:before="480" w:after="0"/>
      <w:outlineLvl w:val="0"/>
    </w:pPr>
    <w:rPr>
      <w:rFonts w:cs="Times New Roman"/>
      <w:b/>
      <w:bCs/>
      <w:color w:val="21798E"/>
      <w:sz w:val="22"/>
      <w:szCs w:val="28"/>
      <w:lang w:bidi="ar-SA"/>
    </w:rPr>
  </w:style>
  <w:style w:type="paragraph" w:styleId="4">
    <w:name w:val="heading 2"/>
    <w:basedOn w:val="1"/>
    <w:next w:val="1"/>
    <w:link w:val="222"/>
    <w:qFormat/>
    <w:uiPriority w:val="9"/>
    <w:pPr>
      <w:keepNext/>
      <w:keepLines/>
      <w:spacing w:before="200" w:after="0"/>
      <w:outlineLvl w:val="1"/>
    </w:pPr>
    <w:rPr>
      <w:rFonts w:cs="Times New Roman"/>
      <w:bCs/>
      <w:color w:val="2DA2BF"/>
      <w:sz w:val="20"/>
      <w:szCs w:val="26"/>
      <w:lang w:bidi="ar-SA"/>
    </w:rPr>
  </w:style>
  <w:style w:type="paragraph" w:styleId="5">
    <w:name w:val="heading 3"/>
    <w:basedOn w:val="1"/>
    <w:next w:val="1"/>
    <w:link w:val="223"/>
    <w:qFormat/>
    <w:uiPriority w:val="9"/>
    <w:pPr>
      <w:keepNext/>
      <w:keepLines/>
      <w:spacing w:before="200" w:after="0"/>
      <w:outlineLvl w:val="2"/>
    </w:pPr>
    <w:rPr>
      <w:rFonts w:cs="Times New Roman"/>
      <w:b/>
      <w:bCs/>
      <w:color w:val="2DA2BF"/>
      <w:szCs w:val="20"/>
      <w:lang w:bidi="ar-SA"/>
    </w:rPr>
  </w:style>
  <w:style w:type="paragraph" w:styleId="6">
    <w:name w:val="heading 4"/>
    <w:basedOn w:val="1"/>
    <w:next w:val="1"/>
    <w:link w:val="227"/>
    <w:autoRedefine/>
    <w:qFormat/>
    <w:uiPriority w:val="9"/>
    <w:pPr>
      <w:keepNext/>
      <w:keepLines/>
      <w:spacing w:before="200" w:after="0"/>
      <w:outlineLvl w:val="3"/>
    </w:pPr>
    <w:rPr>
      <w:rFonts w:cs="Times New Roman"/>
      <w:bCs/>
      <w:i/>
      <w:iCs/>
      <w:color w:val="2DA2BF"/>
      <w:szCs w:val="20"/>
      <w:lang w:bidi="ar-SA"/>
    </w:rPr>
  </w:style>
  <w:style w:type="paragraph" w:styleId="7">
    <w:name w:val="heading 5"/>
    <w:basedOn w:val="1"/>
    <w:next w:val="1"/>
    <w:link w:val="224"/>
    <w:qFormat/>
    <w:uiPriority w:val="9"/>
    <w:pPr>
      <w:keepNext/>
      <w:keepLines/>
      <w:spacing w:before="200" w:after="0"/>
      <w:outlineLvl w:val="4"/>
    </w:pPr>
    <w:rPr>
      <w:rFonts w:cs="Times New Roman"/>
      <w:color w:val="16505E"/>
      <w:szCs w:val="20"/>
      <w:lang w:bidi="ar-SA"/>
    </w:rPr>
  </w:style>
  <w:style w:type="paragraph" w:styleId="8">
    <w:name w:val="heading 6"/>
    <w:basedOn w:val="1"/>
    <w:next w:val="1"/>
    <w:link w:val="225"/>
    <w:autoRedefine/>
    <w:qFormat/>
    <w:uiPriority w:val="9"/>
    <w:pPr>
      <w:keepNext/>
      <w:keepLines/>
      <w:spacing w:before="200" w:after="0"/>
      <w:outlineLvl w:val="5"/>
    </w:pPr>
    <w:rPr>
      <w:rFonts w:cs="Times New Roman"/>
      <w:i/>
      <w:iCs/>
      <w:color w:val="16505E"/>
      <w:szCs w:val="20"/>
      <w:lang w:bidi="ar-SA"/>
    </w:rPr>
  </w:style>
  <w:style w:type="paragraph" w:styleId="9">
    <w:name w:val="heading 7"/>
    <w:basedOn w:val="1"/>
    <w:next w:val="1"/>
    <w:link w:val="228"/>
    <w:qFormat/>
    <w:uiPriority w:val="9"/>
    <w:pPr>
      <w:keepNext/>
      <w:keepLines/>
      <w:spacing w:before="200" w:after="0"/>
      <w:outlineLvl w:val="6"/>
    </w:pPr>
    <w:rPr>
      <w:rFonts w:cs="Times New Roman"/>
      <w:i/>
      <w:iCs/>
      <w:color w:val="404040"/>
      <w:szCs w:val="20"/>
      <w:lang w:bidi="ar-SA"/>
    </w:rPr>
  </w:style>
  <w:style w:type="paragraph" w:styleId="10">
    <w:name w:val="heading 8"/>
    <w:basedOn w:val="1"/>
    <w:next w:val="1"/>
    <w:link w:val="229"/>
    <w:autoRedefine/>
    <w:qFormat/>
    <w:uiPriority w:val="9"/>
    <w:pPr>
      <w:keepNext/>
      <w:keepLines/>
      <w:spacing w:before="200" w:after="0"/>
      <w:outlineLvl w:val="7"/>
    </w:pPr>
    <w:rPr>
      <w:rFonts w:cs="Times New Roman"/>
      <w:color w:val="2DA2BF"/>
      <w:szCs w:val="20"/>
      <w:lang w:bidi="ar-SA"/>
    </w:rPr>
  </w:style>
  <w:style w:type="paragraph" w:styleId="11">
    <w:name w:val="heading 9"/>
    <w:basedOn w:val="1"/>
    <w:next w:val="1"/>
    <w:link w:val="230"/>
    <w:qFormat/>
    <w:uiPriority w:val="9"/>
    <w:pPr>
      <w:keepNext/>
      <w:keepLines/>
      <w:spacing w:before="200" w:after="0"/>
      <w:outlineLvl w:val="8"/>
    </w:pPr>
    <w:rPr>
      <w:rFonts w:cs="Times New Roman"/>
      <w:i/>
      <w:iCs/>
      <w:color w:val="404040"/>
      <w:szCs w:val="20"/>
      <w:lang w:bidi="ar-SA"/>
    </w:rPr>
  </w:style>
  <w:style w:type="character" w:default="1" w:styleId="209">
    <w:name w:val="Default Paragraph Font"/>
    <w:autoRedefine/>
    <w:semiHidden/>
    <w:unhideWhenUsed/>
    <w:qFormat/>
    <w:uiPriority w:val="1"/>
  </w:style>
  <w:style w:type="table" w:default="1" w:styleId="86">
    <w:name w:val="Normal Table"/>
    <w:autoRedefine/>
    <w:semiHidden/>
    <w:unhideWhenUsed/>
    <w:qFormat/>
    <w:uiPriority w:val="99"/>
    <w:tblPr>
      <w:tblCellMar>
        <w:top w:w="0" w:type="dxa"/>
        <w:left w:w="108" w:type="dxa"/>
        <w:bottom w:w="0" w:type="dxa"/>
        <w:right w:w="108" w:type="dxa"/>
      </w:tblCellMar>
    </w:tblPr>
  </w:style>
  <w:style w:type="paragraph" w:styleId="2">
    <w:name w:val="macro"/>
    <w:link w:val="306"/>
    <w:qFormat/>
    <w:uiPriority w:val="0"/>
    <w:pPr>
      <w:tabs>
        <w:tab w:val="left" w:pos="480"/>
        <w:tab w:val="left" w:pos="960"/>
        <w:tab w:val="left" w:pos="1440"/>
        <w:tab w:val="left" w:pos="1920"/>
        <w:tab w:val="left" w:pos="2400"/>
        <w:tab w:val="left" w:pos="2880"/>
        <w:tab w:val="left" w:pos="3360"/>
        <w:tab w:val="left" w:pos="3840"/>
        <w:tab w:val="left" w:pos="4320"/>
      </w:tabs>
      <w:spacing w:after="200" w:line="480" w:lineRule="auto"/>
    </w:pPr>
    <w:rPr>
      <w:rFonts w:ascii="Times New Roman" w:hAnsi="Times New Roman" w:eastAsia="Times New Roman" w:cs="Courier New"/>
      <w:sz w:val="24"/>
      <w:lang w:val="en-US" w:eastAsia="en-US" w:bidi="ar-SA"/>
    </w:rPr>
  </w:style>
  <w:style w:type="paragraph" w:styleId="12">
    <w:name w:val="List 3"/>
    <w:basedOn w:val="1"/>
    <w:qFormat/>
    <w:uiPriority w:val="0"/>
    <w:pPr>
      <w:ind w:left="1080" w:hanging="360"/>
      <w:contextualSpacing/>
    </w:pPr>
  </w:style>
  <w:style w:type="paragraph" w:styleId="13">
    <w:name w:val="toc 7"/>
    <w:basedOn w:val="1"/>
    <w:next w:val="1"/>
    <w:qFormat/>
    <w:uiPriority w:val="0"/>
    <w:pPr>
      <w:ind w:left="1440"/>
    </w:pPr>
  </w:style>
  <w:style w:type="paragraph" w:styleId="14">
    <w:name w:val="List Number 2"/>
    <w:basedOn w:val="1"/>
    <w:autoRedefine/>
    <w:qFormat/>
    <w:uiPriority w:val="0"/>
    <w:pPr>
      <w:tabs>
        <w:tab w:val="left" w:pos="720"/>
      </w:tabs>
      <w:ind w:left="720" w:hanging="720"/>
      <w:contextualSpacing/>
    </w:pPr>
  </w:style>
  <w:style w:type="paragraph" w:styleId="15">
    <w:name w:val="table of authorities"/>
    <w:basedOn w:val="1"/>
    <w:next w:val="1"/>
    <w:autoRedefine/>
    <w:semiHidden/>
    <w:unhideWhenUsed/>
    <w:qFormat/>
    <w:uiPriority w:val="0"/>
    <w:pPr>
      <w:spacing w:after="0"/>
      <w:ind w:left="220" w:hanging="220"/>
    </w:pPr>
  </w:style>
  <w:style w:type="paragraph" w:styleId="16">
    <w:name w:val="Note Heading"/>
    <w:basedOn w:val="1"/>
    <w:next w:val="1"/>
    <w:link w:val="303"/>
    <w:qFormat/>
    <w:uiPriority w:val="0"/>
    <w:rPr>
      <w:szCs w:val="24"/>
      <w:lang w:bidi="ar-SA"/>
    </w:rPr>
  </w:style>
  <w:style w:type="paragraph" w:styleId="17">
    <w:name w:val="List Bullet 4"/>
    <w:basedOn w:val="1"/>
    <w:autoRedefine/>
    <w:qFormat/>
    <w:uiPriority w:val="0"/>
    <w:pPr>
      <w:tabs>
        <w:tab w:val="left" w:pos="720"/>
      </w:tabs>
      <w:ind w:left="720" w:hanging="720"/>
      <w:contextualSpacing/>
    </w:pPr>
  </w:style>
  <w:style w:type="paragraph" w:styleId="18">
    <w:name w:val="index 8"/>
    <w:basedOn w:val="1"/>
    <w:next w:val="1"/>
    <w:autoRedefine/>
    <w:qFormat/>
    <w:uiPriority w:val="0"/>
    <w:pPr>
      <w:ind w:left="1920" w:hanging="240"/>
    </w:pPr>
  </w:style>
  <w:style w:type="paragraph" w:styleId="19">
    <w:name w:val="E-mail Signature"/>
    <w:basedOn w:val="1"/>
    <w:link w:val="316"/>
    <w:autoRedefine/>
    <w:qFormat/>
    <w:uiPriority w:val="0"/>
    <w:rPr>
      <w:szCs w:val="24"/>
      <w:lang w:bidi="ar-SA"/>
    </w:rPr>
  </w:style>
  <w:style w:type="paragraph" w:styleId="20">
    <w:name w:val="List Number"/>
    <w:autoRedefine/>
    <w:qFormat/>
    <w:uiPriority w:val="0"/>
    <w:pPr>
      <w:numPr>
        <w:ilvl w:val="0"/>
        <w:numId w:val="1"/>
      </w:numPr>
      <w:spacing w:after="200" w:line="480" w:lineRule="auto"/>
    </w:pPr>
    <w:rPr>
      <w:rFonts w:ascii="Times New Roman" w:hAnsi="Times New Roman" w:eastAsia="Times New Roman" w:cs="Latha"/>
      <w:sz w:val="24"/>
      <w:szCs w:val="24"/>
      <w:lang w:val="en-US" w:eastAsia="en-US" w:bidi="ar-SA"/>
    </w:rPr>
  </w:style>
  <w:style w:type="paragraph" w:styleId="21">
    <w:name w:val="Normal Indent"/>
    <w:basedOn w:val="1"/>
    <w:autoRedefine/>
    <w:qFormat/>
    <w:uiPriority w:val="0"/>
    <w:pPr>
      <w:ind w:left="720"/>
    </w:pPr>
  </w:style>
  <w:style w:type="paragraph" w:styleId="22">
    <w:name w:val="caption"/>
    <w:basedOn w:val="1"/>
    <w:next w:val="1"/>
    <w:semiHidden/>
    <w:unhideWhenUsed/>
    <w:qFormat/>
    <w:uiPriority w:val="35"/>
    <w:pPr>
      <w:spacing w:after="200"/>
    </w:pPr>
    <w:rPr>
      <w:bCs/>
      <w:sz w:val="18"/>
      <w:szCs w:val="18"/>
    </w:rPr>
  </w:style>
  <w:style w:type="paragraph" w:styleId="23">
    <w:name w:val="index 5"/>
    <w:basedOn w:val="1"/>
    <w:next w:val="1"/>
    <w:autoRedefine/>
    <w:qFormat/>
    <w:uiPriority w:val="0"/>
    <w:pPr>
      <w:ind w:left="1200" w:hanging="240"/>
    </w:pPr>
  </w:style>
  <w:style w:type="paragraph" w:styleId="24">
    <w:name w:val="List Bullet"/>
    <w:autoRedefine/>
    <w:qFormat/>
    <w:uiPriority w:val="0"/>
    <w:pPr>
      <w:tabs>
        <w:tab w:val="left" w:pos="720"/>
      </w:tabs>
      <w:spacing w:after="60" w:line="480" w:lineRule="auto"/>
      <w:ind w:left="720" w:hanging="720"/>
      <w:jc w:val="both"/>
    </w:pPr>
    <w:rPr>
      <w:rFonts w:ascii="Times New Roman" w:hAnsi="Times New Roman" w:eastAsia="Times New Roman" w:cs="Latha"/>
      <w:sz w:val="24"/>
      <w:szCs w:val="22"/>
      <w:lang w:val="en-US" w:eastAsia="en-US" w:bidi="ar-SA"/>
    </w:rPr>
  </w:style>
  <w:style w:type="paragraph" w:styleId="25">
    <w:name w:val="envelope address"/>
    <w:basedOn w:val="1"/>
    <w:autoRedefine/>
    <w:qFormat/>
    <w:uiPriority w:val="0"/>
    <w:pPr>
      <w:framePr w:w="7920" w:h="1980" w:hRule="exact" w:hSpace="180" w:wrap="auto" w:vAnchor="margin" w:hAnchor="page" w:xAlign="center" w:yAlign="bottom"/>
      <w:ind w:left="2880"/>
    </w:pPr>
    <w:rPr>
      <w:rFonts w:ascii="Cambria" w:hAnsi="Cambria"/>
    </w:rPr>
  </w:style>
  <w:style w:type="paragraph" w:styleId="26">
    <w:name w:val="Document Map"/>
    <w:basedOn w:val="1"/>
    <w:link w:val="317"/>
    <w:autoRedefine/>
    <w:qFormat/>
    <w:uiPriority w:val="0"/>
    <w:rPr>
      <w:rFonts w:ascii="Tahoma" w:hAnsi="Tahoma" w:cs="Tahoma"/>
      <w:sz w:val="16"/>
      <w:szCs w:val="16"/>
      <w:lang w:bidi="ar-SA"/>
    </w:rPr>
  </w:style>
  <w:style w:type="paragraph" w:styleId="27">
    <w:name w:val="toa heading"/>
    <w:basedOn w:val="1"/>
    <w:next w:val="1"/>
    <w:qFormat/>
    <w:uiPriority w:val="0"/>
    <w:pPr>
      <w:spacing w:before="120"/>
    </w:pPr>
    <w:rPr>
      <w:rFonts w:ascii="Cambria" w:hAnsi="Cambria"/>
      <w:b/>
      <w:bCs/>
    </w:rPr>
  </w:style>
  <w:style w:type="paragraph" w:styleId="28">
    <w:name w:val="annotation text"/>
    <w:basedOn w:val="1"/>
    <w:link w:val="226"/>
    <w:autoRedefine/>
    <w:semiHidden/>
    <w:qFormat/>
    <w:uiPriority w:val="0"/>
    <w:pPr>
      <w:spacing w:before="100" w:beforeAutospacing="1" w:after="100" w:afterAutospacing="1"/>
      <w:ind w:firstLine="720"/>
    </w:pPr>
    <w:rPr>
      <w:rFonts w:cs="Cambria"/>
      <w:szCs w:val="20"/>
      <w:lang w:val="en-NZ" w:bidi="ar-SA"/>
    </w:rPr>
  </w:style>
  <w:style w:type="paragraph" w:styleId="29">
    <w:name w:val="index 6"/>
    <w:basedOn w:val="1"/>
    <w:next w:val="1"/>
    <w:autoRedefine/>
    <w:qFormat/>
    <w:uiPriority w:val="0"/>
    <w:pPr>
      <w:ind w:left="1440" w:hanging="240"/>
    </w:pPr>
  </w:style>
  <w:style w:type="paragraph" w:styleId="30">
    <w:name w:val="Salutation"/>
    <w:basedOn w:val="1"/>
    <w:next w:val="1"/>
    <w:link w:val="286"/>
    <w:qFormat/>
    <w:uiPriority w:val="0"/>
    <w:rPr>
      <w:szCs w:val="24"/>
      <w:lang w:bidi="ar-SA"/>
    </w:rPr>
  </w:style>
  <w:style w:type="paragraph" w:styleId="31">
    <w:name w:val="Body Text 3"/>
    <w:basedOn w:val="1"/>
    <w:link w:val="355"/>
    <w:semiHidden/>
    <w:unhideWhenUsed/>
    <w:qFormat/>
    <w:uiPriority w:val="0"/>
    <w:pPr>
      <w:spacing w:after="120"/>
    </w:pPr>
    <w:rPr>
      <w:sz w:val="16"/>
      <w:szCs w:val="16"/>
    </w:rPr>
  </w:style>
  <w:style w:type="paragraph" w:styleId="32">
    <w:name w:val="List Bullet 3"/>
    <w:basedOn w:val="1"/>
    <w:qFormat/>
    <w:uiPriority w:val="0"/>
    <w:pPr>
      <w:tabs>
        <w:tab w:val="left" w:pos="720"/>
      </w:tabs>
      <w:ind w:left="720" w:hanging="720"/>
      <w:contextualSpacing/>
    </w:pPr>
  </w:style>
  <w:style w:type="paragraph" w:styleId="33">
    <w:name w:val="Body Text"/>
    <w:link w:val="323"/>
    <w:autoRedefine/>
    <w:qFormat/>
    <w:uiPriority w:val="0"/>
    <w:pPr>
      <w:spacing w:after="120"/>
      <w:ind w:firstLine="360"/>
      <w:jc w:val="both"/>
    </w:pPr>
    <w:rPr>
      <w:rFonts w:ascii="Times New Roman" w:hAnsi="Times New Roman" w:eastAsia="Times New Roman" w:cs="Latha"/>
      <w:sz w:val="24"/>
      <w:lang w:val="en-US" w:eastAsia="en-US" w:bidi="ar-SA"/>
    </w:rPr>
  </w:style>
  <w:style w:type="paragraph" w:styleId="34">
    <w:name w:val="Body Text Indent"/>
    <w:basedOn w:val="1"/>
    <w:link w:val="352"/>
    <w:semiHidden/>
    <w:unhideWhenUsed/>
    <w:qFormat/>
    <w:uiPriority w:val="0"/>
    <w:pPr>
      <w:spacing w:after="120"/>
      <w:ind w:left="360"/>
    </w:pPr>
  </w:style>
  <w:style w:type="paragraph" w:styleId="35">
    <w:name w:val="List Number 3"/>
    <w:basedOn w:val="1"/>
    <w:autoRedefine/>
    <w:qFormat/>
    <w:uiPriority w:val="0"/>
    <w:pPr>
      <w:tabs>
        <w:tab w:val="left" w:pos="720"/>
      </w:tabs>
      <w:ind w:left="720" w:hanging="720"/>
      <w:contextualSpacing/>
    </w:pPr>
  </w:style>
  <w:style w:type="paragraph" w:styleId="36">
    <w:name w:val="List 2"/>
    <w:basedOn w:val="1"/>
    <w:autoRedefine/>
    <w:qFormat/>
    <w:uiPriority w:val="0"/>
    <w:pPr>
      <w:ind w:left="720" w:hanging="360"/>
      <w:contextualSpacing/>
    </w:pPr>
  </w:style>
  <w:style w:type="paragraph" w:styleId="37">
    <w:name w:val="List Continue"/>
    <w:basedOn w:val="1"/>
    <w:qFormat/>
    <w:uiPriority w:val="0"/>
    <w:pPr>
      <w:spacing w:after="120"/>
      <w:ind w:left="360"/>
      <w:contextualSpacing/>
    </w:pPr>
  </w:style>
  <w:style w:type="paragraph" w:styleId="38">
    <w:name w:val="Block Text"/>
    <w:basedOn w:val="1"/>
    <w:autoRedefine/>
    <w:qFormat/>
    <w:uiPriority w:val="0"/>
    <w:pPr>
      <w:spacing w:after="120"/>
      <w:ind w:left="1440" w:right="1440"/>
    </w:pPr>
  </w:style>
  <w:style w:type="paragraph" w:styleId="39">
    <w:name w:val="List Bullet 2"/>
    <w:basedOn w:val="1"/>
    <w:autoRedefine/>
    <w:qFormat/>
    <w:uiPriority w:val="0"/>
    <w:pPr>
      <w:tabs>
        <w:tab w:val="left" w:pos="720"/>
      </w:tabs>
      <w:ind w:left="720" w:hanging="720"/>
      <w:contextualSpacing/>
    </w:pPr>
  </w:style>
  <w:style w:type="paragraph" w:styleId="40">
    <w:name w:val="HTML Address"/>
    <w:basedOn w:val="1"/>
    <w:link w:val="345"/>
    <w:autoRedefine/>
    <w:semiHidden/>
    <w:unhideWhenUsed/>
    <w:qFormat/>
    <w:uiPriority w:val="0"/>
    <w:pPr>
      <w:spacing w:after="0"/>
    </w:pPr>
    <w:rPr>
      <w:i/>
      <w:iCs/>
    </w:rPr>
  </w:style>
  <w:style w:type="paragraph" w:styleId="41">
    <w:name w:val="index 4"/>
    <w:basedOn w:val="1"/>
    <w:next w:val="1"/>
    <w:autoRedefine/>
    <w:qFormat/>
    <w:uiPriority w:val="0"/>
    <w:pPr>
      <w:ind w:left="960" w:hanging="240"/>
    </w:pPr>
  </w:style>
  <w:style w:type="paragraph" w:styleId="42">
    <w:name w:val="toc 5"/>
    <w:basedOn w:val="1"/>
    <w:next w:val="1"/>
    <w:autoRedefine/>
    <w:qFormat/>
    <w:uiPriority w:val="0"/>
    <w:pPr>
      <w:ind w:left="960"/>
    </w:pPr>
  </w:style>
  <w:style w:type="paragraph" w:styleId="43">
    <w:name w:val="toc 3"/>
    <w:basedOn w:val="1"/>
    <w:next w:val="1"/>
    <w:qFormat/>
    <w:uiPriority w:val="0"/>
    <w:pPr>
      <w:ind w:left="480"/>
    </w:pPr>
  </w:style>
  <w:style w:type="paragraph" w:styleId="44">
    <w:name w:val="Plain Text"/>
    <w:basedOn w:val="1"/>
    <w:link w:val="302"/>
    <w:qFormat/>
    <w:uiPriority w:val="0"/>
  </w:style>
  <w:style w:type="paragraph" w:styleId="45">
    <w:name w:val="List Bullet 5"/>
    <w:basedOn w:val="1"/>
    <w:qFormat/>
    <w:uiPriority w:val="0"/>
    <w:pPr>
      <w:tabs>
        <w:tab w:val="left" w:pos="720"/>
      </w:tabs>
      <w:ind w:left="720" w:hanging="720"/>
      <w:contextualSpacing/>
    </w:pPr>
  </w:style>
  <w:style w:type="paragraph" w:styleId="46">
    <w:name w:val="List Number 4"/>
    <w:basedOn w:val="1"/>
    <w:autoRedefine/>
    <w:qFormat/>
    <w:uiPriority w:val="0"/>
    <w:pPr>
      <w:tabs>
        <w:tab w:val="left" w:pos="720"/>
      </w:tabs>
      <w:ind w:left="720" w:hanging="720"/>
      <w:contextualSpacing/>
    </w:pPr>
  </w:style>
  <w:style w:type="paragraph" w:styleId="47">
    <w:name w:val="toc 8"/>
    <w:basedOn w:val="1"/>
    <w:next w:val="1"/>
    <w:autoRedefine/>
    <w:qFormat/>
    <w:uiPriority w:val="0"/>
    <w:pPr>
      <w:ind w:left="1680"/>
    </w:pPr>
  </w:style>
  <w:style w:type="paragraph" w:styleId="48">
    <w:name w:val="index 3"/>
    <w:basedOn w:val="1"/>
    <w:next w:val="1"/>
    <w:autoRedefine/>
    <w:qFormat/>
    <w:uiPriority w:val="0"/>
    <w:pPr>
      <w:ind w:left="720" w:hanging="240"/>
    </w:pPr>
  </w:style>
  <w:style w:type="paragraph" w:styleId="49">
    <w:name w:val="Date"/>
    <w:basedOn w:val="1"/>
    <w:next w:val="1"/>
    <w:link w:val="318"/>
    <w:autoRedefine/>
    <w:qFormat/>
    <w:uiPriority w:val="0"/>
    <w:rPr>
      <w:szCs w:val="24"/>
      <w:lang w:bidi="ar-SA"/>
    </w:rPr>
  </w:style>
  <w:style w:type="paragraph" w:styleId="50">
    <w:name w:val="Body Text Indent 2"/>
    <w:basedOn w:val="1"/>
    <w:link w:val="351"/>
    <w:semiHidden/>
    <w:unhideWhenUsed/>
    <w:qFormat/>
    <w:uiPriority w:val="0"/>
    <w:pPr>
      <w:spacing w:after="120"/>
      <w:ind w:left="360"/>
    </w:pPr>
  </w:style>
  <w:style w:type="paragraph" w:styleId="51">
    <w:name w:val="endnote text"/>
    <w:basedOn w:val="1"/>
    <w:link w:val="315"/>
    <w:autoRedefine/>
    <w:qFormat/>
    <w:uiPriority w:val="0"/>
    <w:rPr>
      <w:szCs w:val="20"/>
      <w:lang w:bidi="ar-SA"/>
    </w:rPr>
  </w:style>
  <w:style w:type="paragraph" w:styleId="52">
    <w:name w:val="List Continue 5"/>
    <w:basedOn w:val="1"/>
    <w:qFormat/>
    <w:uiPriority w:val="0"/>
    <w:pPr>
      <w:spacing w:after="120"/>
      <w:ind w:left="1800"/>
      <w:contextualSpacing/>
    </w:pPr>
  </w:style>
  <w:style w:type="paragraph" w:styleId="53">
    <w:name w:val="Balloon Text"/>
    <w:basedOn w:val="1"/>
    <w:link w:val="321"/>
    <w:autoRedefine/>
    <w:semiHidden/>
    <w:qFormat/>
    <w:uiPriority w:val="0"/>
    <w:rPr>
      <w:rFonts w:ascii="Tahoma" w:hAnsi="Tahoma" w:cs="Tahoma"/>
      <w:sz w:val="16"/>
      <w:szCs w:val="16"/>
    </w:rPr>
  </w:style>
  <w:style w:type="paragraph" w:styleId="54">
    <w:name w:val="footer"/>
    <w:basedOn w:val="1"/>
    <w:link w:val="314"/>
    <w:autoRedefine/>
    <w:qFormat/>
    <w:uiPriority w:val="99"/>
    <w:pPr>
      <w:tabs>
        <w:tab w:val="center" w:pos="4680"/>
        <w:tab w:val="right" w:pos="9360"/>
      </w:tabs>
    </w:pPr>
    <w:rPr>
      <w:szCs w:val="24"/>
      <w:lang w:bidi="ar-SA"/>
    </w:rPr>
  </w:style>
  <w:style w:type="paragraph" w:styleId="55">
    <w:name w:val="envelope return"/>
    <w:basedOn w:val="1"/>
    <w:autoRedefine/>
    <w:qFormat/>
    <w:uiPriority w:val="0"/>
    <w:rPr>
      <w:rFonts w:ascii="Cambria" w:hAnsi="Cambria"/>
      <w:sz w:val="20"/>
      <w:szCs w:val="20"/>
    </w:rPr>
  </w:style>
  <w:style w:type="paragraph" w:styleId="56">
    <w:name w:val="header"/>
    <w:basedOn w:val="1"/>
    <w:link w:val="312"/>
    <w:qFormat/>
    <w:uiPriority w:val="0"/>
    <w:pPr>
      <w:tabs>
        <w:tab w:val="center" w:pos="4680"/>
        <w:tab w:val="right" w:pos="9360"/>
      </w:tabs>
    </w:pPr>
    <w:rPr>
      <w:szCs w:val="24"/>
      <w:lang w:bidi="ar-SA"/>
    </w:rPr>
  </w:style>
  <w:style w:type="paragraph" w:styleId="57">
    <w:name w:val="Signature"/>
    <w:basedOn w:val="1"/>
    <w:link w:val="299"/>
    <w:qFormat/>
    <w:uiPriority w:val="0"/>
    <w:pPr>
      <w:ind w:left="4320"/>
    </w:pPr>
    <w:rPr>
      <w:szCs w:val="24"/>
      <w:lang w:bidi="ar-SA"/>
    </w:rPr>
  </w:style>
  <w:style w:type="paragraph" w:styleId="58">
    <w:name w:val="toc 1"/>
    <w:basedOn w:val="1"/>
    <w:next w:val="1"/>
    <w:autoRedefine/>
    <w:qFormat/>
    <w:uiPriority w:val="0"/>
  </w:style>
  <w:style w:type="paragraph" w:styleId="59">
    <w:name w:val="List Continue 4"/>
    <w:basedOn w:val="1"/>
    <w:qFormat/>
    <w:uiPriority w:val="0"/>
    <w:pPr>
      <w:spacing w:after="120"/>
      <w:ind w:left="1440"/>
      <w:contextualSpacing/>
    </w:pPr>
  </w:style>
  <w:style w:type="paragraph" w:styleId="60">
    <w:name w:val="toc 4"/>
    <w:basedOn w:val="1"/>
    <w:next w:val="1"/>
    <w:qFormat/>
    <w:uiPriority w:val="0"/>
    <w:pPr>
      <w:ind w:left="720"/>
    </w:pPr>
  </w:style>
  <w:style w:type="paragraph" w:styleId="61">
    <w:name w:val="index heading"/>
    <w:basedOn w:val="1"/>
    <w:next w:val="62"/>
    <w:autoRedefine/>
    <w:qFormat/>
    <w:uiPriority w:val="0"/>
    <w:rPr>
      <w:rFonts w:ascii="Cambria" w:hAnsi="Cambria"/>
      <w:b/>
      <w:bCs/>
    </w:rPr>
  </w:style>
  <w:style w:type="paragraph" w:styleId="62">
    <w:name w:val="index 1"/>
    <w:basedOn w:val="1"/>
    <w:next w:val="1"/>
    <w:autoRedefine/>
    <w:qFormat/>
    <w:uiPriority w:val="0"/>
    <w:pPr>
      <w:ind w:left="240" w:hanging="240"/>
    </w:pPr>
  </w:style>
  <w:style w:type="paragraph" w:styleId="63">
    <w:name w:val="List Number 5"/>
    <w:basedOn w:val="1"/>
    <w:qFormat/>
    <w:uiPriority w:val="0"/>
    <w:pPr>
      <w:numPr>
        <w:ilvl w:val="0"/>
        <w:numId w:val="2"/>
      </w:numPr>
      <w:contextualSpacing/>
    </w:pPr>
  </w:style>
  <w:style w:type="paragraph" w:styleId="64">
    <w:name w:val="List"/>
    <w:basedOn w:val="1"/>
    <w:qFormat/>
    <w:uiPriority w:val="0"/>
    <w:pPr>
      <w:ind w:left="360" w:hanging="360"/>
      <w:contextualSpacing/>
    </w:pPr>
  </w:style>
  <w:style w:type="paragraph" w:styleId="65">
    <w:name w:val="footnote text"/>
    <w:basedOn w:val="1"/>
    <w:link w:val="313"/>
    <w:qFormat/>
    <w:uiPriority w:val="0"/>
    <w:rPr>
      <w:szCs w:val="20"/>
      <w:lang w:bidi="ar-SA"/>
    </w:rPr>
  </w:style>
  <w:style w:type="paragraph" w:styleId="66">
    <w:name w:val="toc 6"/>
    <w:basedOn w:val="1"/>
    <w:next w:val="1"/>
    <w:autoRedefine/>
    <w:qFormat/>
    <w:uiPriority w:val="0"/>
    <w:pPr>
      <w:ind w:left="1200"/>
    </w:pPr>
  </w:style>
  <w:style w:type="paragraph" w:styleId="67">
    <w:name w:val="List 5"/>
    <w:basedOn w:val="1"/>
    <w:autoRedefine/>
    <w:qFormat/>
    <w:uiPriority w:val="0"/>
    <w:pPr>
      <w:ind w:left="1800" w:hanging="360"/>
      <w:contextualSpacing/>
    </w:pPr>
  </w:style>
  <w:style w:type="paragraph" w:styleId="68">
    <w:name w:val="Body Text Indent 3"/>
    <w:basedOn w:val="1"/>
    <w:link w:val="350"/>
    <w:semiHidden/>
    <w:unhideWhenUsed/>
    <w:qFormat/>
    <w:uiPriority w:val="0"/>
    <w:pPr>
      <w:spacing w:after="120"/>
      <w:ind w:left="360"/>
    </w:pPr>
    <w:rPr>
      <w:sz w:val="16"/>
      <w:szCs w:val="16"/>
    </w:rPr>
  </w:style>
  <w:style w:type="paragraph" w:styleId="69">
    <w:name w:val="index 7"/>
    <w:basedOn w:val="1"/>
    <w:next w:val="1"/>
    <w:autoRedefine/>
    <w:qFormat/>
    <w:uiPriority w:val="0"/>
    <w:pPr>
      <w:ind w:left="1680" w:hanging="240"/>
    </w:pPr>
  </w:style>
  <w:style w:type="paragraph" w:styleId="70">
    <w:name w:val="index 9"/>
    <w:basedOn w:val="1"/>
    <w:next w:val="1"/>
    <w:autoRedefine/>
    <w:qFormat/>
    <w:uiPriority w:val="0"/>
    <w:pPr>
      <w:ind w:left="2160" w:hanging="240"/>
    </w:pPr>
  </w:style>
  <w:style w:type="paragraph" w:styleId="71">
    <w:name w:val="table of figures"/>
    <w:basedOn w:val="1"/>
    <w:next w:val="1"/>
    <w:semiHidden/>
    <w:unhideWhenUsed/>
    <w:qFormat/>
    <w:uiPriority w:val="0"/>
    <w:pPr>
      <w:spacing w:after="0"/>
    </w:pPr>
  </w:style>
  <w:style w:type="paragraph" w:styleId="72">
    <w:name w:val="toc 2"/>
    <w:basedOn w:val="1"/>
    <w:next w:val="1"/>
    <w:qFormat/>
    <w:uiPriority w:val="0"/>
    <w:pPr>
      <w:ind w:left="240"/>
    </w:pPr>
  </w:style>
  <w:style w:type="paragraph" w:styleId="73">
    <w:name w:val="toc 9"/>
    <w:basedOn w:val="1"/>
    <w:next w:val="1"/>
    <w:qFormat/>
    <w:uiPriority w:val="0"/>
    <w:pPr>
      <w:ind w:left="1920"/>
    </w:pPr>
  </w:style>
  <w:style w:type="paragraph" w:styleId="74">
    <w:name w:val="Body Text 2"/>
    <w:basedOn w:val="1"/>
    <w:link w:val="356"/>
    <w:semiHidden/>
    <w:unhideWhenUsed/>
    <w:qFormat/>
    <w:uiPriority w:val="0"/>
    <w:pPr>
      <w:spacing w:after="120"/>
    </w:pPr>
  </w:style>
  <w:style w:type="paragraph" w:styleId="75">
    <w:name w:val="List 4"/>
    <w:basedOn w:val="1"/>
    <w:qFormat/>
    <w:uiPriority w:val="0"/>
    <w:pPr>
      <w:ind w:left="1440" w:hanging="360"/>
      <w:contextualSpacing/>
    </w:pPr>
  </w:style>
  <w:style w:type="paragraph" w:styleId="76">
    <w:name w:val="List Continue 2"/>
    <w:basedOn w:val="1"/>
    <w:autoRedefine/>
    <w:qFormat/>
    <w:uiPriority w:val="0"/>
    <w:pPr>
      <w:spacing w:after="120"/>
      <w:ind w:left="720"/>
      <w:contextualSpacing/>
    </w:pPr>
  </w:style>
  <w:style w:type="paragraph" w:styleId="77">
    <w:name w:val="Message Header"/>
    <w:basedOn w:val="1"/>
    <w:link w:val="294"/>
    <w:semiHidden/>
    <w:unhideWhenUsed/>
    <w:qFormat/>
    <w:uiPriority w:val="0"/>
    <w:pPr>
      <w:pBdr>
        <w:top w:val="single" w:color="auto" w:sz="6" w:space="1"/>
        <w:left w:val="single" w:color="auto" w:sz="6" w:space="1"/>
        <w:bottom w:val="single" w:color="auto" w:sz="6" w:space="1"/>
        <w:right w:val="single" w:color="auto" w:sz="6" w:space="1"/>
      </w:pBdr>
      <w:shd w:val="pct20" w:color="auto" w:fill="auto"/>
      <w:spacing w:after="0"/>
      <w:ind w:left="1080" w:hanging="1080"/>
    </w:pPr>
    <w:rPr>
      <w:rFonts w:asciiTheme="majorHAnsi" w:hAnsiTheme="majorHAnsi" w:eastAsiaTheme="majorEastAsia" w:cstheme="majorBidi"/>
      <w:szCs w:val="24"/>
    </w:rPr>
  </w:style>
  <w:style w:type="paragraph" w:styleId="78">
    <w:name w:val="HTML Preformatted"/>
    <w:basedOn w:val="1"/>
    <w:link w:val="344"/>
    <w:semiHidden/>
    <w:unhideWhenUsed/>
    <w:qFormat/>
    <w:uiPriority w:val="0"/>
    <w:pPr>
      <w:spacing w:after="0"/>
    </w:pPr>
    <w:rPr>
      <w:rFonts w:ascii="Consolas" w:hAnsi="Consolas"/>
      <w:sz w:val="20"/>
      <w:szCs w:val="20"/>
    </w:rPr>
  </w:style>
  <w:style w:type="paragraph" w:styleId="79">
    <w:name w:val="Normal (Web)"/>
    <w:basedOn w:val="1"/>
    <w:autoRedefine/>
    <w:qFormat/>
    <w:uiPriority w:val="0"/>
  </w:style>
  <w:style w:type="paragraph" w:styleId="80">
    <w:name w:val="List Continue 3"/>
    <w:basedOn w:val="1"/>
    <w:qFormat/>
    <w:uiPriority w:val="0"/>
    <w:pPr>
      <w:spacing w:after="120"/>
      <w:ind w:left="1080"/>
      <w:contextualSpacing/>
    </w:pPr>
  </w:style>
  <w:style w:type="paragraph" w:styleId="81">
    <w:name w:val="index 2"/>
    <w:basedOn w:val="1"/>
    <w:next w:val="1"/>
    <w:autoRedefine/>
    <w:qFormat/>
    <w:uiPriority w:val="0"/>
    <w:pPr>
      <w:ind w:left="480" w:hanging="240"/>
    </w:pPr>
  </w:style>
  <w:style w:type="paragraph" w:styleId="82">
    <w:name w:val="Title"/>
    <w:basedOn w:val="1"/>
    <w:next w:val="1"/>
    <w:link w:val="295"/>
    <w:qFormat/>
    <w:uiPriority w:val="10"/>
    <w:pPr>
      <w:pBdr>
        <w:bottom w:val="single" w:color="2DA2BF" w:sz="8" w:space="4"/>
      </w:pBdr>
      <w:spacing w:after="300"/>
      <w:contextualSpacing/>
    </w:pPr>
    <w:rPr>
      <w:rFonts w:ascii="Cambria" w:hAnsi="Cambria" w:cs="Times New Roman"/>
      <w:color w:val="343434"/>
      <w:spacing w:val="5"/>
      <w:kern w:val="28"/>
      <w:sz w:val="52"/>
      <w:szCs w:val="52"/>
      <w:lang w:bidi="ar-SA"/>
    </w:rPr>
  </w:style>
  <w:style w:type="paragraph" w:styleId="83">
    <w:name w:val="annotation subject"/>
    <w:basedOn w:val="28"/>
    <w:next w:val="28"/>
    <w:link w:val="319"/>
    <w:qFormat/>
    <w:uiPriority w:val="0"/>
    <w:pPr>
      <w:spacing w:before="0" w:beforeAutospacing="0" w:after="0" w:afterAutospacing="0"/>
      <w:ind w:firstLine="0"/>
    </w:pPr>
    <w:rPr>
      <w:b/>
      <w:bCs/>
    </w:rPr>
  </w:style>
  <w:style w:type="paragraph" w:styleId="84">
    <w:name w:val="Body Text First Indent"/>
    <w:basedOn w:val="33"/>
    <w:link w:val="354"/>
    <w:autoRedefine/>
    <w:semiHidden/>
    <w:unhideWhenUsed/>
    <w:qFormat/>
    <w:uiPriority w:val="0"/>
    <w:pPr>
      <w:spacing w:after="200"/>
      <w:jc w:val="left"/>
    </w:pPr>
    <w:rPr>
      <w:sz w:val="22"/>
      <w:szCs w:val="22"/>
      <w:lang w:bidi="ta-IN"/>
    </w:rPr>
  </w:style>
  <w:style w:type="paragraph" w:styleId="85">
    <w:name w:val="Body Text First Indent 2"/>
    <w:basedOn w:val="34"/>
    <w:link w:val="353"/>
    <w:semiHidden/>
    <w:unhideWhenUsed/>
    <w:qFormat/>
    <w:uiPriority w:val="0"/>
    <w:pPr>
      <w:spacing w:after="200"/>
      <w:ind w:firstLine="360"/>
    </w:pPr>
  </w:style>
  <w:style w:type="table" w:styleId="87">
    <w:name w:val="Table Grid"/>
    <w:basedOn w:val="86"/>
    <w:autoRedefine/>
    <w:qFormat/>
    <w:uiPriority w:val="0"/>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88">
    <w:name w:val="Table Theme"/>
    <w:basedOn w:val="86"/>
    <w:semiHidden/>
    <w:unhideWhenUsed/>
    <w:qFormat/>
    <w:uiPriority w:val="0"/>
    <w:pPr>
      <w:spacing w:after="200" w:line="48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89">
    <w:name w:val="Table Colorful 1"/>
    <w:basedOn w:val="86"/>
    <w:semiHidden/>
    <w:unhideWhenUsed/>
    <w:qFormat/>
    <w:uiPriority w:val="0"/>
    <w:pPr>
      <w:spacing w:after="200" w:line="480" w:lineRule="auto"/>
    </w:pPr>
    <w:rPr>
      <w:color w:val="FFFFFF"/>
    </w:rPr>
    <w:tblPr>
      <w:tblBorders>
        <w:top w:val="single" w:color="008080" w:sz="12" w:space="0"/>
        <w:left w:val="single" w:color="008080" w:sz="12" w:space="0"/>
        <w:bottom w:val="single" w:color="008080" w:sz="12" w:space="0"/>
        <w:right w:val="single" w:color="008080" w:sz="12" w:space="0"/>
        <w:insideH w:val="single" w:color="00FFFF" w:sz="6" w:space="0"/>
      </w:tblBorders>
      <w:tblCellMar>
        <w:top w:w="0" w:type="dxa"/>
        <w:left w:w="108" w:type="dxa"/>
        <w:bottom w:w="0" w:type="dxa"/>
        <w:right w:w="108" w:type="dxa"/>
      </w:tblCellMar>
    </w:tblPr>
    <w:tcPr>
      <w:shd w:val="solid" w:color="008080" w:fill="FFFFFF"/>
    </w:tcPr>
    <w:tblStylePr w:type="firstRow">
      <w:rPr>
        <w:b/>
        <w:bCs/>
        <w:i/>
        <w:iCs/>
      </w:rPr>
      <w:tblPr/>
      <w:tcPr>
        <w:tcBorders>
          <w:tl2br w:val="nil"/>
          <w:tr2bl w:val="nil"/>
        </w:tcBorders>
        <w:shd w:val="solid" w:color="000000" w:fill="FFFFFF"/>
      </w:tcPr>
    </w:tblStylePr>
    <w:tblStylePr w:type="firstCol">
      <w:rPr>
        <w:b/>
        <w:bCs/>
        <w:i/>
        <w:iCs/>
      </w:rPr>
      <w:tblPr/>
      <w:tcPr>
        <w:tcBorders>
          <w:tl2br w:val="nil"/>
          <w:tr2bl w:val="nil"/>
        </w:tcBorders>
        <w:shd w:val="solid" w:color="000080" w:fill="FFFFFF"/>
      </w:tcPr>
    </w:tblStylePr>
    <w:tblStylePr w:type="nwCell">
      <w:tblPr/>
      <w:tcPr>
        <w:tcBorders>
          <w:tl2br w:val="nil"/>
          <w:tr2bl w:val="nil"/>
        </w:tcBorders>
        <w:shd w:val="solid" w:color="000000" w:fill="FFFFFF"/>
      </w:tcPr>
    </w:tblStylePr>
    <w:tblStylePr w:type="swCell">
      <w:rPr>
        <w:b/>
        <w:bCs/>
        <w:i w:val="0"/>
        <w:iCs w:val="0"/>
      </w:rPr>
      <w:tblPr/>
      <w:tcPr>
        <w:tcBorders>
          <w:tl2br w:val="nil"/>
          <w:tr2bl w:val="nil"/>
        </w:tcBorders>
      </w:tcPr>
    </w:tblStylePr>
  </w:style>
  <w:style w:type="table" w:styleId="90">
    <w:name w:val="Table Colorful 2"/>
    <w:basedOn w:val="86"/>
    <w:semiHidden/>
    <w:unhideWhenUsed/>
    <w:qFormat/>
    <w:uiPriority w:val="0"/>
    <w:pPr>
      <w:spacing w:after="200" w:line="480" w:lineRule="auto"/>
    </w:pPr>
    <w:tblPr>
      <w:tblBorders>
        <w:bottom w:val="single" w:color="000000" w:sz="12" w:space="0"/>
      </w:tblBorders>
      <w:tblCellMar>
        <w:top w:w="0" w:type="dxa"/>
        <w:left w:w="108" w:type="dxa"/>
        <w:bottom w:w="0" w:type="dxa"/>
        <w:right w:w="108" w:type="dxa"/>
      </w:tblCellMar>
    </w:tblPr>
    <w:tcPr>
      <w:shd w:val="pct20" w:color="FFFF00" w:fill="FFFFFF"/>
    </w:tcPr>
    <w:tblStylePr w:type="firstRow">
      <w:rPr>
        <w:b/>
        <w:bCs/>
        <w:i/>
        <w:iCs/>
        <w:color w:val="FFFFFF"/>
      </w:rPr>
      <w:tblPr/>
      <w:tcPr>
        <w:tcBorders>
          <w:bottom w:val="single" w:color="000000" w:sz="12" w:space="0"/>
          <w:tl2br w:val="nil"/>
          <w:tr2bl w:val="nil"/>
        </w:tcBorders>
        <w:shd w:val="solid" w:color="800000" w:fill="FFFFFF"/>
      </w:tcPr>
    </w:tblStylePr>
    <w:tblStylePr w:type="firstCol">
      <w:rPr>
        <w:b/>
        <w:bCs/>
        <w:i/>
        <w:iCs/>
      </w:rPr>
      <w:tblPr/>
      <w:tcPr>
        <w:tcBorders>
          <w:tl2br w:val="nil"/>
          <w:tr2bl w:val="nil"/>
        </w:tcBorders>
      </w:tcPr>
    </w:tblStylePr>
    <w:tblStylePr w:type="lastCol">
      <w:tblPr/>
      <w:tcPr>
        <w:tcBorders>
          <w:tl2br w:val="nil"/>
          <w:tr2bl w:val="nil"/>
        </w:tcBorders>
        <w:shd w:val="solid" w:color="C0C0C0" w:fill="FFFFFF"/>
      </w:tcPr>
    </w:tblStylePr>
    <w:tblStylePr w:type="swCell">
      <w:rPr>
        <w:b/>
        <w:bCs/>
        <w:i w:val="0"/>
        <w:iCs w:val="0"/>
      </w:rPr>
      <w:tblPr/>
      <w:tcPr>
        <w:tcBorders>
          <w:tl2br w:val="nil"/>
          <w:tr2bl w:val="nil"/>
        </w:tcBorders>
      </w:tcPr>
    </w:tblStylePr>
  </w:style>
  <w:style w:type="table" w:styleId="91">
    <w:name w:val="Table Colorful 3"/>
    <w:basedOn w:val="86"/>
    <w:autoRedefine/>
    <w:semiHidden/>
    <w:unhideWhenUsed/>
    <w:qFormat/>
    <w:uiPriority w:val="0"/>
    <w:pPr>
      <w:spacing w:after="200" w:line="480" w:lineRule="auto"/>
    </w:pPr>
    <w:tblPr>
      <w:tblBorders>
        <w:top w:val="single" w:color="000000" w:sz="18" w:space="0"/>
        <w:left w:val="single" w:color="000000" w:sz="18" w:space="0"/>
        <w:bottom w:val="single" w:color="000000" w:sz="18" w:space="0"/>
        <w:right w:val="single" w:color="000000" w:sz="18" w:space="0"/>
        <w:insideH w:val="single" w:color="C0C0C0" w:sz="6" w:space="0"/>
      </w:tblBorders>
      <w:tblCellMar>
        <w:top w:w="0" w:type="dxa"/>
        <w:left w:w="108" w:type="dxa"/>
        <w:bottom w:w="0" w:type="dxa"/>
        <w:right w:w="108" w:type="dxa"/>
      </w:tblCellMar>
    </w:tblPr>
    <w:tcPr>
      <w:shd w:val="pct25" w:color="008080" w:fill="FFFFFF"/>
    </w:tcPr>
    <w:tblStylePr w:type="firstRow">
      <w:tblPr/>
      <w:tcPr>
        <w:tcBorders>
          <w:bottom w:val="single" w:color="000000" w:sz="6" w:space="0"/>
          <w:tl2br w:val="nil"/>
          <w:tr2bl w:val="nil"/>
        </w:tcBorders>
        <w:shd w:val="solid" w:color="008080" w:fill="FFFFFF"/>
      </w:tcPr>
    </w:tblStylePr>
    <w:tblStylePr w:type="firstCol">
      <w:tblPr/>
      <w:tcPr>
        <w:tcBorders>
          <w:left w:val="single" w:color="000000" w:sz="36" w:space="0"/>
          <w:right w:val="single" w:color="000000" w:sz="6" w:space="0"/>
          <w:tl2br w:val="nil"/>
          <w:tr2bl w:val="nil"/>
        </w:tcBorders>
        <w:shd w:val="solid" w:color="008080" w:fill="FFFFFF"/>
      </w:tcPr>
    </w:tblStylePr>
    <w:tblStylePr w:type="nwCell">
      <w:rPr>
        <w:b/>
        <w:bCs/>
        <w:color w:val="FFFFFF"/>
      </w:rPr>
      <w:tblPr/>
      <w:tcPr>
        <w:tcBorders>
          <w:tl2br w:val="nil"/>
          <w:tr2bl w:val="nil"/>
        </w:tcBorders>
        <w:shd w:val="solid" w:color="000000" w:fill="FFFFFF"/>
      </w:tcPr>
    </w:tblStylePr>
  </w:style>
  <w:style w:type="table" w:styleId="92">
    <w:name w:val="Table Elegant"/>
    <w:basedOn w:val="86"/>
    <w:autoRedefine/>
    <w:semiHidden/>
    <w:unhideWhenUsed/>
    <w:qFormat/>
    <w:uiPriority w:val="0"/>
    <w:pPr>
      <w:spacing w:after="200" w:line="480" w:lineRule="auto"/>
    </w:pPr>
    <w:tblPr>
      <w:tblBorders>
        <w:top w:val="double" w:color="000000" w:sz="6" w:space="0"/>
        <w:left w:val="double" w:color="000000" w:sz="6" w:space="0"/>
        <w:bottom w:val="double" w:color="000000" w:sz="6" w:space="0"/>
        <w:right w:val="double" w:color="000000" w:sz="6" w:space="0"/>
        <w:insideH w:val="single" w:color="000000" w:sz="6" w:space="0"/>
        <w:insideV w:val="single" w:color="000000" w:sz="6" w:space="0"/>
      </w:tblBorders>
      <w:tblCellMar>
        <w:top w:w="0" w:type="dxa"/>
        <w:left w:w="108" w:type="dxa"/>
        <w:bottom w:w="0" w:type="dxa"/>
        <w:right w:w="108" w:type="dxa"/>
      </w:tblCellMar>
    </w:tblPr>
    <w:tcPr>
      <w:shd w:val="clear" w:color="auto" w:fill="auto"/>
    </w:tcPr>
    <w:tblStylePr w:type="firstRow">
      <w:rPr>
        <w:caps/>
        <w:color w:val="auto"/>
      </w:rPr>
      <w:tblPr/>
      <w:tcPr>
        <w:tcBorders>
          <w:tl2br w:val="nil"/>
          <w:tr2bl w:val="nil"/>
        </w:tcBorders>
      </w:tcPr>
    </w:tblStylePr>
  </w:style>
  <w:style w:type="table" w:styleId="93">
    <w:name w:val="Table Classic 1"/>
    <w:basedOn w:val="86"/>
    <w:semiHidden/>
    <w:unhideWhenUsed/>
    <w:qFormat/>
    <w:uiPriority w:val="0"/>
    <w:pPr>
      <w:spacing w:after="200" w:line="480" w:lineRule="auto"/>
    </w:pPr>
    <w:tblPr>
      <w:tblBorders>
        <w:top w:val="single" w:color="000000" w:sz="12" w:space="0"/>
        <w:bottom w:val="single" w:color="000000" w:sz="12" w:space="0"/>
      </w:tblBorders>
      <w:tblCellMar>
        <w:top w:w="0" w:type="dxa"/>
        <w:left w:w="108" w:type="dxa"/>
        <w:bottom w:w="0" w:type="dxa"/>
        <w:right w:w="108" w:type="dxa"/>
      </w:tblCellMar>
    </w:tblPr>
    <w:tcPr>
      <w:shd w:val="clear" w:color="auto" w:fill="auto"/>
    </w:tcPr>
    <w:tblStylePr w:type="firstRow">
      <w:rPr>
        <w:i/>
        <w:iCs/>
      </w:rPr>
      <w:tblPr/>
      <w:tcPr>
        <w:tcBorders>
          <w:bottom w:val="single" w:color="000000" w:sz="6" w:space="0"/>
          <w:tl2br w:val="nil"/>
          <w:tr2bl w:val="nil"/>
        </w:tcBorders>
      </w:tcPr>
    </w:tblStylePr>
    <w:tblStylePr w:type="lastRow">
      <w:rPr>
        <w:color w:val="auto"/>
      </w:rPr>
      <w:tblPr/>
      <w:tcPr>
        <w:tcBorders>
          <w:top w:val="single" w:color="000000" w:sz="6" w:space="0"/>
          <w:tl2br w:val="nil"/>
          <w:tr2bl w:val="nil"/>
        </w:tcBorders>
      </w:tcPr>
    </w:tblStylePr>
    <w:tblStylePr w:type="firstCol">
      <w:tblPr/>
      <w:tcPr>
        <w:tcBorders>
          <w:right w:val="single" w:color="000000" w:sz="6" w:space="0"/>
          <w:tl2br w:val="nil"/>
          <w:tr2bl w:val="nil"/>
        </w:tcBorders>
      </w:tcPr>
    </w:tblStylePr>
    <w:tblStylePr w:type="neCell">
      <w:rPr>
        <w:b/>
        <w:bCs/>
        <w:i w:val="0"/>
        <w:iCs w:val="0"/>
      </w:rPr>
      <w:tblPr/>
      <w:tcPr>
        <w:tcBorders>
          <w:tl2br w:val="nil"/>
          <w:tr2bl w:val="nil"/>
        </w:tcBorders>
      </w:tcPr>
    </w:tblStylePr>
    <w:tblStylePr w:type="swCell">
      <w:rPr>
        <w:b/>
        <w:bCs/>
      </w:rPr>
      <w:tblPr/>
      <w:tcPr>
        <w:tcBorders>
          <w:tl2br w:val="nil"/>
          <w:tr2bl w:val="nil"/>
        </w:tcBorders>
      </w:tcPr>
    </w:tblStylePr>
  </w:style>
  <w:style w:type="table" w:styleId="94">
    <w:name w:val="Table Classic 2"/>
    <w:basedOn w:val="86"/>
    <w:semiHidden/>
    <w:unhideWhenUsed/>
    <w:qFormat/>
    <w:uiPriority w:val="0"/>
    <w:pPr>
      <w:spacing w:after="200" w:line="480" w:lineRule="auto"/>
    </w:pPr>
    <w:tblPr>
      <w:tblBorders>
        <w:top w:val="single" w:color="000000" w:sz="12" w:space="0"/>
        <w:bottom w:val="single" w:color="000000" w:sz="12" w:space="0"/>
      </w:tblBorders>
      <w:tblCellMar>
        <w:top w:w="0" w:type="dxa"/>
        <w:left w:w="108" w:type="dxa"/>
        <w:bottom w:w="0" w:type="dxa"/>
        <w:right w:w="108" w:type="dxa"/>
      </w:tblCellMar>
    </w:tblPr>
    <w:tcPr>
      <w:shd w:val="clear" w:color="auto" w:fill="auto"/>
    </w:tcPr>
    <w:tblStylePr w:type="firstRow">
      <w:rPr>
        <w:color w:val="FFFFFF"/>
      </w:rPr>
      <w:tblPr/>
      <w:tcPr>
        <w:tcBorders>
          <w:bottom w:val="single" w:color="000000" w:sz="6" w:space="0"/>
          <w:tl2br w:val="nil"/>
          <w:tr2bl w:val="nil"/>
        </w:tcBorders>
        <w:shd w:val="solid" w:color="800080" w:fill="FFFFFF"/>
      </w:tcPr>
    </w:tblStylePr>
    <w:tblStylePr w:type="lastRow">
      <w:tblPr/>
      <w:tcPr>
        <w:tcBorders>
          <w:top w:val="single" w:color="000000" w:sz="6" w:space="0"/>
          <w:tl2br w:val="nil"/>
          <w:tr2bl w:val="nil"/>
        </w:tcBorders>
      </w:tcPr>
    </w:tblStylePr>
    <w:tblStylePr w:type="firstCol">
      <w:rPr>
        <w:b/>
        <w:bCs/>
      </w:rPr>
      <w:tblPr/>
      <w:tcPr>
        <w:tcBorders>
          <w:tl2br w:val="nil"/>
          <w:tr2bl w:val="nil"/>
        </w:tcBorders>
        <w:shd w:val="solid" w:color="C0C0C0" w:fill="FFFFFF"/>
      </w:tcPr>
    </w:tblStylePr>
    <w:tblStylePr w:type="neCell">
      <w:rPr>
        <w:b/>
        <w:bCs/>
      </w:rPr>
      <w:tblPr/>
      <w:tcPr>
        <w:tcBorders>
          <w:tl2br w:val="nil"/>
          <w:tr2bl w:val="nil"/>
        </w:tcBorders>
      </w:tcPr>
    </w:tblStylePr>
    <w:tblStylePr w:type="nwCell">
      <w:tblPr/>
      <w:tcPr>
        <w:tcBorders>
          <w:tl2br w:val="nil"/>
          <w:tr2bl w:val="nil"/>
        </w:tcBorders>
        <w:shd w:val="solid" w:color="800080" w:fill="FFFFFF"/>
      </w:tcPr>
    </w:tblStylePr>
    <w:tblStylePr w:type="swCell">
      <w:rPr>
        <w:color w:val="000080"/>
      </w:rPr>
      <w:tblPr/>
      <w:tcPr>
        <w:tcBorders>
          <w:tl2br w:val="nil"/>
          <w:tr2bl w:val="nil"/>
        </w:tcBorders>
      </w:tcPr>
    </w:tblStylePr>
  </w:style>
  <w:style w:type="table" w:styleId="95">
    <w:name w:val="Table Classic 3"/>
    <w:basedOn w:val="86"/>
    <w:semiHidden/>
    <w:unhideWhenUsed/>
    <w:qFormat/>
    <w:uiPriority w:val="0"/>
    <w:pPr>
      <w:spacing w:after="200" w:line="480" w:lineRule="auto"/>
    </w:pPr>
    <w:rPr>
      <w:color w:val="000080"/>
    </w:rPr>
    <w:tblPr>
      <w:tblBorders>
        <w:top w:val="single" w:color="000000" w:sz="12" w:space="0"/>
        <w:left w:val="single" w:color="000000" w:sz="12" w:space="0"/>
        <w:bottom w:val="single" w:color="000000" w:sz="12" w:space="0"/>
        <w:right w:val="single" w:color="000000" w:sz="12" w:space="0"/>
      </w:tblBorders>
      <w:tblCellMar>
        <w:top w:w="0" w:type="dxa"/>
        <w:left w:w="108" w:type="dxa"/>
        <w:bottom w:w="0" w:type="dxa"/>
        <w:right w:w="108" w:type="dxa"/>
      </w:tblCellMar>
    </w:tblPr>
    <w:tcPr>
      <w:shd w:val="solid" w:color="C0C0C0" w:fill="FFFFFF"/>
    </w:tcPr>
    <w:tblStylePr w:type="firstRow">
      <w:rPr>
        <w:b/>
        <w:bCs/>
        <w:i/>
        <w:iCs/>
        <w:color w:val="FFFFFF"/>
      </w:rPr>
      <w:tblPr/>
      <w:tcPr>
        <w:tcBorders>
          <w:bottom w:val="single" w:color="000000" w:sz="6" w:space="0"/>
          <w:tl2br w:val="nil"/>
          <w:tr2bl w:val="nil"/>
        </w:tcBorders>
        <w:shd w:val="solid" w:color="000080" w:fill="FFFFFF"/>
      </w:tcPr>
    </w:tblStylePr>
    <w:tblStylePr w:type="lastRow">
      <w:rPr>
        <w:color w:val="000080"/>
      </w:rPr>
      <w:tblPr/>
      <w:tcPr>
        <w:tcBorders>
          <w:top w:val="single" w:color="000000" w:sz="12" w:space="0"/>
          <w:tl2br w:val="nil"/>
          <w:tr2bl w:val="nil"/>
        </w:tcBorders>
        <w:shd w:val="solid" w:color="FFFFFF" w:fill="FFFFFF"/>
      </w:tcPr>
    </w:tblStylePr>
    <w:tblStylePr w:type="firstCol">
      <w:rPr>
        <w:b/>
        <w:bCs/>
        <w:color w:val="000000"/>
      </w:rPr>
      <w:tblPr/>
      <w:tcPr>
        <w:tcBorders>
          <w:tl2br w:val="nil"/>
          <w:tr2bl w:val="nil"/>
        </w:tcBorders>
      </w:tcPr>
    </w:tblStylePr>
  </w:style>
  <w:style w:type="table" w:styleId="96">
    <w:name w:val="Table Classic 4"/>
    <w:basedOn w:val="86"/>
    <w:semiHidden/>
    <w:unhideWhenUsed/>
    <w:qFormat/>
    <w:uiPriority w:val="0"/>
    <w:pPr>
      <w:spacing w:after="200" w:line="480" w:lineRule="auto"/>
    </w:pPr>
    <w:tblPr>
      <w:tblBorders>
        <w:top w:val="single" w:color="000000" w:sz="12" w:space="0"/>
        <w:left w:val="single" w:color="000000" w:sz="6" w:space="0"/>
        <w:bottom w:val="single" w:color="000000" w:sz="12" w:space="0"/>
        <w:right w:val="single" w:color="000000" w:sz="6" w:space="0"/>
      </w:tblBorders>
      <w:tblCellMar>
        <w:top w:w="0" w:type="dxa"/>
        <w:left w:w="108" w:type="dxa"/>
        <w:bottom w:w="0" w:type="dxa"/>
        <w:right w:w="108" w:type="dxa"/>
      </w:tblCellMar>
    </w:tblPr>
    <w:tcPr>
      <w:shd w:val="clear" w:color="auto" w:fill="auto"/>
    </w:tcPr>
    <w:tblStylePr w:type="firstRow">
      <w:rPr>
        <w:b/>
        <w:bCs/>
        <w:i/>
        <w:iCs/>
        <w:color w:val="FFFFFF"/>
      </w:rPr>
      <w:tblPr/>
      <w:tcPr>
        <w:tcBorders>
          <w:bottom w:val="single" w:color="000000" w:sz="6" w:space="0"/>
          <w:tl2br w:val="nil"/>
          <w:tr2bl w:val="nil"/>
        </w:tcBorders>
        <w:shd w:val="pct50" w:color="000080" w:fill="FFFFFF"/>
      </w:tcPr>
    </w:tblStylePr>
    <w:tblStylePr w:type="lastRow">
      <w:rPr>
        <w:color w:val="000080"/>
      </w:rPr>
      <w:tblPr/>
      <w:tcPr>
        <w:tcBorders>
          <w:bottom w:val="single" w:color="000000" w:sz="6" w:space="0"/>
          <w:tl2br w:val="nil"/>
          <w:tr2bl w:val="nil"/>
        </w:tcBorders>
        <w:shd w:val="pct50" w:color="000000" w:fill="FFFFFF"/>
      </w:tcPr>
    </w:tblStylePr>
    <w:tblStylePr w:type="firstCol">
      <w:rPr>
        <w:b/>
        <w:bCs/>
      </w:rPr>
      <w:tblPr/>
      <w:tcPr>
        <w:tcBorders>
          <w:tl2br w:val="nil"/>
          <w:tr2bl w:val="nil"/>
        </w:tcBorders>
      </w:tcPr>
    </w:tblStylePr>
    <w:tblStylePr w:type="nwCell">
      <w:rPr>
        <w:b/>
        <w:bCs/>
      </w:rPr>
      <w:tblPr/>
      <w:tcPr>
        <w:tcBorders>
          <w:tl2br w:val="nil"/>
          <w:tr2bl w:val="nil"/>
        </w:tcBorders>
      </w:tcPr>
    </w:tblStylePr>
    <w:tblStylePr w:type="swCell">
      <w:rPr>
        <w:color w:val="000080"/>
      </w:rPr>
      <w:tblPr/>
      <w:tcPr>
        <w:tcBorders>
          <w:tl2br w:val="nil"/>
          <w:tr2bl w:val="nil"/>
        </w:tcBorders>
      </w:tcPr>
    </w:tblStylePr>
  </w:style>
  <w:style w:type="table" w:styleId="97">
    <w:name w:val="Table Simple 1"/>
    <w:basedOn w:val="86"/>
    <w:autoRedefine/>
    <w:semiHidden/>
    <w:unhideWhenUsed/>
    <w:qFormat/>
    <w:uiPriority w:val="0"/>
    <w:pPr>
      <w:spacing w:after="200" w:line="480" w:lineRule="auto"/>
    </w:pPr>
    <w:tblPr>
      <w:tblBorders>
        <w:top w:val="single" w:color="008000" w:sz="12" w:space="0"/>
        <w:bottom w:val="single" w:color="008000" w:sz="12" w:space="0"/>
      </w:tblBorders>
      <w:tblCellMar>
        <w:top w:w="0" w:type="dxa"/>
        <w:left w:w="108" w:type="dxa"/>
        <w:bottom w:w="0" w:type="dxa"/>
        <w:right w:w="108" w:type="dxa"/>
      </w:tblCellMar>
    </w:tblPr>
    <w:tcPr>
      <w:shd w:val="clear" w:color="auto" w:fill="auto"/>
    </w:tcPr>
    <w:tblStylePr w:type="firstRow">
      <w:tblPr/>
      <w:tcPr>
        <w:tcBorders>
          <w:bottom w:val="single" w:color="008000" w:sz="6" w:space="0"/>
          <w:tl2br w:val="nil"/>
          <w:tr2bl w:val="nil"/>
        </w:tcBorders>
      </w:tcPr>
    </w:tblStylePr>
    <w:tblStylePr w:type="lastRow">
      <w:tblPr/>
      <w:tcPr>
        <w:tcBorders>
          <w:top w:val="single" w:color="008000" w:sz="6" w:space="0"/>
          <w:tl2br w:val="nil"/>
          <w:tr2bl w:val="nil"/>
        </w:tcBorders>
      </w:tcPr>
    </w:tblStylePr>
  </w:style>
  <w:style w:type="table" w:styleId="98">
    <w:name w:val="Table Simple 2"/>
    <w:basedOn w:val="86"/>
    <w:semiHidden/>
    <w:unhideWhenUsed/>
    <w:qFormat/>
    <w:uiPriority w:val="0"/>
    <w:pPr>
      <w:spacing w:after="200" w:line="480" w:lineRule="auto"/>
    </w:pPr>
    <w:tblPr>
      <w:tblCellMar>
        <w:top w:w="0" w:type="dxa"/>
        <w:left w:w="108" w:type="dxa"/>
        <w:bottom w:w="0" w:type="dxa"/>
        <w:right w:w="108" w:type="dxa"/>
      </w:tblCellMar>
    </w:tblPr>
    <w:tblStylePr w:type="firstRow">
      <w:rPr>
        <w:b/>
        <w:bCs/>
      </w:rPr>
      <w:tblPr/>
      <w:tcPr>
        <w:tcBorders>
          <w:bottom w:val="single" w:color="000000" w:sz="12" w:space="0"/>
          <w:tl2br w:val="nil"/>
          <w:tr2bl w:val="nil"/>
        </w:tcBorders>
      </w:tcPr>
    </w:tblStylePr>
    <w:tblStylePr w:type="lastRow">
      <w:rPr>
        <w:b/>
        <w:bCs/>
        <w:color w:val="auto"/>
      </w:rPr>
      <w:tblPr/>
      <w:tcPr>
        <w:tcBorders>
          <w:top w:val="single" w:color="000000" w:sz="6" w:space="0"/>
          <w:tl2br w:val="nil"/>
          <w:tr2bl w:val="nil"/>
        </w:tcBorders>
      </w:tcPr>
    </w:tblStylePr>
    <w:tblStylePr w:type="firstCol">
      <w:rPr>
        <w:b/>
        <w:bCs/>
      </w:rPr>
      <w:tblPr/>
      <w:tcPr>
        <w:tcBorders>
          <w:right w:val="single" w:color="000000" w:sz="12" w:space="0"/>
          <w:tl2br w:val="nil"/>
          <w:tr2bl w:val="nil"/>
        </w:tcBorders>
      </w:tcPr>
    </w:tblStylePr>
    <w:tblStylePr w:type="lastCol">
      <w:rPr>
        <w:b/>
        <w:bCs/>
      </w:rPr>
      <w:tblPr/>
      <w:tcPr>
        <w:tcBorders>
          <w:left w:val="single" w:color="000000" w:sz="6" w:space="0"/>
          <w:tl2br w:val="nil"/>
          <w:tr2bl w:val="nil"/>
        </w:tcBorders>
      </w:tcPr>
    </w:tblStylePr>
    <w:tblStylePr w:type="neCell">
      <w:rPr>
        <w:b/>
        <w:bCs/>
      </w:rPr>
      <w:tblPr/>
      <w:tcPr>
        <w:tcBorders>
          <w:left w:val="nil"/>
          <w:tl2br w:val="nil"/>
          <w:tr2bl w:val="nil"/>
        </w:tcBorders>
      </w:tcPr>
    </w:tblStylePr>
    <w:tblStylePr w:type="swCell">
      <w:rPr>
        <w:b/>
        <w:bCs/>
      </w:rPr>
      <w:tblPr/>
      <w:tcPr>
        <w:tcBorders>
          <w:top w:val="nil"/>
          <w:tl2br w:val="nil"/>
          <w:tr2bl w:val="nil"/>
        </w:tcBorders>
      </w:tcPr>
    </w:tblStylePr>
  </w:style>
  <w:style w:type="table" w:styleId="99">
    <w:name w:val="Table Simple 3"/>
    <w:basedOn w:val="86"/>
    <w:semiHidden/>
    <w:unhideWhenUsed/>
    <w:qFormat/>
    <w:uiPriority w:val="0"/>
    <w:pPr>
      <w:spacing w:after="200" w:line="480" w:lineRule="auto"/>
    </w:pPr>
    <w:tblPr>
      <w:tblBorders>
        <w:top w:val="single" w:color="000000" w:sz="12" w:space="0"/>
        <w:left w:val="single" w:color="000000" w:sz="12" w:space="0"/>
        <w:bottom w:val="single" w:color="000000" w:sz="12" w:space="0"/>
        <w:right w:val="single" w:color="000000" w:sz="12" w:space="0"/>
      </w:tblBorders>
      <w:tblCellMar>
        <w:top w:w="0" w:type="dxa"/>
        <w:left w:w="108" w:type="dxa"/>
        <w:bottom w:w="0" w:type="dxa"/>
        <w:right w:w="108" w:type="dxa"/>
      </w:tblCellMar>
    </w:tblPr>
    <w:tcPr>
      <w:shd w:val="clear" w:color="auto" w:fill="auto"/>
    </w:tcPr>
    <w:tblStylePr w:type="firstRow">
      <w:rPr>
        <w:b/>
        <w:bCs/>
        <w:color w:val="FFFFFF"/>
      </w:rPr>
      <w:tblPr/>
      <w:tcPr>
        <w:tcBorders>
          <w:tl2br w:val="nil"/>
          <w:tr2bl w:val="nil"/>
        </w:tcBorders>
        <w:shd w:val="solid" w:color="000000" w:fill="FFFFFF"/>
      </w:tcPr>
    </w:tblStylePr>
  </w:style>
  <w:style w:type="table" w:styleId="100">
    <w:name w:val="Table Subtle 1"/>
    <w:basedOn w:val="86"/>
    <w:semiHidden/>
    <w:unhideWhenUsed/>
    <w:qFormat/>
    <w:uiPriority w:val="0"/>
    <w:pPr>
      <w:spacing w:after="200" w:line="480" w:lineRule="auto"/>
    </w:pPr>
    <w:tblPr>
      <w:tblCellMar>
        <w:top w:w="0" w:type="dxa"/>
        <w:left w:w="108" w:type="dxa"/>
        <w:bottom w:w="0" w:type="dxa"/>
        <w:right w:w="108" w:type="dxa"/>
      </w:tblCellMar>
    </w:tblPr>
    <w:tblStylePr w:type="firstRow">
      <w:tblPr/>
      <w:tcPr>
        <w:tcBorders>
          <w:top w:val="single" w:color="000000" w:sz="6" w:space="0"/>
          <w:bottom w:val="single" w:color="000000" w:sz="12" w:space="0"/>
          <w:tl2br w:val="nil"/>
          <w:tr2bl w:val="nil"/>
        </w:tcBorders>
      </w:tcPr>
    </w:tblStylePr>
    <w:tblStylePr w:type="lastRow">
      <w:tblPr/>
      <w:tcPr>
        <w:tcBorders>
          <w:top w:val="single" w:color="000000" w:sz="12" w:space="0"/>
          <w:tl2br w:val="nil"/>
          <w:tr2bl w:val="nil"/>
        </w:tcBorders>
        <w:shd w:val="pct25" w:color="800080" w:fill="FFFFFF"/>
      </w:tcPr>
    </w:tblStylePr>
    <w:tblStylePr w:type="firstCol">
      <w:tblPr/>
      <w:tcPr>
        <w:tcBorders>
          <w:right w:val="single" w:color="000000" w:sz="12" w:space="0"/>
          <w:tl2br w:val="nil"/>
          <w:tr2bl w:val="nil"/>
        </w:tcBorders>
      </w:tcPr>
    </w:tblStylePr>
    <w:tblStylePr w:type="lastCol">
      <w:tblPr/>
      <w:tcPr>
        <w:tcBorders>
          <w:left w:val="single" w:color="000000" w:sz="12" w:space="0"/>
          <w:tl2br w:val="nil"/>
          <w:tr2bl w:val="nil"/>
        </w:tcBorders>
      </w:tcPr>
    </w:tblStylePr>
    <w:tblStylePr w:type="band1Horz">
      <w:tblPr/>
      <w:tcPr>
        <w:tcBorders>
          <w:bottom w:val="single" w:color="000000" w:sz="6" w:space="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01">
    <w:name w:val="Table Subtle 2"/>
    <w:basedOn w:val="86"/>
    <w:semiHidden/>
    <w:unhideWhenUsed/>
    <w:qFormat/>
    <w:uiPriority w:val="0"/>
    <w:pPr>
      <w:spacing w:after="200" w:line="480" w:lineRule="auto"/>
    </w:pPr>
    <w:tblPr>
      <w:tblBorders>
        <w:left w:val="single" w:color="000000" w:sz="6" w:space="0"/>
        <w:right w:val="single" w:color="000000" w:sz="6" w:space="0"/>
      </w:tblBorders>
      <w:tblCellMar>
        <w:top w:w="0" w:type="dxa"/>
        <w:left w:w="108" w:type="dxa"/>
        <w:bottom w:w="0" w:type="dxa"/>
        <w:right w:w="108" w:type="dxa"/>
      </w:tblCellMar>
    </w:tblPr>
    <w:tblStylePr w:type="firstRow">
      <w:tblPr/>
      <w:tcPr>
        <w:tcBorders>
          <w:bottom w:val="single" w:color="000000" w:sz="12" w:space="0"/>
          <w:tl2br w:val="nil"/>
          <w:tr2bl w:val="nil"/>
        </w:tcBorders>
      </w:tcPr>
    </w:tblStylePr>
    <w:tblStylePr w:type="lastRow">
      <w:tblPr/>
      <w:tcPr>
        <w:tcBorders>
          <w:top w:val="single" w:color="000000" w:sz="12" w:space="0"/>
          <w:tl2br w:val="nil"/>
          <w:tr2bl w:val="nil"/>
        </w:tcBorders>
      </w:tcPr>
    </w:tblStylePr>
    <w:tblStylePr w:type="firstCol">
      <w:tblPr/>
      <w:tcPr>
        <w:tcBorders>
          <w:right w:val="single" w:color="000000" w:sz="12" w:space="0"/>
          <w:tl2br w:val="nil"/>
          <w:tr2bl w:val="nil"/>
        </w:tcBorders>
        <w:shd w:val="pct25" w:color="008000" w:fill="FFFFFF"/>
      </w:tcPr>
    </w:tblStylePr>
    <w:tblStylePr w:type="lastCol">
      <w:tblPr/>
      <w:tcPr>
        <w:tcBorders>
          <w:left w:val="single" w:color="000000" w:sz="12" w:space="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02">
    <w:name w:val="Table 3D effects 1"/>
    <w:basedOn w:val="86"/>
    <w:semiHidden/>
    <w:unhideWhenUsed/>
    <w:qFormat/>
    <w:uiPriority w:val="0"/>
    <w:pPr>
      <w:spacing w:after="200" w:line="480" w:lineRule="auto"/>
    </w:pPr>
    <w:tblPr>
      <w:tblCellMar>
        <w:top w:w="0" w:type="dxa"/>
        <w:left w:w="108" w:type="dxa"/>
        <w:bottom w:w="0" w:type="dxa"/>
        <w:right w:w="108" w:type="dxa"/>
      </w:tblCellMar>
    </w:tblPr>
    <w:tcPr>
      <w:shd w:val="solid" w:color="C0C0C0" w:fill="FFFFFF"/>
    </w:tcPr>
    <w:tblStylePr w:type="firstRow">
      <w:rPr>
        <w:b/>
        <w:bCs/>
        <w:color w:val="800080"/>
      </w:rPr>
      <w:tblPr/>
      <w:tcPr>
        <w:tcBorders>
          <w:bottom w:val="single" w:color="808080" w:sz="6" w:space="0"/>
          <w:tl2br w:val="nil"/>
          <w:tr2bl w:val="nil"/>
        </w:tcBorders>
      </w:tcPr>
    </w:tblStylePr>
    <w:tblStylePr w:type="lastRow">
      <w:tblPr/>
      <w:tcPr>
        <w:tcBorders>
          <w:top w:val="single" w:color="FFFFFF" w:sz="6" w:space="0"/>
          <w:tl2br w:val="nil"/>
          <w:tr2bl w:val="nil"/>
        </w:tcBorders>
      </w:tcPr>
    </w:tblStylePr>
    <w:tblStylePr w:type="firstCol">
      <w:rPr>
        <w:b/>
        <w:bCs/>
      </w:rPr>
      <w:tblPr/>
      <w:tcPr>
        <w:tcBorders>
          <w:right w:val="single" w:color="808080" w:sz="6" w:space="0"/>
          <w:tl2br w:val="nil"/>
          <w:tr2bl w:val="nil"/>
        </w:tcBorders>
      </w:tcPr>
    </w:tblStylePr>
    <w:tblStylePr w:type="lastCol">
      <w:tblPr/>
      <w:tcPr>
        <w:tcBorders>
          <w:left w:val="single" w:color="FFFFFF" w:sz="6" w:space="0"/>
          <w:tl2br w:val="nil"/>
          <w:tr2bl w:val="nil"/>
        </w:tcBorders>
      </w:tcPr>
    </w:tblStylePr>
    <w:tblStylePr w:type="neCell">
      <w:tblPr/>
      <w:tcPr>
        <w:tcBorders>
          <w:left w:val="nil"/>
          <w:bottom w:val="nil"/>
          <w:tl2br w:val="nil"/>
          <w:tr2bl w:val="nil"/>
        </w:tcBorders>
      </w:tcPr>
    </w:tblStylePr>
    <w:tblStylePr w:type="nwCell">
      <w:tblPr/>
      <w:tcPr>
        <w:tcBorders>
          <w:bottom w:val="nil"/>
          <w:right w:val="nil"/>
          <w:tl2br w:val="nil"/>
          <w:tr2bl w:val="nil"/>
        </w:tcBorders>
      </w:tcPr>
    </w:tblStylePr>
    <w:tblStylePr w:type="seCell">
      <w:tblPr/>
      <w:tcPr>
        <w:tcBorders>
          <w:top w:val="nil"/>
          <w:left w:val="nil"/>
          <w:tl2br w:val="nil"/>
          <w:tr2bl w:val="nil"/>
        </w:tcBorders>
      </w:tcPr>
    </w:tblStylePr>
    <w:tblStylePr w:type="swCell">
      <w:rPr>
        <w:color w:val="000080"/>
      </w:rPr>
      <w:tblPr/>
      <w:tcPr>
        <w:tcBorders>
          <w:top w:val="nil"/>
          <w:right w:val="nil"/>
          <w:tl2br w:val="nil"/>
          <w:tr2bl w:val="nil"/>
        </w:tcBorders>
      </w:tcPr>
    </w:tblStylePr>
  </w:style>
  <w:style w:type="table" w:styleId="103">
    <w:name w:val="Table 3D effects 2"/>
    <w:basedOn w:val="86"/>
    <w:semiHidden/>
    <w:unhideWhenUsed/>
    <w:qFormat/>
    <w:uiPriority w:val="0"/>
    <w:pPr>
      <w:spacing w:after="200" w:line="480" w:lineRule="auto"/>
    </w:pPr>
    <w:tblPr>
      <w:tblCellMar>
        <w:top w:w="0" w:type="dxa"/>
        <w:left w:w="108" w:type="dxa"/>
        <w:bottom w:w="0" w:type="dxa"/>
        <w:right w:w="108" w:type="dxa"/>
      </w:tblCellMar>
    </w:tblPr>
    <w:tcPr>
      <w:shd w:val="solid" w:color="C0C0C0" w:fill="FFFFFF"/>
    </w:tcPr>
    <w:tblStylePr w:type="firstRow">
      <w:rPr>
        <w:b/>
        <w:bCs/>
      </w:rPr>
      <w:tblPr/>
      <w:tcPr>
        <w:tcBorders>
          <w:tl2br w:val="nil"/>
          <w:tr2bl w:val="nil"/>
        </w:tcBorders>
      </w:tcPr>
    </w:tblStylePr>
    <w:tblStylePr w:type="firstCol">
      <w:tblPr/>
      <w:tcPr>
        <w:tcBorders>
          <w:top w:val="nil"/>
          <w:bottom w:val="nil"/>
          <w:right w:val="single" w:color="808080" w:sz="6" w:space="0"/>
          <w:tl2br w:val="nil"/>
          <w:tr2bl w:val="nil"/>
        </w:tcBorders>
      </w:tcPr>
    </w:tblStylePr>
    <w:tblStylePr w:type="lastCol">
      <w:tblPr/>
      <w:tcPr>
        <w:tcBorders>
          <w:right w:val="single" w:color="FFFFFF" w:sz="6" w:space="0"/>
          <w:tl2br w:val="nil"/>
          <w:tr2bl w:val="nil"/>
        </w:tcBorders>
      </w:tcPr>
    </w:tblStylePr>
    <w:tblStylePr w:type="band1Horz">
      <w:tblPr/>
      <w:tcPr>
        <w:tcBorders>
          <w:top w:val="single" w:color="808080" w:sz="6" w:space="0"/>
          <w:bottom w:val="single" w:color="FFFFFF" w:sz="6" w:space="0"/>
          <w:tl2br w:val="nil"/>
          <w:tr2bl w:val="nil"/>
        </w:tcBorders>
      </w:tcPr>
    </w:tblStylePr>
    <w:tblStylePr w:type="swCell">
      <w:rPr>
        <w:b/>
        <w:bCs/>
      </w:rPr>
      <w:tblPr/>
      <w:tcPr>
        <w:tcBorders>
          <w:tl2br w:val="nil"/>
          <w:tr2bl w:val="nil"/>
        </w:tcBorders>
      </w:tcPr>
    </w:tblStylePr>
  </w:style>
  <w:style w:type="table" w:styleId="104">
    <w:name w:val="Table 3D effects 3"/>
    <w:basedOn w:val="86"/>
    <w:semiHidden/>
    <w:unhideWhenUsed/>
    <w:qFormat/>
    <w:uiPriority w:val="0"/>
    <w:pPr>
      <w:spacing w:after="200" w:line="480" w:lineRule="auto"/>
    </w:pPr>
    <w:tblPr>
      <w:tblCellMar>
        <w:top w:w="0" w:type="dxa"/>
        <w:left w:w="108" w:type="dxa"/>
        <w:bottom w:w="0" w:type="dxa"/>
        <w:right w:w="108" w:type="dxa"/>
      </w:tblCellMar>
    </w:tblPr>
    <w:tblStylePr w:type="firstRow">
      <w:rPr>
        <w:b/>
        <w:bCs/>
      </w:rPr>
      <w:tblPr/>
      <w:tcPr>
        <w:tcBorders>
          <w:tl2br w:val="nil"/>
          <w:tr2bl w:val="nil"/>
        </w:tcBorders>
      </w:tcPr>
    </w:tblStylePr>
    <w:tblStylePr w:type="firstCol">
      <w:tblPr/>
      <w:tcPr>
        <w:tcBorders>
          <w:top w:val="nil"/>
          <w:bottom w:val="nil"/>
          <w:right w:val="single" w:color="808080" w:sz="6" w:space="0"/>
          <w:tl2br w:val="nil"/>
          <w:tr2bl w:val="nil"/>
        </w:tcBorders>
      </w:tcPr>
    </w:tblStylePr>
    <w:tblStylePr w:type="lastCol">
      <w:tblPr/>
      <w:tcPr>
        <w:tcBorders>
          <w:right w:val="single" w:color="FFFFFF" w:sz="6" w:space="0"/>
          <w:tl2br w:val="nil"/>
          <w:tr2bl w:val="nil"/>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color="808080" w:sz="6" w:space="0"/>
          <w:bottom w:val="single" w:color="FFFFFF" w:sz="6" w:space="0"/>
          <w:tl2br w:val="nil"/>
          <w:tr2bl w:val="nil"/>
        </w:tcBorders>
      </w:tcPr>
    </w:tblStylePr>
    <w:tblStylePr w:type="swCell">
      <w:rPr>
        <w:b/>
        <w:bCs/>
      </w:rPr>
      <w:tblPr/>
      <w:tcPr>
        <w:tcBorders>
          <w:tl2br w:val="nil"/>
          <w:tr2bl w:val="nil"/>
        </w:tcBorders>
      </w:tcPr>
    </w:tblStylePr>
  </w:style>
  <w:style w:type="table" w:styleId="105">
    <w:name w:val="Table List 1"/>
    <w:basedOn w:val="86"/>
    <w:semiHidden/>
    <w:unhideWhenUsed/>
    <w:qFormat/>
    <w:uiPriority w:val="0"/>
    <w:pPr>
      <w:spacing w:after="200" w:line="480" w:lineRule="auto"/>
    </w:pPr>
    <w:tblPr>
      <w:tblBorders>
        <w:top w:val="single" w:color="008080" w:sz="12" w:space="0"/>
        <w:left w:val="single" w:color="008080" w:sz="6" w:space="0"/>
        <w:bottom w:val="single" w:color="008080" w:sz="12" w:space="0"/>
        <w:right w:val="single" w:color="008080" w:sz="6" w:space="0"/>
      </w:tblBorders>
      <w:tblCellMar>
        <w:top w:w="0" w:type="dxa"/>
        <w:left w:w="108" w:type="dxa"/>
        <w:bottom w:w="0" w:type="dxa"/>
        <w:right w:w="108" w:type="dxa"/>
      </w:tblCellMar>
    </w:tblPr>
    <w:tblStylePr w:type="firstRow">
      <w:rPr>
        <w:b/>
        <w:bCs/>
        <w:i/>
        <w:iCs/>
        <w:color w:val="800000"/>
      </w:rPr>
      <w:tblPr/>
      <w:tcPr>
        <w:tcBorders>
          <w:bottom w:val="single" w:color="000000" w:sz="6" w:space="0"/>
          <w:tl2br w:val="nil"/>
          <w:tr2bl w:val="nil"/>
        </w:tcBorders>
        <w:shd w:val="solid" w:color="C0C0C0" w:fill="FFFFFF"/>
      </w:tcPr>
    </w:tblStylePr>
    <w:tblStylePr w:type="lastRow">
      <w:tblPr/>
      <w:tcPr>
        <w:tcBorders>
          <w:top w:val="single" w:color="000000" w:sz="6" w:space="0"/>
          <w:tl2br w:val="nil"/>
          <w:tr2bl w:val="nil"/>
        </w:tcBorders>
      </w:tcPr>
    </w:tblStylePr>
    <w:tblStylePr w:type="band1Horz">
      <w:rPr>
        <w:color w:val="auto"/>
      </w:rPr>
      <w:tblPr/>
      <w:tcPr>
        <w:tcBorders>
          <w:tl2br w:val="nil"/>
          <w:tr2bl w:val="nil"/>
        </w:tcBorders>
        <w:shd w:val="solid" w:color="C0C0C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106">
    <w:name w:val="Table List 2"/>
    <w:basedOn w:val="86"/>
    <w:semiHidden/>
    <w:unhideWhenUsed/>
    <w:qFormat/>
    <w:uiPriority w:val="0"/>
    <w:pPr>
      <w:spacing w:after="200" w:line="480" w:lineRule="auto"/>
    </w:pPr>
    <w:tblPr>
      <w:tblBorders>
        <w:bottom w:val="single" w:color="808080" w:sz="12" w:space="0"/>
      </w:tblBorders>
      <w:tblCellMar>
        <w:top w:w="0" w:type="dxa"/>
        <w:left w:w="108" w:type="dxa"/>
        <w:bottom w:w="0" w:type="dxa"/>
        <w:right w:w="108" w:type="dxa"/>
      </w:tblCellMar>
    </w:tblPr>
    <w:tblStylePr w:type="firstRow">
      <w:rPr>
        <w:b/>
        <w:bCs/>
        <w:color w:val="FFFFFF"/>
      </w:rPr>
      <w:tblPr/>
      <w:tcPr>
        <w:tcBorders>
          <w:bottom w:val="single" w:color="000000" w:sz="6" w:space="0"/>
          <w:tl2br w:val="nil"/>
          <w:tr2bl w:val="nil"/>
        </w:tcBorders>
        <w:shd w:val="pct75" w:color="008080" w:fill="008000"/>
      </w:tcPr>
    </w:tblStylePr>
    <w:tblStylePr w:type="lastRow">
      <w:tblPr/>
      <w:tcPr>
        <w:tcBorders>
          <w:top w:val="single" w:color="000000" w:sz="6" w:space="0"/>
          <w:tl2br w:val="nil"/>
          <w:tr2bl w:val="nil"/>
        </w:tcBorders>
      </w:tcPr>
    </w:tblStylePr>
    <w:tblStylePr w:type="band1Horz">
      <w:rPr>
        <w:color w:val="auto"/>
      </w:rPr>
      <w:tblPr/>
      <w:tcPr>
        <w:tcBorders>
          <w:tl2br w:val="nil"/>
          <w:tr2bl w:val="nil"/>
        </w:tcBorders>
        <w:shd w:val="pct20" w:color="00FF0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107">
    <w:name w:val="Table List 3"/>
    <w:basedOn w:val="86"/>
    <w:semiHidden/>
    <w:unhideWhenUsed/>
    <w:qFormat/>
    <w:uiPriority w:val="0"/>
    <w:pPr>
      <w:spacing w:after="200" w:line="480" w:lineRule="auto"/>
    </w:pPr>
    <w:tblPr>
      <w:tblBorders>
        <w:top w:val="single" w:color="000000" w:sz="12" w:space="0"/>
        <w:bottom w:val="single" w:color="000000" w:sz="12" w:space="0"/>
        <w:insideH w:val="single" w:color="000000" w:sz="6" w:space="0"/>
      </w:tblBorders>
      <w:tblCellMar>
        <w:top w:w="0" w:type="dxa"/>
        <w:left w:w="108" w:type="dxa"/>
        <w:bottom w:w="0" w:type="dxa"/>
        <w:right w:w="108" w:type="dxa"/>
      </w:tblCellMar>
    </w:tblPr>
    <w:tcPr>
      <w:shd w:val="clear" w:color="auto" w:fill="auto"/>
    </w:tcPr>
    <w:tblStylePr w:type="firstRow">
      <w:rPr>
        <w:b/>
        <w:bCs/>
        <w:color w:val="000080"/>
      </w:rPr>
      <w:tblPr/>
      <w:tcPr>
        <w:tcBorders>
          <w:bottom w:val="single" w:color="000000" w:sz="12" w:space="0"/>
          <w:tl2br w:val="nil"/>
          <w:tr2bl w:val="nil"/>
        </w:tcBorders>
      </w:tcPr>
    </w:tblStylePr>
    <w:tblStylePr w:type="lastRow">
      <w:tblPr/>
      <w:tcPr>
        <w:tcBorders>
          <w:top w:val="single" w:color="000000" w:sz="12" w:space="0"/>
          <w:tl2br w:val="nil"/>
          <w:tr2bl w:val="nil"/>
        </w:tcBorders>
      </w:tcPr>
    </w:tblStylePr>
    <w:tblStylePr w:type="swCell">
      <w:rPr>
        <w:i/>
        <w:iCs/>
        <w:color w:val="000080"/>
      </w:rPr>
      <w:tblPr/>
      <w:tcPr>
        <w:tcBorders>
          <w:tl2br w:val="nil"/>
          <w:tr2bl w:val="nil"/>
        </w:tcBorders>
      </w:tcPr>
    </w:tblStylePr>
  </w:style>
  <w:style w:type="table" w:styleId="108">
    <w:name w:val="Table List 4"/>
    <w:basedOn w:val="86"/>
    <w:semiHidden/>
    <w:unhideWhenUsed/>
    <w:qFormat/>
    <w:uiPriority w:val="0"/>
    <w:pPr>
      <w:spacing w:after="200" w:line="480" w:lineRule="auto"/>
    </w:pPr>
    <w:tblPr>
      <w:tblBorders>
        <w:top w:val="single" w:color="000000" w:sz="12" w:space="0"/>
        <w:left w:val="single" w:color="000000" w:sz="12" w:space="0"/>
        <w:bottom w:val="single" w:color="000000" w:sz="12" w:space="0"/>
        <w:right w:val="single" w:color="000000" w:sz="12" w:space="0"/>
        <w:insideH w:val="single" w:color="000000" w:sz="6" w:space="0"/>
      </w:tblBorders>
      <w:tblCellMar>
        <w:top w:w="0" w:type="dxa"/>
        <w:left w:w="108" w:type="dxa"/>
        <w:bottom w:w="0" w:type="dxa"/>
        <w:right w:w="108" w:type="dxa"/>
      </w:tblCellMar>
    </w:tblPr>
    <w:tcPr>
      <w:shd w:val="clear" w:color="auto" w:fill="auto"/>
    </w:tcPr>
    <w:tblStylePr w:type="firstRow">
      <w:rPr>
        <w:b/>
        <w:bCs/>
        <w:color w:val="FFFFFF"/>
      </w:rPr>
      <w:tblPr/>
      <w:tcPr>
        <w:tcBorders>
          <w:bottom w:val="single" w:color="000000" w:sz="12" w:space="0"/>
          <w:tl2br w:val="nil"/>
          <w:tr2bl w:val="nil"/>
        </w:tcBorders>
        <w:shd w:val="solid" w:color="808080" w:fill="FFFFFF"/>
      </w:tcPr>
    </w:tblStylePr>
  </w:style>
  <w:style w:type="table" w:styleId="109">
    <w:name w:val="Table List 5"/>
    <w:basedOn w:val="86"/>
    <w:semiHidden/>
    <w:unhideWhenUsed/>
    <w:qFormat/>
    <w:uiPriority w:val="0"/>
    <w:pPr>
      <w:spacing w:after="200" w:line="480" w:lineRule="auto"/>
    </w:pPr>
    <w:tblPr>
      <w:tblBorders>
        <w:top w:val="single" w:color="000000" w:sz="6" w:space="0"/>
        <w:left w:val="single" w:color="000000" w:sz="6" w:space="0"/>
        <w:bottom w:val="single" w:color="000000" w:sz="6" w:space="0"/>
        <w:right w:val="single" w:color="000000" w:sz="6" w:space="0"/>
        <w:insideH w:val="single" w:color="000000" w:sz="6" w:space="0"/>
      </w:tblBorders>
      <w:tblCellMar>
        <w:top w:w="0" w:type="dxa"/>
        <w:left w:w="108" w:type="dxa"/>
        <w:bottom w:w="0" w:type="dxa"/>
        <w:right w:w="108" w:type="dxa"/>
      </w:tblCellMar>
    </w:tblPr>
    <w:tcPr>
      <w:shd w:val="clear" w:color="auto" w:fill="auto"/>
    </w:tcPr>
    <w:tblStylePr w:type="firstRow">
      <w:rPr>
        <w:b/>
        <w:bCs/>
      </w:rPr>
      <w:tblPr/>
      <w:tcPr>
        <w:tcBorders>
          <w:bottom w:val="single" w:color="000000" w:sz="12" w:space="0"/>
          <w:tl2br w:val="nil"/>
          <w:tr2bl w:val="nil"/>
        </w:tcBorders>
      </w:tcPr>
    </w:tblStylePr>
    <w:tblStylePr w:type="firstCol">
      <w:rPr>
        <w:b/>
        <w:bCs/>
      </w:rPr>
      <w:tblPr/>
      <w:tcPr>
        <w:tcBorders>
          <w:tl2br w:val="nil"/>
          <w:tr2bl w:val="nil"/>
        </w:tcBorders>
      </w:tcPr>
    </w:tblStylePr>
  </w:style>
  <w:style w:type="table" w:styleId="110">
    <w:name w:val="Table List 6"/>
    <w:basedOn w:val="86"/>
    <w:semiHidden/>
    <w:unhideWhenUsed/>
    <w:qFormat/>
    <w:uiPriority w:val="0"/>
    <w:pPr>
      <w:spacing w:after="200" w:line="480" w:lineRule="auto"/>
    </w:pPr>
    <w:tblPr>
      <w:tblBorders>
        <w:top w:val="single" w:color="000000" w:sz="6" w:space="0"/>
        <w:left w:val="single" w:color="000000" w:sz="6" w:space="0"/>
        <w:bottom w:val="single" w:color="000000" w:sz="6" w:space="0"/>
        <w:right w:val="single" w:color="000000" w:sz="6" w:space="0"/>
      </w:tblBorders>
      <w:tblCellMar>
        <w:top w:w="0" w:type="dxa"/>
        <w:left w:w="108" w:type="dxa"/>
        <w:bottom w:w="0" w:type="dxa"/>
        <w:right w:w="108" w:type="dxa"/>
      </w:tblCellMar>
    </w:tblPr>
    <w:tcPr>
      <w:shd w:val="pct50" w:color="000000" w:fill="FFFFFF"/>
    </w:tcPr>
    <w:tblStylePr w:type="firstRow">
      <w:rPr>
        <w:b/>
        <w:bCs/>
      </w:rPr>
      <w:tblPr/>
      <w:tcPr>
        <w:tcBorders>
          <w:bottom w:val="single" w:color="000000" w:sz="12" w:space="0"/>
          <w:tl2br w:val="nil"/>
          <w:tr2bl w:val="nil"/>
        </w:tcBorders>
      </w:tcPr>
    </w:tblStylePr>
    <w:tblStylePr w:type="firstCol">
      <w:rPr>
        <w:b/>
        <w:bCs/>
      </w:rPr>
      <w:tblPr/>
      <w:tcPr>
        <w:tcBorders>
          <w:right w:val="single" w:color="000000" w:sz="12" w:space="0"/>
          <w:tl2br w:val="nil"/>
          <w:tr2bl w:val="nil"/>
        </w:tcBorders>
      </w:tcPr>
    </w:tblStylePr>
    <w:tblStylePr w:type="band1Horz">
      <w:tblPr/>
      <w:tcPr>
        <w:tcBorders>
          <w:tl2br w:val="nil"/>
          <w:tr2bl w:val="nil"/>
        </w:tcBorders>
        <w:shd w:val="pct25" w:color="000000" w:fill="FFFFFF"/>
      </w:tcPr>
    </w:tblStylePr>
    <w:tblStylePr w:type="nwCell">
      <w:tblPr/>
      <w:tcPr>
        <w:tcBorders>
          <w:tl2br w:val="single" w:color="000000" w:sz="6" w:space="0"/>
          <w:tr2bl w:val="nil"/>
        </w:tcBorders>
      </w:tcPr>
    </w:tblStylePr>
  </w:style>
  <w:style w:type="table" w:styleId="111">
    <w:name w:val="Table List 7"/>
    <w:basedOn w:val="86"/>
    <w:semiHidden/>
    <w:unhideWhenUsed/>
    <w:qFormat/>
    <w:uiPriority w:val="0"/>
    <w:pPr>
      <w:spacing w:after="200" w:line="480" w:lineRule="auto"/>
    </w:pPr>
    <w:tblPr>
      <w:tblBorders>
        <w:top w:val="single" w:color="008000" w:sz="12" w:space="0"/>
        <w:left w:val="single" w:color="008000" w:sz="6" w:space="0"/>
        <w:bottom w:val="single" w:color="008000" w:sz="12" w:space="0"/>
        <w:right w:val="single" w:color="008000" w:sz="6" w:space="0"/>
        <w:insideH w:val="single" w:color="000000" w:sz="6" w:space="0"/>
      </w:tblBorders>
      <w:tblCellMar>
        <w:top w:w="0" w:type="dxa"/>
        <w:left w:w="108" w:type="dxa"/>
        <w:bottom w:w="0" w:type="dxa"/>
        <w:right w:w="108" w:type="dxa"/>
      </w:tblCellMar>
    </w:tblPr>
    <w:tblStylePr w:type="firstRow">
      <w:rPr>
        <w:b/>
        <w:bCs/>
      </w:rPr>
      <w:tblPr/>
      <w:tcPr>
        <w:tcBorders>
          <w:bottom w:val="single" w:color="008000" w:sz="12" w:space="0"/>
          <w:tl2br w:val="nil"/>
          <w:tr2bl w:val="nil"/>
        </w:tcBorders>
        <w:shd w:val="solid" w:color="C0C0C0" w:fill="FFFFFF"/>
      </w:tcPr>
    </w:tblStylePr>
    <w:tblStylePr w:type="lastRow">
      <w:rPr>
        <w:b/>
        <w:bCs/>
      </w:rPr>
      <w:tblPr/>
      <w:tcPr>
        <w:tcBorders>
          <w:top w:val="single" w:color="008000" w:sz="12"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0" w:color="000000" w:fill="FFFFFF"/>
      </w:tcPr>
    </w:tblStylePr>
    <w:tblStylePr w:type="band2Horz">
      <w:tblPr/>
      <w:tcPr>
        <w:tcBorders>
          <w:tl2br w:val="nil"/>
          <w:tr2bl w:val="nil"/>
        </w:tcBorders>
        <w:shd w:val="pct25" w:color="FFFF00" w:fill="FFFFFF"/>
      </w:tcPr>
    </w:tblStylePr>
  </w:style>
  <w:style w:type="table" w:styleId="112">
    <w:name w:val="Table List 8"/>
    <w:basedOn w:val="86"/>
    <w:semiHidden/>
    <w:unhideWhenUsed/>
    <w:qFormat/>
    <w:uiPriority w:val="0"/>
    <w:pPr>
      <w:spacing w:after="200" w:line="480" w:lineRule="auto"/>
    </w:pPr>
    <w:tblPr>
      <w:tblBorders>
        <w:top w:val="single" w:color="000000" w:sz="6" w:space="0"/>
        <w:left w:val="single" w:color="000000" w:sz="6" w:space="0"/>
        <w:bottom w:val="single" w:color="000000" w:sz="6" w:space="0"/>
        <w:right w:val="single" w:color="000000" w:sz="6" w:space="0"/>
        <w:insideV w:val="single" w:color="000000" w:sz="6" w:space="0"/>
      </w:tblBorders>
      <w:tblCellMar>
        <w:top w:w="0" w:type="dxa"/>
        <w:left w:w="108" w:type="dxa"/>
        <w:bottom w:w="0" w:type="dxa"/>
        <w:right w:w="108" w:type="dxa"/>
      </w:tblCellMar>
    </w:tblPr>
    <w:tblStylePr w:type="firstRow">
      <w:rPr>
        <w:b/>
        <w:bCs/>
        <w:i/>
        <w:iCs/>
      </w:rPr>
      <w:tblPr/>
      <w:tcPr>
        <w:tcBorders>
          <w:bottom w:val="single" w:color="000000" w:sz="6" w:space="0"/>
          <w:tl2br w:val="nil"/>
          <w:tr2bl w:val="nil"/>
        </w:tcBorders>
        <w:shd w:val="solid" w:color="FFFF00" w:fill="FFFFFF"/>
      </w:tcPr>
    </w:tblStylePr>
    <w:tblStylePr w:type="lastRow">
      <w:rPr>
        <w:b/>
        <w:bCs/>
      </w:rPr>
      <w:tblPr/>
      <w:tcPr>
        <w:tcBorders>
          <w:top w:val="single" w:color="000000" w:sz="6"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5" w:color="FFFF00" w:fill="FFFFFF"/>
      </w:tcPr>
    </w:tblStylePr>
    <w:tblStylePr w:type="band2Horz">
      <w:tblPr/>
      <w:tcPr>
        <w:tcBorders>
          <w:tl2br w:val="nil"/>
          <w:tr2bl w:val="nil"/>
        </w:tcBorders>
        <w:shd w:val="pct50" w:color="FF0000" w:fill="FFFFFF"/>
      </w:tcPr>
    </w:tblStylePr>
    <w:tblStylePr w:type="nwCell">
      <w:tblPr/>
      <w:tcPr>
        <w:tcBorders>
          <w:tl2br w:val="single" w:color="auto" w:sz="6" w:space="0"/>
          <w:tr2bl w:val="nil"/>
        </w:tcBorders>
      </w:tcPr>
    </w:tblStylePr>
  </w:style>
  <w:style w:type="table" w:styleId="113">
    <w:name w:val="Table Contemporary"/>
    <w:basedOn w:val="86"/>
    <w:semiHidden/>
    <w:unhideWhenUsed/>
    <w:qFormat/>
    <w:uiPriority w:val="0"/>
    <w:pPr>
      <w:spacing w:after="200" w:line="480" w:lineRule="auto"/>
    </w:pPr>
    <w:tblPr>
      <w:tblBorders>
        <w:insideH w:val="single" w:color="FFFFFF" w:sz="18" w:space="0"/>
        <w:insideV w:val="single" w:color="FFFFFF" w:sz="18" w:space="0"/>
      </w:tblBorders>
      <w:tblCellMar>
        <w:top w:w="0" w:type="dxa"/>
        <w:left w:w="108" w:type="dxa"/>
        <w:bottom w:w="0" w:type="dxa"/>
        <w:right w:w="108" w:type="dxa"/>
      </w:tblCellMar>
    </w:tblPr>
    <w:tblStylePr w:type="firstRow">
      <w:rPr>
        <w:b/>
        <w:bCs/>
        <w:color w:val="auto"/>
      </w:rPr>
      <w:tblPr/>
      <w:tcPr>
        <w:tcBorders>
          <w:tl2br w:val="nil"/>
          <w:tr2bl w:val="nil"/>
        </w:tcBorders>
        <w:shd w:val="pct20" w:color="000000" w:fill="FFFFFF"/>
      </w:tcPr>
    </w:tblStylePr>
    <w:tblStylePr w:type="band1Horz">
      <w:rPr>
        <w:color w:val="auto"/>
      </w:rPr>
      <w:tblPr/>
      <w:tcPr>
        <w:tcBorders>
          <w:tl2br w:val="nil"/>
          <w:tr2bl w:val="nil"/>
        </w:tcBorders>
        <w:shd w:val="pct5" w:color="000000" w:fill="FFFFFF"/>
      </w:tcPr>
    </w:tblStylePr>
    <w:tblStylePr w:type="band2Horz">
      <w:rPr>
        <w:color w:val="auto"/>
      </w:rPr>
      <w:tblPr/>
      <w:tcPr>
        <w:tcBorders>
          <w:tl2br w:val="nil"/>
          <w:tr2bl w:val="nil"/>
        </w:tcBorders>
        <w:shd w:val="pct20" w:color="000000" w:fill="FFFFFF"/>
      </w:tcPr>
    </w:tblStylePr>
  </w:style>
  <w:style w:type="table" w:styleId="114">
    <w:name w:val="Table Columns 1"/>
    <w:basedOn w:val="86"/>
    <w:semiHidden/>
    <w:unhideWhenUsed/>
    <w:qFormat/>
    <w:uiPriority w:val="0"/>
    <w:pPr>
      <w:spacing w:after="200" w:line="480" w:lineRule="auto"/>
    </w:pPr>
    <w:rPr>
      <w:b/>
      <w:bCs/>
    </w:rPr>
    <w:tblPr>
      <w:tblBorders>
        <w:top w:val="single" w:color="000000" w:sz="12" w:space="0"/>
        <w:left w:val="single" w:color="000000" w:sz="12" w:space="0"/>
        <w:bottom w:val="single" w:color="000000" w:sz="12" w:space="0"/>
        <w:right w:val="single" w:color="000000" w:sz="12" w:space="0"/>
      </w:tblBorders>
      <w:tblCellMar>
        <w:top w:w="0" w:type="dxa"/>
        <w:left w:w="108" w:type="dxa"/>
        <w:bottom w:w="0" w:type="dxa"/>
        <w:right w:w="108" w:type="dxa"/>
      </w:tblCellMar>
    </w:tblPr>
    <w:tblStylePr w:type="firstRow">
      <w:rPr>
        <w:b w:val="0"/>
        <w:bCs w:val="0"/>
      </w:rPr>
      <w:tblPr/>
      <w:tcPr>
        <w:tcBorders>
          <w:bottom w:val="double" w:color="000000" w:sz="6" w:space="0"/>
          <w:tl2br w:val="nil"/>
          <w:tr2bl w:val="nil"/>
        </w:tcBorders>
      </w:tcPr>
    </w:tblStylePr>
    <w:tblStylePr w:type="lastRow">
      <w:rPr>
        <w:b w:val="0"/>
        <w:bCs w:val="0"/>
      </w:rPr>
      <w:tblPr/>
      <w:tcPr>
        <w:tcBorders>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15">
    <w:name w:val="Table Columns 2"/>
    <w:basedOn w:val="86"/>
    <w:semiHidden/>
    <w:unhideWhenUsed/>
    <w:qFormat/>
    <w:uiPriority w:val="0"/>
    <w:pPr>
      <w:spacing w:after="200" w:line="480" w:lineRule="auto"/>
    </w:pPr>
    <w:rPr>
      <w:b/>
      <w:bCs/>
    </w:rPr>
    <w:tblPr>
      <w:tblCellMar>
        <w:top w:w="0" w:type="dxa"/>
        <w:left w:w="108" w:type="dxa"/>
        <w:bottom w:w="0" w:type="dxa"/>
        <w:right w:w="108" w:type="dxa"/>
      </w:tblCellMar>
    </w:tblPr>
    <w:tblStylePr w:type="firstRow">
      <w:rPr>
        <w:color w:val="FFFFFF"/>
      </w:rPr>
      <w:tblPr/>
      <w:tcPr>
        <w:tcBorders>
          <w:tl2br w:val="nil"/>
          <w:tr2bl w:val="nil"/>
        </w:tcBorders>
        <w:shd w:val="solid" w:color="000080" w:fill="FFFFFF"/>
      </w:tcPr>
    </w:tblStylePr>
    <w:tblStylePr w:type="lastRow">
      <w:rPr>
        <w:b w:val="0"/>
        <w:bCs w:val="0"/>
      </w:rPr>
      <w:tblPr/>
      <w:tcPr>
        <w:tcBorders>
          <w:tl2br w:val="nil"/>
          <w:tr2bl w:val="nil"/>
        </w:tcBorders>
      </w:tcPr>
    </w:tblStylePr>
    <w:tblStylePr w:type="firstCol">
      <w:rPr>
        <w:b w:val="0"/>
        <w:bCs w:val="0"/>
        <w:color w:val="00000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16">
    <w:name w:val="Table Columns 3"/>
    <w:basedOn w:val="86"/>
    <w:semiHidden/>
    <w:unhideWhenUsed/>
    <w:qFormat/>
    <w:uiPriority w:val="0"/>
    <w:pPr>
      <w:spacing w:after="200" w:line="480" w:lineRule="auto"/>
    </w:pPr>
    <w:rPr>
      <w:b/>
      <w:bCs/>
    </w:rPr>
    <w:tblPr>
      <w:tblBorders>
        <w:top w:val="single" w:color="000080" w:sz="6" w:space="0"/>
        <w:left w:val="single" w:color="000080" w:sz="6" w:space="0"/>
        <w:bottom w:val="single" w:color="000080" w:sz="6" w:space="0"/>
        <w:right w:val="single" w:color="000080" w:sz="6" w:space="0"/>
        <w:insideV w:val="single" w:color="000080" w:sz="6" w:space="0"/>
      </w:tblBorders>
      <w:tblCellMar>
        <w:top w:w="0" w:type="dxa"/>
        <w:left w:w="108" w:type="dxa"/>
        <w:bottom w:w="0" w:type="dxa"/>
        <w:right w:w="108" w:type="dxa"/>
      </w:tblCellMar>
    </w:tblPr>
    <w:tblStylePr w:type="firstRow">
      <w:rPr>
        <w:color w:val="FFFFFF"/>
      </w:rPr>
      <w:tblPr/>
      <w:tcPr>
        <w:tcBorders>
          <w:tl2br w:val="nil"/>
          <w:tr2bl w:val="nil"/>
        </w:tcBorders>
        <w:shd w:val="solid" w:color="000080" w:fill="FFFFFF"/>
      </w:tcPr>
    </w:tblStylePr>
    <w:tblStylePr w:type="lastRow">
      <w:rPr>
        <w:b w:val="0"/>
        <w:bCs w:val="0"/>
      </w:rPr>
      <w:tblPr/>
      <w:tcPr>
        <w:tcBorders>
          <w:top w:val="single" w:color="000080" w:sz="6" w:space="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il"/>
          <w:tr2bl w:val="nil"/>
        </w:tcBorders>
      </w:tcPr>
    </w:tblStylePr>
  </w:style>
  <w:style w:type="table" w:styleId="117">
    <w:name w:val="Table Columns 4"/>
    <w:basedOn w:val="86"/>
    <w:semiHidden/>
    <w:unhideWhenUsed/>
    <w:qFormat/>
    <w:uiPriority w:val="0"/>
    <w:pPr>
      <w:spacing w:after="200" w:line="480" w:lineRule="auto"/>
    </w:pPr>
    <w:tblPr>
      <w:tblCellMar>
        <w:top w:w="0" w:type="dxa"/>
        <w:left w:w="108" w:type="dxa"/>
        <w:bottom w:w="0" w:type="dxa"/>
        <w:right w:w="108" w:type="dxa"/>
      </w:tblCellMar>
    </w:tblPr>
    <w:tblStylePr w:type="firstRow">
      <w:rPr>
        <w:color w:val="FFFFFF"/>
      </w:rPr>
      <w:tblPr/>
      <w:tcPr>
        <w:tcBorders>
          <w:tl2br w:val="nil"/>
          <w:tr2bl w:val="nil"/>
        </w:tcBorders>
        <w:shd w:val="solid" w:color="0000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118">
    <w:name w:val="Table Columns 5"/>
    <w:basedOn w:val="86"/>
    <w:semiHidden/>
    <w:unhideWhenUsed/>
    <w:qFormat/>
    <w:uiPriority w:val="0"/>
    <w:pPr>
      <w:spacing w:after="200" w:line="480" w:lineRule="auto"/>
    </w:pPr>
    <w:tblPr>
      <w:tblBorders>
        <w:top w:val="single" w:color="808080" w:sz="12" w:space="0"/>
        <w:left w:val="single" w:color="808080" w:sz="12" w:space="0"/>
        <w:bottom w:val="single" w:color="808080" w:sz="12" w:space="0"/>
        <w:right w:val="single" w:color="808080" w:sz="12" w:space="0"/>
        <w:insideV w:val="single" w:color="C0C0C0" w:sz="6" w:space="0"/>
      </w:tblBorders>
      <w:tblCellMar>
        <w:top w:w="0" w:type="dxa"/>
        <w:left w:w="108" w:type="dxa"/>
        <w:bottom w:w="0" w:type="dxa"/>
        <w:right w:w="108" w:type="dxa"/>
      </w:tblCellMar>
    </w:tblPr>
    <w:tblStylePr w:type="firstRow">
      <w:rPr>
        <w:b/>
        <w:bCs/>
        <w:i/>
        <w:iCs/>
      </w:rPr>
      <w:tblPr/>
      <w:tcPr>
        <w:tcBorders>
          <w:bottom w:val="single" w:color="808080" w:sz="6" w:space="0"/>
          <w:tl2br w:val="nil"/>
          <w:tr2bl w:val="nil"/>
        </w:tcBorders>
      </w:tcPr>
    </w:tblStylePr>
    <w:tblStylePr w:type="lastRow">
      <w:rPr>
        <w:b/>
        <w:bCs/>
      </w:rPr>
      <w:tblPr/>
      <w:tcPr>
        <w:tcBorders>
          <w:top w:val="single" w:color="808080" w:sz="6"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solid" w:color="C0C0C0" w:fill="FFFFFF"/>
      </w:tcPr>
    </w:tblStylePr>
    <w:tblStylePr w:type="band2Vert">
      <w:rPr>
        <w:color w:val="auto"/>
      </w:rPr>
    </w:tblStylePr>
  </w:style>
  <w:style w:type="table" w:styleId="119">
    <w:name w:val="Table Grid 1"/>
    <w:basedOn w:val="86"/>
    <w:semiHidden/>
    <w:unhideWhenUsed/>
    <w:qFormat/>
    <w:uiPriority w:val="0"/>
    <w:pPr>
      <w:spacing w:after="200" w:line="480" w:lineRule="auto"/>
    </w:pPr>
    <w:tblP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
    <w:tcPr>
      <w:shd w:val="clear" w:color="auto" w:fill="auto"/>
    </w:tcPr>
    <w:tblStylePr w:type="lastRow">
      <w:rPr>
        <w:i/>
        <w:iCs/>
      </w:rPr>
      <w:tblPr/>
      <w:tcPr>
        <w:tcBorders>
          <w:tl2br w:val="nil"/>
          <w:tr2bl w:val="nil"/>
        </w:tcBorders>
      </w:tcPr>
    </w:tblStylePr>
    <w:tblStylePr w:type="lastCol">
      <w:rPr>
        <w:i/>
        <w:iCs/>
      </w:rPr>
      <w:tblPr/>
      <w:tcPr>
        <w:tcBorders>
          <w:tl2br w:val="nil"/>
          <w:tr2bl w:val="nil"/>
        </w:tcBorders>
      </w:tcPr>
    </w:tblStylePr>
    <w:tblStylePr w:type="nwCell">
      <w:tblPr/>
      <w:tcPr>
        <w:tcBorders>
          <w:tl2br w:val="single" w:color="000000" w:sz="6" w:space="0"/>
          <w:tr2bl w:val="nil"/>
        </w:tcBorders>
      </w:tcPr>
    </w:tblStylePr>
  </w:style>
  <w:style w:type="table" w:styleId="120">
    <w:name w:val="Table Grid 2"/>
    <w:basedOn w:val="86"/>
    <w:semiHidden/>
    <w:unhideWhenUsed/>
    <w:qFormat/>
    <w:uiPriority w:val="0"/>
    <w:pPr>
      <w:spacing w:after="200" w:line="480" w:lineRule="auto"/>
    </w:pPr>
    <w:tblPr>
      <w:tblBorders>
        <w:insideH w:val="single" w:color="000000" w:sz="6" w:space="0"/>
        <w:insideV w:val="single" w:color="000000" w:sz="6" w:space="0"/>
      </w:tblBorders>
      <w:tblCellMar>
        <w:top w:w="0" w:type="dxa"/>
        <w:left w:w="108" w:type="dxa"/>
        <w:bottom w:w="0" w:type="dxa"/>
        <w:right w:w="108" w:type="dxa"/>
      </w:tblCellMar>
    </w:tblPr>
    <w:tcPr>
      <w:shd w:val="clear" w:color="auto" w:fill="auto"/>
    </w:tcPr>
    <w:tblStylePr w:type="firstRow">
      <w:rPr>
        <w:b/>
        <w:bCs/>
      </w:rPr>
      <w:tblPr/>
      <w:tcPr>
        <w:tcBorders>
          <w:tl2br w:val="nil"/>
          <w:tr2bl w:val="nil"/>
        </w:tcBorders>
      </w:tcPr>
    </w:tblStylePr>
    <w:tblStylePr w:type="lastRow">
      <w:rPr>
        <w:b/>
        <w:bCs/>
      </w:rPr>
      <w:tblPr/>
      <w:tcPr>
        <w:tcBorders>
          <w:top w:val="single" w:color="000000" w:sz="6"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style>
  <w:style w:type="table" w:styleId="121">
    <w:name w:val="Table Grid 3"/>
    <w:basedOn w:val="86"/>
    <w:semiHidden/>
    <w:unhideWhenUsed/>
    <w:qFormat/>
    <w:uiPriority w:val="0"/>
    <w:pPr>
      <w:spacing w:after="200" w:line="480" w:lineRule="auto"/>
    </w:pPr>
    <w:tblPr>
      <w:tblBorders>
        <w:top w:val="single" w:color="000000" w:sz="6" w:space="0"/>
        <w:left w:val="single" w:color="000000" w:sz="12" w:space="0"/>
        <w:bottom w:val="single" w:color="000000" w:sz="6" w:space="0"/>
        <w:right w:val="single" w:color="000000" w:sz="12" w:space="0"/>
        <w:insideV w:val="single" w:color="000000" w:sz="6" w:space="0"/>
      </w:tblBorders>
      <w:tblCellMar>
        <w:top w:w="0" w:type="dxa"/>
        <w:left w:w="108" w:type="dxa"/>
        <w:bottom w:w="0" w:type="dxa"/>
        <w:right w:w="108" w:type="dxa"/>
      </w:tblCellMar>
    </w:tblPr>
    <w:tcPr>
      <w:shd w:val="clear" w:color="auto" w:fill="auto"/>
    </w:tcPr>
    <w:tblStylePr w:type="firstRow">
      <w:tblPr/>
      <w:tcPr>
        <w:tcBorders>
          <w:bottom w:val="single" w:color="000000" w:sz="6" w:space="0"/>
          <w:tl2br w:val="nil"/>
          <w:tr2bl w:val="nil"/>
        </w:tcBorders>
        <w:shd w:val="pct30" w:color="FFFF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color="000000" w:sz="6" w:space="0"/>
          <w:tr2bl w:val="nil"/>
        </w:tcBorders>
      </w:tcPr>
    </w:tblStylePr>
  </w:style>
  <w:style w:type="table" w:styleId="122">
    <w:name w:val="Table Grid 4"/>
    <w:basedOn w:val="86"/>
    <w:semiHidden/>
    <w:unhideWhenUsed/>
    <w:qFormat/>
    <w:uiPriority w:val="0"/>
    <w:pPr>
      <w:spacing w:after="200" w:line="480" w:lineRule="auto"/>
    </w:pPr>
    <w:tblPr>
      <w:tblBorders>
        <w:left w:val="single" w:color="000000" w:sz="12" w:space="0"/>
        <w:right w:val="single" w:color="000000" w:sz="12" w:space="0"/>
        <w:insideH w:val="single" w:color="000000" w:sz="6" w:space="0"/>
        <w:insideV w:val="single" w:color="000000" w:sz="6" w:space="0"/>
      </w:tblBorders>
      <w:tblCellMar>
        <w:top w:w="0" w:type="dxa"/>
        <w:left w:w="108" w:type="dxa"/>
        <w:bottom w:w="0" w:type="dxa"/>
        <w:right w:w="108" w:type="dxa"/>
      </w:tblCellMar>
    </w:tblPr>
    <w:tcPr>
      <w:shd w:val="clear" w:color="auto" w:fill="auto"/>
    </w:tcPr>
    <w:tblStylePr w:type="firstRow">
      <w:rPr>
        <w:color w:val="auto"/>
      </w:rPr>
      <w:tblPr/>
      <w:tcPr>
        <w:tcBorders>
          <w:bottom w:val="single" w:color="000000" w:sz="6" w:space="0"/>
          <w:tl2br w:val="nil"/>
          <w:tr2bl w:val="nil"/>
        </w:tcBorders>
        <w:shd w:val="pct30" w:color="FFFF00" w:fill="FFFFFF"/>
      </w:tcPr>
    </w:tblStylePr>
    <w:tblStylePr w:type="lastRow">
      <w:rPr>
        <w:b/>
        <w:bCs/>
        <w:color w:val="auto"/>
      </w:rPr>
      <w:tblPr/>
      <w:tcPr>
        <w:tcBorders>
          <w:top w:val="single" w:color="000000" w:sz="6" w:space="0"/>
          <w:tl2br w:val="nil"/>
          <w:tr2bl w:val="nil"/>
        </w:tcBorders>
        <w:shd w:val="pct30" w:color="FFFF00" w:fill="FFFFFF"/>
      </w:tcPr>
    </w:tblStylePr>
    <w:tblStylePr w:type="lastCol">
      <w:rPr>
        <w:b/>
        <w:bCs/>
        <w:color w:val="auto"/>
      </w:rPr>
      <w:tblPr/>
      <w:tcPr>
        <w:tcBorders>
          <w:tl2br w:val="nil"/>
          <w:tr2bl w:val="nil"/>
        </w:tcBorders>
      </w:tcPr>
    </w:tblStylePr>
  </w:style>
  <w:style w:type="table" w:styleId="123">
    <w:name w:val="Table Grid 5"/>
    <w:basedOn w:val="86"/>
    <w:semiHidden/>
    <w:unhideWhenUsed/>
    <w:qFormat/>
    <w:uiPriority w:val="0"/>
    <w:pPr>
      <w:spacing w:after="200" w:line="480" w:lineRule="auto"/>
    </w:pPr>
    <w:tblPr>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108" w:type="dxa"/>
        <w:bottom w:w="0" w:type="dxa"/>
        <w:right w:w="108" w:type="dxa"/>
      </w:tblCellMar>
    </w:tblPr>
    <w:tcPr>
      <w:shd w:val="clear" w:color="auto" w:fill="auto"/>
    </w:tcPr>
    <w:tblStylePr w:type="firstRow">
      <w:tblPr/>
      <w:tcPr>
        <w:tcBorders>
          <w:bottom w:val="single" w:color="000000" w:sz="12" w:space="0"/>
          <w:tl2br w:val="nil"/>
          <w:tr2bl w:val="nil"/>
        </w:tcBorders>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color="000000" w:sz="6" w:space="0"/>
          <w:tr2bl w:val="nil"/>
        </w:tcBorders>
      </w:tcPr>
    </w:tblStylePr>
  </w:style>
  <w:style w:type="table" w:styleId="124">
    <w:name w:val="Table Grid 6"/>
    <w:basedOn w:val="86"/>
    <w:semiHidden/>
    <w:unhideWhenUsed/>
    <w:qFormat/>
    <w:uiPriority w:val="0"/>
    <w:pPr>
      <w:spacing w:after="200" w:line="480" w:lineRule="auto"/>
    </w:pPr>
    <w:tblPr>
      <w:tblBorders>
        <w:top w:val="single" w:color="000000" w:sz="12" w:space="0"/>
        <w:left w:val="single" w:color="000000" w:sz="12" w:space="0"/>
        <w:bottom w:val="single" w:color="000000" w:sz="12" w:space="0"/>
        <w:right w:val="single" w:color="000000" w:sz="12" w:space="0"/>
        <w:insideV w:val="single" w:color="000000" w:sz="6" w:space="0"/>
      </w:tblBorders>
      <w:tblCellMar>
        <w:top w:w="0" w:type="dxa"/>
        <w:left w:w="108" w:type="dxa"/>
        <w:bottom w:w="0" w:type="dxa"/>
        <w:right w:w="108" w:type="dxa"/>
      </w:tblCellMar>
    </w:tblPr>
    <w:tcPr>
      <w:shd w:val="clear" w:color="auto" w:fill="auto"/>
    </w:tcPr>
    <w:tblStylePr w:type="firstRow">
      <w:rPr>
        <w:b/>
        <w:bCs/>
      </w:rPr>
      <w:tblPr/>
      <w:tcPr>
        <w:tcBorders>
          <w:bottom w:val="single" w:color="000000" w:sz="6" w:space="0"/>
          <w:tl2br w:val="nil"/>
          <w:tr2bl w:val="nil"/>
        </w:tcBorders>
      </w:tcPr>
    </w:tblStylePr>
    <w:tblStylePr w:type="lastRow">
      <w:rPr>
        <w:color w:val="auto"/>
      </w:rPr>
      <w:tblPr/>
      <w:tcPr>
        <w:tcBorders>
          <w:top w:val="single" w:color="000000" w:sz="6" w:space="0"/>
          <w:tl2br w:val="nil"/>
          <w:tr2bl w:val="nil"/>
        </w:tcBorders>
      </w:tcPr>
    </w:tblStylePr>
    <w:tblStylePr w:type="firstCol">
      <w:rPr>
        <w:b/>
        <w:bCs/>
      </w:rPr>
      <w:tblPr/>
      <w:tcPr>
        <w:tcBorders>
          <w:tl2br w:val="nil"/>
          <w:tr2bl w:val="nil"/>
        </w:tcBorders>
      </w:tcPr>
    </w:tblStylePr>
    <w:tblStylePr w:type="nwCell">
      <w:tblPr/>
      <w:tcPr>
        <w:tcBorders>
          <w:tl2br w:val="single" w:color="000000" w:sz="6" w:space="0"/>
          <w:tr2bl w:val="nil"/>
        </w:tcBorders>
      </w:tcPr>
    </w:tblStylePr>
  </w:style>
  <w:style w:type="table" w:styleId="125">
    <w:name w:val="Table Grid 7"/>
    <w:basedOn w:val="86"/>
    <w:semiHidden/>
    <w:unhideWhenUsed/>
    <w:qFormat/>
    <w:uiPriority w:val="0"/>
    <w:pPr>
      <w:spacing w:after="200" w:line="480" w:lineRule="auto"/>
    </w:pPr>
    <w:rPr>
      <w:b/>
      <w:bCs/>
    </w:rPr>
    <w:tblPr>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108" w:type="dxa"/>
        <w:bottom w:w="0" w:type="dxa"/>
        <w:right w:w="108" w:type="dxa"/>
      </w:tblCellMar>
    </w:tblPr>
    <w:tcPr>
      <w:shd w:val="clear" w:color="auto" w:fill="auto"/>
    </w:tcPr>
    <w:tblStylePr w:type="firstRow">
      <w:rPr>
        <w:b w:val="0"/>
        <w:bCs w:val="0"/>
      </w:rPr>
      <w:tblPr/>
      <w:tcPr>
        <w:tcBorders>
          <w:bottom w:val="single" w:color="000000" w:sz="12" w:space="0"/>
          <w:tl2br w:val="nil"/>
          <w:tr2bl w:val="nil"/>
        </w:tcBorders>
      </w:tcPr>
    </w:tblStylePr>
    <w:tblStylePr w:type="lastRow">
      <w:rPr>
        <w:b w:val="0"/>
        <w:bCs w:val="0"/>
      </w:rPr>
      <w:tblPr/>
      <w:tcPr>
        <w:tcBorders>
          <w:top w:val="single" w:color="000000" w:sz="6" w:space="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nwCell">
      <w:tblPr/>
      <w:tcPr>
        <w:tcBorders>
          <w:tl2br w:val="single" w:color="000000" w:sz="6" w:space="0"/>
          <w:tr2bl w:val="nil"/>
        </w:tcBorders>
      </w:tcPr>
    </w:tblStylePr>
  </w:style>
  <w:style w:type="table" w:styleId="126">
    <w:name w:val="Table Grid 8"/>
    <w:basedOn w:val="86"/>
    <w:semiHidden/>
    <w:unhideWhenUsed/>
    <w:qFormat/>
    <w:uiPriority w:val="0"/>
    <w:pPr>
      <w:spacing w:after="200" w:line="480" w:lineRule="auto"/>
    </w:pPr>
    <w:tblPr>
      <w:tblBorders>
        <w:top w:val="single" w:color="000080" w:sz="6" w:space="0"/>
        <w:left w:val="single" w:color="000080" w:sz="6" w:space="0"/>
        <w:bottom w:val="single" w:color="000080" w:sz="6" w:space="0"/>
        <w:right w:val="single" w:color="000080" w:sz="6" w:space="0"/>
        <w:insideH w:val="single" w:color="000080" w:sz="6" w:space="0"/>
        <w:insideV w:val="single" w:color="000080" w:sz="6" w:space="0"/>
      </w:tblBorders>
      <w:tblCellMar>
        <w:top w:w="0" w:type="dxa"/>
        <w:left w:w="108" w:type="dxa"/>
        <w:bottom w:w="0" w:type="dxa"/>
        <w:right w:w="108" w:type="dxa"/>
      </w:tblCellMar>
    </w:tblPr>
    <w:tcPr>
      <w:shd w:val="clear" w:color="auto" w:fill="auto"/>
    </w:tcPr>
    <w:tblStylePr w:type="firstRow">
      <w:rPr>
        <w:b/>
        <w:bCs/>
        <w:color w:val="FFFFFF"/>
      </w:rPr>
      <w:tblPr/>
      <w:tcPr>
        <w:tcBorders>
          <w:tl2br w:val="nil"/>
          <w:tr2bl w:val="nil"/>
        </w:tcBorders>
        <w:shd w:val="solid" w:color="000080" w:fill="FFFFFF"/>
      </w:tcPr>
    </w:tblStylePr>
    <w:tblStylePr w:type="lastRow">
      <w:rPr>
        <w:b/>
        <w:bCs/>
        <w:color w:val="auto"/>
      </w:rPr>
      <w:tblPr/>
      <w:tcPr>
        <w:tcBorders>
          <w:tl2br w:val="nil"/>
          <w:tr2bl w:val="nil"/>
        </w:tcBorders>
      </w:tcPr>
    </w:tblStylePr>
    <w:tblStylePr w:type="lastCol">
      <w:rPr>
        <w:b/>
        <w:bCs/>
        <w:color w:val="auto"/>
      </w:rPr>
      <w:tblPr/>
      <w:tcPr>
        <w:tcBorders>
          <w:tl2br w:val="nil"/>
          <w:tr2bl w:val="nil"/>
        </w:tcBorders>
      </w:tcPr>
    </w:tblStylePr>
  </w:style>
  <w:style w:type="table" w:styleId="127">
    <w:name w:val="Table Web 1"/>
    <w:basedOn w:val="86"/>
    <w:semiHidden/>
    <w:unhideWhenUsed/>
    <w:qFormat/>
    <w:uiPriority w:val="0"/>
    <w:pPr>
      <w:spacing w:after="200" w:line="480" w:lineRule="auto"/>
    </w:pPr>
    <w:tblPr>
      <w:tblCellSpacing w:w="2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tblCellMar>
        <w:top w:w="0" w:type="dxa"/>
        <w:left w:w="108" w:type="dxa"/>
        <w:bottom w:w="0" w:type="dxa"/>
        <w:right w:w="108" w:type="dxa"/>
      </w:tblCellMar>
    </w:tblPr>
    <w:trPr>
      <w:tblCellSpacing w:w="20" w:type="dxa"/>
    </w:trPr>
    <w:tcPr>
      <w:shd w:val="clear" w:color="auto" w:fill="auto"/>
    </w:tcPr>
    <w:tblStylePr w:type="firstRow">
      <w:rPr>
        <w:color w:val="auto"/>
      </w:rPr>
      <w:tblPr/>
      <w:tcPr>
        <w:tcBorders>
          <w:tl2br w:val="nil"/>
          <w:tr2bl w:val="nil"/>
        </w:tcBorders>
      </w:tcPr>
    </w:tblStylePr>
  </w:style>
  <w:style w:type="table" w:styleId="128">
    <w:name w:val="Table Web 2"/>
    <w:basedOn w:val="86"/>
    <w:semiHidden/>
    <w:unhideWhenUsed/>
    <w:qFormat/>
    <w:uiPriority w:val="0"/>
    <w:pPr>
      <w:spacing w:after="200" w:line="480" w:lineRule="auto"/>
    </w:pPr>
    <w:tblPr>
      <w:tblCellSpacing w:w="20" w:type="dxa"/>
      <w:tblBorders>
        <w:top w:val="inset" w:color="auto" w:sz="6" w:space="0"/>
        <w:left w:val="inset" w:color="auto" w:sz="6" w:space="0"/>
        <w:bottom w:val="inset" w:color="auto" w:sz="6" w:space="0"/>
        <w:right w:val="inset" w:color="auto" w:sz="6" w:space="0"/>
        <w:insideH w:val="inset" w:color="auto" w:sz="6" w:space="0"/>
        <w:insideV w:val="inset" w:color="auto" w:sz="6" w:space="0"/>
      </w:tblBorders>
      <w:tblCellMar>
        <w:top w:w="0" w:type="dxa"/>
        <w:left w:w="108" w:type="dxa"/>
        <w:bottom w:w="0" w:type="dxa"/>
        <w:right w:w="108" w:type="dxa"/>
      </w:tblCellMar>
    </w:tblPr>
    <w:trPr>
      <w:tblCellSpacing w:w="20" w:type="dxa"/>
    </w:trPr>
    <w:tcPr>
      <w:shd w:val="clear" w:color="auto" w:fill="auto"/>
    </w:tcPr>
    <w:tblStylePr w:type="firstRow">
      <w:rPr>
        <w:color w:val="auto"/>
      </w:rPr>
      <w:tblPr/>
      <w:tcPr>
        <w:tcBorders>
          <w:tl2br w:val="nil"/>
          <w:tr2bl w:val="nil"/>
        </w:tcBorders>
      </w:tcPr>
    </w:tblStylePr>
  </w:style>
  <w:style w:type="table" w:styleId="129">
    <w:name w:val="Table Web 3"/>
    <w:basedOn w:val="86"/>
    <w:semiHidden/>
    <w:unhideWhenUsed/>
    <w:qFormat/>
    <w:uiPriority w:val="0"/>
    <w:pPr>
      <w:spacing w:after="200" w:line="480" w:lineRule="auto"/>
    </w:pPr>
    <w:tblPr>
      <w:tblCellSpacing w:w="20" w:type="dxa"/>
      <w:tblBorders>
        <w:top w:val="outset" w:color="auto" w:sz="24" w:space="0"/>
        <w:left w:val="outset" w:color="auto" w:sz="24" w:space="0"/>
        <w:bottom w:val="outset" w:color="auto" w:sz="24" w:space="0"/>
        <w:right w:val="outset" w:color="auto" w:sz="24" w:space="0"/>
        <w:insideH w:val="outset" w:color="auto" w:sz="6" w:space="0"/>
        <w:insideV w:val="outset" w:color="auto" w:sz="6" w:space="0"/>
      </w:tblBorders>
      <w:tblCellMar>
        <w:top w:w="0" w:type="dxa"/>
        <w:left w:w="108" w:type="dxa"/>
        <w:bottom w:w="0" w:type="dxa"/>
        <w:right w:w="108" w:type="dxa"/>
      </w:tblCellMar>
    </w:tblPr>
    <w:trPr>
      <w:tblCellSpacing w:w="20" w:type="dxa"/>
    </w:trPr>
    <w:tcPr>
      <w:shd w:val="clear" w:color="auto" w:fill="auto"/>
    </w:tcPr>
    <w:tblStylePr w:type="firstRow">
      <w:rPr>
        <w:color w:val="auto"/>
      </w:rPr>
      <w:tblPr/>
      <w:tcPr>
        <w:tcBorders>
          <w:tl2br w:val="nil"/>
          <w:tr2bl w:val="nil"/>
        </w:tcBorders>
      </w:tcPr>
    </w:tblStylePr>
  </w:style>
  <w:style w:type="table" w:styleId="130">
    <w:name w:val="Table Professional"/>
    <w:basedOn w:val="86"/>
    <w:semiHidden/>
    <w:unhideWhenUsed/>
    <w:qFormat/>
    <w:uiPriority w:val="0"/>
    <w:pPr>
      <w:spacing w:after="200" w:line="480" w:lineRule="auto"/>
    </w:pPr>
    <w:tblP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
    <w:tcPr>
      <w:shd w:val="clear" w:color="auto" w:fill="auto"/>
    </w:tcPr>
    <w:tblStylePr w:type="firstRow">
      <w:rPr>
        <w:b/>
        <w:bCs/>
        <w:color w:val="auto"/>
      </w:rPr>
      <w:tblPr/>
      <w:tcPr>
        <w:tcBorders>
          <w:tl2br w:val="nil"/>
          <w:tr2bl w:val="nil"/>
        </w:tcBorders>
        <w:shd w:val="solid" w:color="000000" w:fill="FFFFFF"/>
      </w:tcPr>
    </w:tblStylePr>
  </w:style>
  <w:style w:type="table" w:styleId="131">
    <w:name w:val="Light Shading Accent 2"/>
    <w:basedOn w:val="86"/>
    <w:qFormat/>
    <w:uiPriority w:val="60"/>
    <w:rPr>
      <w:color w:val="C55A11" w:themeColor="accent2" w:themeShade="BF"/>
    </w:rPr>
    <w:tblPr>
      <w:tblBorders>
        <w:top w:val="single" w:color="ED7D31" w:themeColor="accent2" w:sz="8" w:space="0"/>
        <w:bottom w:val="single" w:color="ED7D31" w:themeColor="accent2" w:sz="8" w:space="0"/>
      </w:tblBorders>
      <w:tblCellMar>
        <w:top w:w="0" w:type="dxa"/>
        <w:left w:w="108" w:type="dxa"/>
        <w:bottom w:w="0" w:type="dxa"/>
        <w:right w:w="108" w:type="dxa"/>
      </w:tblCellMar>
    </w:tblPr>
    <w:tblStylePr w:type="firstRow">
      <w:pPr>
        <w:spacing w:before="0" w:after="0" w:line="480" w:lineRule="auto"/>
      </w:pPr>
      <w:rPr>
        <w:b/>
        <w:bCs/>
      </w:rPr>
      <w:tblPr/>
      <w:tcPr>
        <w:tcBorders>
          <w:top w:val="single" w:color="ED7D31" w:themeColor="accent2" w:sz="8" w:space="0"/>
          <w:left w:val="nil"/>
          <w:bottom w:val="single" w:color="ED7D31" w:themeColor="accent2" w:sz="8" w:space="0"/>
          <w:right w:val="nil"/>
          <w:insideH w:val="nil"/>
          <w:insideV w:val="nil"/>
        </w:tcBorders>
      </w:tcPr>
    </w:tblStylePr>
    <w:tblStylePr w:type="lastRow">
      <w:pPr>
        <w:spacing w:before="0" w:after="0" w:line="480" w:lineRule="auto"/>
      </w:pPr>
      <w:rPr>
        <w:b/>
        <w:bCs/>
      </w:rPr>
      <w:tblPr/>
      <w:tcPr>
        <w:tcBorders>
          <w:top w:val="single" w:color="ED7D31" w:themeColor="accent2" w:sz="8" w:space="0"/>
          <w:left w:val="nil"/>
          <w:bottom w:val="single" w:color="ED7D31"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ADECC" w:themeFill="accent2" w:themeFillTint="3F"/>
      </w:tcPr>
    </w:tblStylePr>
    <w:tblStylePr w:type="band1Horz">
      <w:tblPr/>
      <w:tcPr>
        <w:tcBorders>
          <w:left w:val="nil"/>
          <w:right w:val="nil"/>
          <w:insideH w:val="nil"/>
          <w:insideV w:val="nil"/>
        </w:tcBorders>
        <w:shd w:val="clear" w:color="auto" w:fill="FADECC" w:themeFill="accent2" w:themeFillTint="3F"/>
      </w:tcPr>
    </w:tblStylePr>
  </w:style>
  <w:style w:type="table" w:styleId="132">
    <w:name w:val="Light Shading Accent 3"/>
    <w:basedOn w:val="86"/>
    <w:qFormat/>
    <w:uiPriority w:val="60"/>
    <w:rPr>
      <w:color w:val="7C7C7C" w:themeColor="accent3" w:themeShade="BF"/>
    </w:rPr>
    <w:tblPr>
      <w:tblBorders>
        <w:top w:val="single" w:color="A5A5A5" w:themeColor="accent3" w:sz="8" w:space="0"/>
        <w:bottom w:val="single" w:color="A5A5A5" w:themeColor="accent3" w:sz="8" w:space="0"/>
      </w:tblBorders>
      <w:tblCellMar>
        <w:top w:w="0" w:type="dxa"/>
        <w:left w:w="108" w:type="dxa"/>
        <w:bottom w:w="0" w:type="dxa"/>
        <w:right w:w="108" w:type="dxa"/>
      </w:tblCellMar>
    </w:tblPr>
    <w:tblStylePr w:type="firstRow">
      <w:pPr>
        <w:spacing w:before="0" w:after="0" w:line="480" w:lineRule="auto"/>
      </w:pPr>
      <w:rPr>
        <w:b/>
        <w:bCs/>
      </w:rPr>
      <w:tblPr/>
      <w:tcPr>
        <w:tcBorders>
          <w:top w:val="single" w:color="A5A5A5" w:themeColor="accent3" w:sz="8" w:space="0"/>
          <w:left w:val="nil"/>
          <w:bottom w:val="single" w:color="A5A5A5" w:themeColor="accent3" w:sz="8" w:space="0"/>
          <w:right w:val="nil"/>
          <w:insideH w:val="nil"/>
          <w:insideV w:val="nil"/>
        </w:tcBorders>
      </w:tcPr>
    </w:tblStylePr>
    <w:tblStylePr w:type="lastRow">
      <w:pPr>
        <w:spacing w:before="0" w:after="0" w:line="480" w:lineRule="auto"/>
      </w:pPr>
      <w:rPr>
        <w:b/>
        <w:bCs/>
      </w:rPr>
      <w:tblPr/>
      <w:tcPr>
        <w:tcBorders>
          <w:top w:val="single" w:color="A5A5A5" w:themeColor="accent3" w:sz="8" w:space="0"/>
          <w:left w:val="nil"/>
          <w:bottom w:val="single" w:color="A5A5A5"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8E8E8" w:themeFill="accent3" w:themeFillTint="3F"/>
      </w:tcPr>
    </w:tblStylePr>
    <w:tblStylePr w:type="band1Horz">
      <w:tblPr/>
      <w:tcPr>
        <w:tcBorders>
          <w:left w:val="nil"/>
          <w:right w:val="nil"/>
          <w:insideH w:val="nil"/>
          <w:insideV w:val="nil"/>
        </w:tcBorders>
        <w:shd w:val="clear" w:color="auto" w:fill="E8E8E8" w:themeFill="accent3" w:themeFillTint="3F"/>
      </w:tcPr>
    </w:tblStylePr>
  </w:style>
  <w:style w:type="table" w:styleId="133">
    <w:name w:val="Light Shading Accent 4"/>
    <w:basedOn w:val="86"/>
    <w:qFormat/>
    <w:uiPriority w:val="60"/>
    <w:rPr>
      <w:color w:val="BF9000" w:themeColor="accent4" w:themeShade="BF"/>
    </w:rPr>
    <w:tblPr>
      <w:tblBorders>
        <w:top w:val="single" w:color="FFC000" w:themeColor="accent4" w:sz="8" w:space="0"/>
        <w:bottom w:val="single" w:color="FFC000" w:themeColor="accent4" w:sz="8" w:space="0"/>
      </w:tblBorders>
      <w:tblCellMar>
        <w:top w:w="0" w:type="dxa"/>
        <w:left w:w="108" w:type="dxa"/>
        <w:bottom w:w="0" w:type="dxa"/>
        <w:right w:w="108" w:type="dxa"/>
      </w:tblCellMar>
    </w:tblPr>
    <w:tblStylePr w:type="firstRow">
      <w:pPr>
        <w:spacing w:before="0" w:after="0" w:line="480" w:lineRule="auto"/>
      </w:pPr>
      <w:rPr>
        <w:b/>
        <w:bCs/>
      </w:rPr>
      <w:tblPr/>
      <w:tcPr>
        <w:tcBorders>
          <w:top w:val="single" w:color="FFC000" w:themeColor="accent4" w:sz="8" w:space="0"/>
          <w:left w:val="nil"/>
          <w:bottom w:val="single" w:color="FFC000" w:themeColor="accent4" w:sz="8" w:space="0"/>
          <w:right w:val="nil"/>
          <w:insideH w:val="nil"/>
          <w:insideV w:val="nil"/>
        </w:tcBorders>
      </w:tcPr>
    </w:tblStylePr>
    <w:tblStylePr w:type="lastRow">
      <w:pPr>
        <w:spacing w:before="0" w:after="0" w:line="480" w:lineRule="auto"/>
      </w:pPr>
      <w:rPr>
        <w:b/>
        <w:bCs/>
      </w:rPr>
      <w:tblPr/>
      <w:tcPr>
        <w:tcBorders>
          <w:top w:val="single" w:color="FFC000" w:themeColor="accent4" w:sz="8" w:space="0"/>
          <w:left w:val="nil"/>
          <w:bottom w:val="single" w:color="FFC000"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FEFBF" w:themeFill="accent4" w:themeFillTint="3F"/>
      </w:tcPr>
    </w:tblStylePr>
    <w:tblStylePr w:type="band1Horz">
      <w:tblPr/>
      <w:tcPr>
        <w:tcBorders>
          <w:left w:val="nil"/>
          <w:right w:val="nil"/>
          <w:insideH w:val="nil"/>
          <w:insideV w:val="nil"/>
        </w:tcBorders>
        <w:shd w:val="clear" w:color="auto" w:fill="FFEFBF" w:themeFill="accent4" w:themeFillTint="3F"/>
      </w:tcPr>
    </w:tblStylePr>
  </w:style>
  <w:style w:type="table" w:styleId="134">
    <w:name w:val="Light Shading Accent 5"/>
    <w:basedOn w:val="86"/>
    <w:qFormat/>
    <w:uiPriority w:val="60"/>
    <w:rPr>
      <w:color w:val="2E75B6" w:themeColor="accent5" w:themeShade="BF"/>
    </w:rPr>
    <w:tblPr>
      <w:tblBorders>
        <w:top w:val="single" w:color="5B9BD5" w:themeColor="accent5" w:sz="8" w:space="0"/>
        <w:bottom w:val="single" w:color="5B9BD5" w:themeColor="accent5" w:sz="8" w:space="0"/>
      </w:tblBorders>
      <w:tblCellMar>
        <w:top w:w="0" w:type="dxa"/>
        <w:left w:w="108" w:type="dxa"/>
        <w:bottom w:w="0" w:type="dxa"/>
        <w:right w:w="108" w:type="dxa"/>
      </w:tblCellMar>
    </w:tblPr>
    <w:tblStylePr w:type="firstRow">
      <w:pPr>
        <w:spacing w:before="0" w:after="0" w:line="480" w:lineRule="auto"/>
      </w:pPr>
      <w:rPr>
        <w:b/>
        <w:bCs/>
      </w:rPr>
      <w:tblPr/>
      <w:tcPr>
        <w:tcBorders>
          <w:top w:val="single" w:color="5B9BD5" w:themeColor="accent5" w:sz="8" w:space="0"/>
          <w:left w:val="nil"/>
          <w:bottom w:val="single" w:color="5B9BD5" w:themeColor="accent5" w:sz="8" w:space="0"/>
          <w:right w:val="nil"/>
          <w:insideH w:val="nil"/>
          <w:insideV w:val="nil"/>
        </w:tcBorders>
      </w:tcPr>
    </w:tblStylePr>
    <w:tblStylePr w:type="lastRow">
      <w:pPr>
        <w:spacing w:before="0" w:after="0" w:line="480" w:lineRule="auto"/>
      </w:pPr>
      <w:rPr>
        <w:b/>
        <w:bCs/>
      </w:rPr>
      <w:tblPr/>
      <w:tcPr>
        <w:tcBorders>
          <w:top w:val="single" w:color="5B9BD5" w:themeColor="accent5" w:sz="8" w:space="0"/>
          <w:left w:val="nil"/>
          <w:bottom w:val="single" w:color="5B9BD5"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hemeFill="accent5" w:themeFillTint="3F"/>
      </w:tcPr>
    </w:tblStylePr>
    <w:tblStylePr w:type="band1Horz">
      <w:tblPr/>
      <w:tcPr>
        <w:tcBorders>
          <w:left w:val="nil"/>
          <w:right w:val="nil"/>
          <w:insideH w:val="nil"/>
          <w:insideV w:val="nil"/>
        </w:tcBorders>
        <w:shd w:val="clear" w:color="auto" w:fill="D6E6F4" w:themeFill="accent5" w:themeFillTint="3F"/>
      </w:tcPr>
    </w:tblStylePr>
  </w:style>
  <w:style w:type="table" w:styleId="135">
    <w:name w:val="Light Shading Accent 6"/>
    <w:basedOn w:val="86"/>
    <w:qFormat/>
    <w:uiPriority w:val="60"/>
    <w:rPr>
      <w:color w:val="548235" w:themeColor="accent6" w:themeShade="BF"/>
    </w:rPr>
    <w:tblPr>
      <w:tblBorders>
        <w:top w:val="single" w:color="70AD47" w:themeColor="accent6" w:sz="8" w:space="0"/>
        <w:bottom w:val="single" w:color="70AD47" w:themeColor="accent6" w:sz="8" w:space="0"/>
      </w:tblBorders>
      <w:tblCellMar>
        <w:top w:w="0" w:type="dxa"/>
        <w:left w:w="108" w:type="dxa"/>
        <w:bottom w:w="0" w:type="dxa"/>
        <w:right w:w="108" w:type="dxa"/>
      </w:tblCellMar>
    </w:tblPr>
    <w:tblStylePr w:type="firstRow">
      <w:pPr>
        <w:spacing w:before="0" w:after="0" w:line="480" w:lineRule="auto"/>
      </w:pPr>
      <w:rPr>
        <w:b/>
        <w:bCs/>
      </w:rPr>
      <w:tblPr/>
      <w:tcPr>
        <w:tcBorders>
          <w:top w:val="single" w:color="70AD47" w:themeColor="accent6" w:sz="8" w:space="0"/>
          <w:left w:val="nil"/>
          <w:bottom w:val="single" w:color="70AD47" w:themeColor="accent6" w:sz="8" w:space="0"/>
          <w:right w:val="nil"/>
          <w:insideH w:val="nil"/>
          <w:insideV w:val="nil"/>
        </w:tcBorders>
      </w:tcPr>
    </w:tblStylePr>
    <w:tblStylePr w:type="lastRow">
      <w:pPr>
        <w:spacing w:before="0" w:after="0" w:line="480" w:lineRule="auto"/>
      </w:pPr>
      <w:rPr>
        <w:b/>
        <w:bCs/>
      </w:rPr>
      <w:tblPr/>
      <w:tcPr>
        <w:tcBorders>
          <w:top w:val="single" w:color="70AD47" w:themeColor="accent6" w:sz="8" w:space="0"/>
          <w:left w:val="nil"/>
          <w:bottom w:val="single" w:color="70AD47"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BEBD0" w:themeFill="accent6" w:themeFillTint="3F"/>
      </w:tcPr>
    </w:tblStylePr>
    <w:tblStylePr w:type="band1Horz">
      <w:tblPr/>
      <w:tcPr>
        <w:tcBorders>
          <w:left w:val="nil"/>
          <w:right w:val="nil"/>
          <w:insideH w:val="nil"/>
          <w:insideV w:val="nil"/>
        </w:tcBorders>
        <w:shd w:val="clear" w:color="auto" w:fill="DBEBD0" w:themeFill="accent6" w:themeFillTint="3F"/>
      </w:tcPr>
    </w:tblStylePr>
  </w:style>
  <w:style w:type="table" w:styleId="136">
    <w:name w:val="Light List Accent 2"/>
    <w:basedOn w:val="86"/>
    <w:qFormat/>
    <w:uiPriority w:val="61"/>
    <w:tblPr>
      <w:tblBorders>
        <w:top w:val="single" w:color="ED7D31" w:themeColor="accent2" w:sz="8" w:space="0"/>
        <w:left w:val="single" w:color="ED7D31" w:themeColor="accent2" w:sz="8" w:space="0"/>
        <w:bottom w:val="single" w:color="ED7D31" w:themeColor="accent2" w:sz="8" w:space="0"/>
        <w:right w:val="single" w:color="ED7D31" w:themeColor="accent2" w:sz="8" w:space="0"/>
      </w:tblBorders>
      <w:tblCellMar>
        <w:top w:w="0" w:type="dxa"/>
        <w:left w:w="108" w:type="dxa"/>
        <w:bottom w:w="0" w:type="dxa"/>
        <w:right w:w="108" w:type="dxa"/>
      </w:tblCellMar>
    </w:tblPr>
    <w:tblStylePr w:type="firstRow">
      <w:pPr>
        <w:spacing w:before="0" w:after="0" w:line="480" w:lineRule="auto"/>
      </w:pPr>
      <w:rPr>
        <w:b/>
        <w:bCs/>
        <w:color w:val="FFFFFF" w:themeColor="background1"/>
        <w14:textFill>
          <w14:solidFill>
            <w14:schemeClr w14:val="bg1"/>
          </w14:solidFill>
        </w14:textFill>
      </w:rPr>
      <w:tblPr/>
      <w:tcPr>
        <w:shd w:val="clear" w:color="auto" w:fill="ED7D31" w:themeFill="accent2"/>
      </w:tcPr>
    </w:tblStylePr>
    <w:tblStylePr w:type="lastRow">
      <w:pPr>
        <w:spacing w:before="0" w:after="0" w:line="480" w:lineRule="auto"/>
      </w:pPr>
      <w:rPr>
        <w:b/>
        <w:bCs/>
      </w:rPr>
      <w:tblPr/>
      <w:tcPr>
        <w:tcBorders>
          <w:top w:val="double" w:color="ED7D31" w:themeColor="accent2" w:sz="6" w:space="0"/>
          <w:left w:val="single" w:color="ED7D31" w:themeColor="accent2" w:sz="8" w:space="0"/>
          <w:bottom w:val="single" w:color="ED7D31" w:themeColor="accent2" w:sz="8" w:space="0"/>
          <w:right w:val="single" w:color="ED7D31" w:themeColor="accent2" w:sz="8" w:space="0"/>
        </w:tcBorders>
      </w:tcPr>
    </w:tblStylePr>
    <w:tblStylePr w:type="firstCol">
      <w:rPr>
        <w:b/>
        <w:bCs/>
      </w:rPr>
    </w:tblStylePr>
    <w:tblStylePr w:type="lastCol">
      <w:rPr>
        <w:b/>
        <w:bCs/>
      </w:rPr>
    </w:tblStylePr>
    <w:tblStylePr w:type="band1Vert">
      <w:tblPr/>
      <w:tcPr>
        <w:tcBorders>
          <w:top w:val="single" w:color="ED7D31" w:themeColor="accent2" w:sz="8" w:space="0"/>
          <w:left w:val="single" w:color="ED7D31" w:themeColor="accent2" w:sz="8" w:space="0"/>
          <w:bottom w:val="single" w:color="ED7D31" w:themeColor="accent2" w:sz="8" w:space="0"/>
          <w:right w:val="single" w:color="ED7D31" w:themeColor="accent2" w:sz="8" w:space="0"/>
        </w:tcBorders>
      </w:tcPr>
    </w:tblStylePr>
    <w:tblStylePr w:type="band1Horz">
      <w:tblPr/>
      <w:tcPr>
        <w:tcBorders>
          <w:top w:val="single" w:color="ED7D31" w:themeColor="accent2" w:sz="8" w:space="0"/>
          <w:left w:val="single" w:color="ED7D31" w:themeColor="accent2" w:sz="8" w:space="0"/>
          <w:bottom w:val="single" w:color="ED7D31" w:themeColor="accent2" w:sz="8" w:space="0"/>
          <w:right w:val="single" w:color="ED7D31" w:themeColor="accent2" w:sz="8" w:space="0"/>
        </w:tcBorders>
      </w:tcPr>
    </w:tblStylePr>
  </w:style>
  <w:style w:type="table" w:styleId="137">
    <w:name w:val="Light List Accent 3"/>
    <w:basedOn w:val="86"/>
    <w:qFormat/>
    <w:uiPriority w:val="61"/>
    <w:tblPr>
      <w:tblBorders>
        <w:top w:val="single" w:color="A5A5A5" w:themeColor="accent3" w:sz="8" w:space="0"/>
        <w:left w:val="single" w:color="A5A5A5" w:themeColor="accent3" w:sz="8" w:space="0"/>
        <w:bottom w:val="single" w:color="A5A5A5" w:themeColor="accent3" w:sz="8" w:space="0"/>
        <w:right w:val="single" w:color="A5A5A5" w:themeColor="accent3" w:sz="8" w:space="0"/>
      </w:tblBorders>
      <w:tblCellMar>
        <w:top w:w="0" w:type="dxa"/>
        <w:left w:w="108" w:type="dxa"/>
        <w:bottom w:w="0" w:type="dxa"/>
        <w:right w:w="108" w:type="dxa"/>
      </w:tblCellMar>
    </w:tblPr>
    <w:tblStylePr w:type="firstRow">
      <w:pPr>
        <w:spacing w:before="0" w:after="0" w:line="480" w:lineRule="auto"/>
      </w:pPr>
      <w:rPr>
        <w:b/>
        <w:bCs/>
        <w:color w:val="FFFFFF" w:themeColor="background1"/>
        <w14:textFill>
          <w14:solidFill>
            <w14:schemeClr w14:val="bg1"/>
          </w14:solidFill>
        </w14:textFill>
      </w:rPr>
      <w:tblPr/>
      <w:tcPr>
        <w:shd w:val="clear" w:color="auto" w:fill="A5A5A5" w:themeFill="accent3"/>
      </w:tcPr>
    </w:tblStylePr>
    <w:tblStylePr w:type="lastRow">
      <w:pPr>
        <w:spacing w:before="0" w:after="0" w:line="480" w:lineRule="auto"/>
      </w:pPr>
      <w:rPr>
        <w:b/>
        <w:bCs/>
      </w:rPr>
      <w:tblPr/>
      <w:tcPr>
        <w:tcBorders>
          <w:top w:val="double" w:color="A5A5A5" w:themeColor="accent3" w:sz="6" w:space="0"/>
          <w:left w:val="single" w:color="A5A5A5" w:themeColor="accent3" w:sz="8" w:space="0"/>
          <w:bottom w:val="single" w:color="A5A5A5" w:themeColor="accent3" w:sz="8" w:space="0"/>
          <w:right w:val="single" w:color="A5A5A5" w:themeColor="accent3" w:sz="8" w:space="0"/>
        </w:tcBorders>
      </w:tcPr>
    </w:tblStylePr>
    <w:tblStylePr w:type="firstCol">
      <w:rPr>
        <w:b/>
        <w:bCs/>
      </w:rPr>
    </w:tblStylePr>
    <w:tblStylePr w:type="lastCol">
      <w:rPr>
        <w:b/>
        <w:bCs/>
      </w:rPr>
    </w:tblStylePr>
    <w:tblStylePr w:type="band1Vert">
      <w:tblPr/>
      <w:tcPr>
        <w:tcBorders>
          <w:top w:val="single" w:color="A5A5A5" w:themeColor="accent3" w:sz="8" w:space="0"/>
          <w:left w:val="single" w:color="A5A5A5" w:themeColor="accent3" w:sz="8" w:space="0"/>
          <w:bottom w:val="single" w:color="A5A5A5" w:themeColor="accent3" w:sz="8" w:space="0"/>
          <w:right w:val="single" w:color="A5A5A5" w:themeColor="accent3" w:sz="8" w:space="0"/>
        </w:tcBorders>
      </w:tcPr>
    </w:tblStylePr>
    <w:tblStylePr w:type="band1Horz">
      <w:tblPr/>
      <w:tcPr>
        <w:tcBorders>
          <w:top w:val="single" w:color="A5A5A5" w:themeColor="accent3" w:sz="8" w:space="0"/>
          <w:left w:val="single" w:color="A5A5A5" w:themeColor="accent3" w:sz="8" w:space="0"/>
          <w:bottom w:val="single" w:color="A5A5A5" w:themeColor="accent3" w:sz="8" w:space="0"/>
          <w:right w:val="single" w:color="A5A5A5" w:themeColor="accent3" w:sz="8" w:space="0"/>
        </w:tcBorders>
      </w:tcPr>
    </w:tblStylePr>
  </w:style>
  <w:style w:type="table" w:styleId="138">
    <w:name w:val="Light List Accent 4"/>
    <w:basedOn w:val="86"/>
    <w:qFormat/>
    <w:uiPriority w:val="61"/>
    <w:tblPr>
      <w:tblBorders>
        <w:top w:val="single" w:color="FFC000" w:themeColor="accent4" w:sz="8" w:space="0"/>
        <w:left w:val="single" w:color="FFC000" w:themeColor="accent4" w:sz="8" w:space="0"/>
        <w:bottom w:val="single" w:color="FFC000" w:themeColor="accent4" w:sz="8" w:space="0"/>
        <w:right w:val="single" w:color="FFC000" w:themeColor="accent4" w:sz="8" w:space="0"/>
      </w:tblBorders>
      <w:tblCellMar>
        <w:top w:w="0" w:type="dxa"/>
        <w:left w:w="108" w:type="dxa"/>
        <w:bottom w:w="0" w:type="dxa"/>
        <w:right w:w="108" w:type="dxa"/>
      </w:tblCellMar>
    </w:tblPr>
    <w:tblStylePr w:type="firstRow">
      <w:pPr>
        <w:spacing w:before="0" w:after="0" w:line="480" w:lineRule="auto"/>
      </w:pPr>
      <w:rPr>
        <w:b/>
        <w:bCs/>
        <w:color w:val="FFFFFF" w:themeColor="background1"/>
        <w14:textFill>
          <w14:solidFill>
            <w14:schemeClr w14:val="bg1"/>
          </w14:solidFill>
        </w14:textFill>
      </w:rPr>
      <w:tblPr/>
      <w:tcPr>
        <w:shd w:val="clear" w:color="auto" w:fill="FFC000" w:themeFill="accent4"/>
      </w:tcPr>
    </w:tblStylePr>
    <w:tblStylePr w:type="lastRow">
      <w:pPr>
        <w:spacing w:before="0" w:after="0" w:line="480" w:lineRule="auto"/>
      </w:pPr>
      <w:rPr>
        <w:b/>
        <w:bCs/>
      </w:rPr>
      <w:tblPr/>
      <w:tcPr>
        <w:tcBorders>
          <w:top w:val="double" w:color="FFC000" w:themeColor="accent4" w:sz="6" w:space="0"/>
          <w:left w:val="single" w:color="FFC000" w:themeColor="accent4" w:sz="8" w:space="0"/>
          <w:bottom w:val="single" w:color="FFC000" w:themeColor="accent4" w:sz="8" w:space="0"/>
          <w:right w:val="single" w:color="FFC000" w:themeColor="accent4" w:sz="8" w:space="0"/>
        </w:tcBorders>
      </w:tcPr>
    </w:tblStylePr>
    <w:tblStylePr w:type="firstCol">
      <w:rPr>
        <w:b/>
        <w:bCs/>
      </w:rPr>
    </w:tblStylePr>
    <w:tblStylePr w:type="lastCol">
      <w:rPr>
        <w:b/>
        <w:bCs/>
      </w:rPr>
    </w:tblStylePr>
    <w:tblStylePr w:type="band1Vert">
      <w:tblPr/>
      <w:tcPr>
        <w:tcBorders>
          <w:top w:val="single" w:color="FFC000" w:themeColor="accent4" w:sz="8" w:space="0"/>
          <w:left w:val="single" w:color="FFC000" w:themeColor="accent4" w:sz="8" w:space="0"/>
          <w:bottom w:val="single" w:color="FFC000" w:themeColor="accent4" w:sz="8" w:space="0"/>
          <w:right w:val="single" w:color="FFC000" w:themeColor="accent4" w:sz="8" w:space="0"/>
        </w:tcBorders>
      </w:tcPr>
    </w:tblStylePr>
    <w:tblStylePr w:type="band1Horz">
      <w:tblPr/>
      <w:tcPr>
        <w:tcBorders>
          <w:top w:val="single" w:color="FFC000" w:themeColor="accent4" w:sz="8" w:space="0"/>
          <w:left w:val="single" w:color="FFC000" w:themeColor="accent4" w:sz="8" w:space="0"/>
          <w:bottom w:val="single" w:color="FFC000" w:themeColor="accent4" w:sz="8" w:space="0"/>
          <w:right w:val="single" w:color="FFC000" w:themeColor="accent4" w:sz="8" w:space="0"/>
        </w:tcBorders>
      </w:tcPr>
    </w:tblStylePr>
  </w:style>
  <w:style w:type="table" w:styleId="139">
    <w:name w:val="Light List Accent 5"/>
    <w:basedOn w:val="86"/>
    <w:qFormat/>
    <w:uiPriority w:val="61"/>
    <w:tblPr>
      <w:tblBorders>
        <w:top w:val="single" w:color="5B9BD5" w:themeColor="accent5" w:sz="8" w:space="0"/>
        <w:left w:val="single" w:color="5B9BD5" w:themeColor="accent5" w:sz="8" w:space="0"/>
        <w:bottom w:val="single" w:color="5B9BD5" w:themeColor="accent5" w:sz="8" w:space="0"/>
        <w:right w:val="single" w:color="5B9BD5" w:themeColor="accent5" w:sz="8" w:space="0"/>
      </w:tblBorders>
      <w:tblCellMar>
        <w:top w:w="0" w:type="dxa"/>
        <w:left w:w="108" w:type="dxa"/>
        <w:bottom w:w="0" w:type="dxa"/>
        <w:right w:w="108" w:type="dxa"/>
      </w:tblCellMar>
    </w:tblPr>
    <w:tblStylePr w:type="firstRow">
      <w:pPr>
        <w:spacing w:before="0" w:after="0" w:line="480" w:lineRule="auto"/>
      </w:pPr>
      <w:rPr>
        <w:b/>
        <w:bCs/>
        <w:color w:val="FFFFFF" w:themeColor="background1"/>
        <w14:textFill>
          <w14:solidFill>
            <w14:schemeClr w14:val="bg1"/>
          </w14:solidFill>
        </w14:textFill>
      </w:rPr>
      <w:tblPr/>
      <w:tcPr>
        <w:shd w:val="clear" w:color="auto" w:fill="5B9BD5" w:themeFill="accent5"/>
      </w:tcPr>
    </w:tblStylePr>
    <w:tblStylePr w:type="lastRow">
      <w:pPr>
        <w:spacing w:before="0" w:after="0" w:line="480" w:lineRule="auto"/>
      </w:pPr>
      <w:rPr>
        <w:b/>
        <w:bCs/>
      </w:rPr>
      <w:tblPr/>
      <w:tcPr>
        <w:tcBorders>
          <w:top w:val="double" w:color="5B9BD5" w:themeColor="accent5" w:sz="6" w:space="0"/>
          <w:left w:val="single" w:color="5B9BD5" w:themeColor="accent5" w:sz="8" w:space="0"/>
          <w:bottom w:val="single" w:color="5B9BD5" w:themeColor="accent5" w:sz="8" w:space="0"/>
          <w:right w:val="single" w:color="5B9BD5" w:themeColor="accent5" w:sz="8" w:space="0"/>
        </w:tcBorders>
      </w:tcPr>
    </w:tblStylePr>
    <w:tblStylePr w:type="firstCol">
      <w:rPr>
        <w:b/>
        <w:bCs/>
      </w:rPr>
    </w:tblStylePr>
    <w:tblStylePr w:type="lastCol">
      <w:rPr>
        <w:b/>
        <w:bCs/>
      </w:rPr>
    </w:tblStylePr>
    <w:tblStylePr w:type="band1Vert">
      <w:tblPr/>
      <w:tcPr>
        <w:tcBorders>
          <w:top w:val="single" w:color="5B9BD5" w:themeColor="accent5" w:sz="8" w:space="0"/>
          <w:left w:val="single" w:color="5B9BD5" w:themeColor="accent5" w:sz="8" w:space="0"/>
          <w:bottom w:val="single" w:color="5B9BD5" w:themeColor="accent5" w:sz="8" w:space="0"/>
          <w:right w:val="single" w:color="5B9BD5" w:themeColor="accent5" w:sz="8" w:space="0"/>
        </w:tcBorders>
      </w:tcPr>
    </w:tblStylePr>
    <w:tblStylePr w:type="band1Horz">
      <w:tblPr/>
      <w:tcPr>
        <w:tcBorders>
          <w:top w:val="single" w:color="5B9BD5" w:themeColor="accent5" w:sz="8" w:space="0"/>
          <w:left w:val="single" w:color="5B9BD5" w:themeColor="accent5" w:sz="8" w:space="0"/>
          <w:bottom w:val="single" w:color="5B9BD5" w:themeColor="accent5" w:sz="8" w:space="0"/>
          <w:right w:val="single" w:color="5B9BD5" w:themeColor="accent5" w:sz="8" w:space="0"/>
        </w:tcBorders>
      </w:tcPr>
    </w:tblStylePr>
  </w:style>
  <w:style w:type="table" w:styleId="140">
    <w:name w:val="Light List Accent 6"/>
    <w:basedOn w:val="86"/>
    <w:qFormat/>
    <w:uiPriority w:val="61"/>
    <w:tblPr>
      <w:tblBorders>
        <w:top w:val="single" w:color="70AD47" w:themeColor="accent6" w:sz="8" w:space="0"/>
        <w:left w:val="single" w:color="70AD47" w:themeColor="accent6" w:sz="8" w:space="0"/>
        <w:bottom w:val="single" w:color="70AD47" w:themeColor="accent6" w:sz="8" w:space="0"/>
        <w:right w:val="single" w:color="70AD47" w:themeColor="accent6" w:sz="8" w:space="0"/>
      </w:tblBorders>
      <w:tblCellMar>
        <w:top w:w="0" w:type="dxa"/>
        <w:left w:w="108" w:type="dxa"/>
        <w:bottom w:w="0" w:type="dxa"/>
        <w:right w:w="108" w:type="dxa"/>
      </w:tblCellMar>
    </w:tblPr>
    <w:tblStylePr w:type="firstRow">
      <w:pPr>
        <w:spacing w:before="0" w:after="0" w:line="480" w:lineRule="auto"/>
      </w:pPr>
      <w:rPr>
        <w:b/>
        <w:bCs/>
        <w:color w:val="FFFFFF" w:themeColor="background1"/>
        <w14:textFill>
          <w14:solidFill>
            <w14:schemeClr w14:val="bg1"/>
          </w14:solidFill>
        </w14:textFill>
      </w:rPr>
      <w:tblPr/>
      <w:tcPr>
        <w:shd w:val="clear" w:color="auto" w:fill="70AD47" w:themeFill="accent6"/>
      </w:tcPr>
    </w:tblStylePr>
    <w:tblStylePr w:type="lastRow">
      <w:pPr>
        <w:spacing w:before="0" w:after="0" w:line="480" w:lineRule="auto"/>
      </w:pPr>
      <w:rPr>
        <w:b/>
        <w:bCs/>
      </w:rPr>
      <w:tblPr/>
      <w:tcPr>
        <w:tcBorders>
          <w:top w:val="double" w:color="70AD47" w:themeColor="accent6" w:sz="6" w:space="0"/>
          <w:left w:val="single" w:color="70AD47" w:themeColor="accent6" w:sz="8" w:space="0"/>
          <w:bottom w:val="single" w:color="70AD47" w:themeColor="accent6" w:sz="8" w:space="0"/>
          <w:right w:val="single" w:color="70AD47" w:themeColor="accent6" w:sz="8" w:space="0"/>
        </w:tcBorders>
      </w:tcPr>
    </w:tblStylePr>
    <w:tblStylePr w:type="firstCol">
      <w:rPr>
        <w:b/>
        <w:bCs/>
      </w:rPr>
    </w:tblStylePr>
    <w:tblStylePr w:type="lastCol">
      <w:rPr>
        <w:b/>
        <w:bCs/>
      </w:rPr>
    </w:tblStylePr>
    <w:tblStylePr w:type="band1Vert">
      <w:tblPr/>
      <w:tcPr>
        <w:tcBorders>
          <w:top w:val="single" w:color="70AD47" w:themeColor="accent6" w:sz="8" w:space="0"/>
          <w:left w:val="single" w:color="70AD47" w:themeColor="accent6" w:sz="8" w:space="0"/>
          <w:bottom w:val="single" w:color="70AD47" w:themeColor="accent6" w:sz="8" w:space="0"/>
          <w:right w:val="single" w:color="70AD47" w:themeColor="accent6" w:sz="8" w:space="0"/>
        </w:tcBorders>
      </w:tcPr>
    </w:tblStylePr>
    <w:tblStylePr w:type="band1Horz">
      <w:tblPr/>
      <w:tcPr>
        <w:tcBorders>
          <w:top w:val="single" w:color="70AD47" w:themeColor="accent6" w:sz="8" w:space="0"/>
          <w:left w:val="single" w:color="70AD47" w:themeColor="accent6" w:sz="8" w:space="0"/>
          <w:bottom w:val="single" w:color="70AD47" w:themeColor="accent6" w:sz="8" w:space="0"/>
          <w:right w:val="single" w:color="70AD47" w:themeColor="accent6" w:sz="8" w:space="0"/>
        </w:tcBorders>
      </w:tcPr>
    </w:tblStylePr>
  </w:style>
  <w:style w:type="table" w:styleId="141">
    <w:name w:val="Light Grid Accent 2"/>
    <w:basedOn w:val="86"/>
    <w:qFormat/>
    <w:uiPriority w:val="62"/>
    <w:tblPr>
      <w:tblBorders>
        <w:top w:val="single" w:color="ED7D31" w:themeColor="accent2" w:sz="8" w:space="0"/>
        <w:left w:val="single" w:color="ED7D31" w:themeColor="accent2" w:sz="8" w:space="0"/>
        <w:bottom w:val="single" w:color="ED7D31" w:themeColor="accent2" w:sz="8" w:space="0"/>
        <w:right w:val="single" w:color="ED7D31" w:themeColor="accent2" w:sz="8" w:space="0"/>
        <w:insideH w:val="single" w:color="ED7D31" w:themeColor="accent2" w:sz="8" w:space="0"/>
        <w:insideV w:val="single" w:color="ED7D31" w:themeColor="accent2" w:sz="8" w:space="0"/>
      </w:tblBorders>
      <w:tblCellMar>
        <w:top w:w="0" w:type="dxa"/>
        <w:left w:w="108" w:type="dxa"/>
        <w:bottom w:w="0" w:type="dxa"/>
        <w:right w:w="108" w:type="dxa"/>
      </w:tblCellMar>
    </w:tblPr>
    <w:tblStylePr w:type="firstRow">
      <w:pPr>
        <w:spacing w:before="0" w:after="0" w:line="480" w:lineRule="auto"/>
      </w:pPr>
      <w:rPr>
        <w:rFonts w:asciiTheme="majorHAnsi" w:hAnsiTheme="majorHAnsi" w:eastAsiaTheme="majorEastAsia" w:cstheme="majorBidi"/>
        <w:b/>
        <w:bCs/>
      </w:rPr>
      <w:tblPr/>
      <w:tcPr>
        <w:tcBorders>
          <w:top w:val="single" w:color="ED7D31" w:themeColor="accent2" w:sz="8" w:space="0"/>
          <w:left w:val="single" w:color="ED7D31" w:themeColor="accent2" w:sz="8" w:space="0"/>
          <w:bottom w:val="single" w:color="ED7D31" w:themeColor="accent2" w:sz="18" w:space="0"/>
          <w:right w:val="single" w:color="ED7D31" w:themeColor="accent2" w:sz="8" w:space="0"/>
          <w:insideH w:val="nil"/>
          <w:insideV w:val="single" w:sz="8" w:space="0"/>
        </w:tcBorders>
      </w:tcPr>
    </w:tblStylePr>
    <w:tblStylePr w:type="lastRow">
      <w:pPr>
        <w:spacing w:before="0" w:after="0" w:line="480" w:lineRule="auto"/>
      </w:pPr>
      <w:rPr>
        <w:rFonts w:asciiTheme="majorHAnsi" w:hAnsiTheme="majorHAnsi" w:eastAsiaTheme="majorEastAsia" w:cstheme="majorBidi"/>
        <w:b/>
        <w:bCs/>
      </w:rPr>
      <w:tblPr/>
      <w:tcPr>
        <w:tcBorders>
          <w:top w:val="double" w:color="ED7D31" w:themeColor="accent2" w:sz="6" w:space="0"/>
          <w:left w:val="single" w:color="ED7D31" w:themeColor="accent2" w:sz="8" w:space="0"/>
          <w:bottom w:val="single" w:color="ED7D31" w:themeColor="accent2" w:sz="8" w:space="0"/>
          <w:right w:val="single" w:color="ED7D31"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ED7D31" w:themeColor="accent2" w:sz="8" w:space="0"/>
          <w:left w:val="single" w:color="ED7D31" w:themeColor="accent2" w:sz="8" w:space="0"/>
          <w:bottom w:val="single" w:color="ED7D31" w:themeColor="accent2" w:sz="8" w:space="0"/>
          <w:right w:val="single" w:color="ED7D31" w:themeColor="accent2" w:sz="8" w:space="0"/>
        </w:tcBorders>
      </w:tcPr>
    </w:tblStylePr>
    <w:tblStylePr w:type="band1Vert">
      <w:tblPr/>
      <w:tcPr>
        <w:tcBorders>
          <w:top w:val="single" w:color="ED7D31" w:themeColor="accent2" w:sz="8" w:space="0"/>
          <w:left w:val="single" w:color="ED7D31" w:themeColor="accent2" w:sz="8" w:space="0"/>
          <w:bottom w:val="single" w:color="ED7D31" w:themeColor="accent2" w:sz="8" w:space="0"/>
          <w:right w:val="single" w:color="ED7D31" w:themeColor="accent2" w:sz="8" w:space="0"/>
        </w:tcBorders>
        <w:shd w:val="clear" w:color="auto" w:fill="FADECC" w:themeFill="accent2" w:themeFillTint="3F"/>
      </w:tcPr>
    </w:tblStylePr>
    <w:tblStylePr w:type="band1Horz">
      <w:tblPr/>
      <w:tcPr>
        <w:tcBorders>
          <w:top w:val="single" w:color="ED7D31" w:themeColor="accent2" w:sz="8" w:space="0"/>
          <w:left w:val="single" w:color="ED7D31" w:themeColor="accent2" w:sz="8" w:space="0"/>
          <w:bottom w:val="single" w:color="ED7D31" w:themeColor="accent2" w:sz="8" w:space="0"/>
          <w:right w:val="single" w:color="ED7D31" w:themeColor="accent2" w:sz="8" w:space="0"/>
          <w:insideV w:val="single" w:sz="8" w:space="0"/>
        </w:tcBorders>
        <w:shd w:val="clear" w:color="auto" w:fill="FADECC" w:themeFill="accent2" w:themeFillTint="3F"/>
      </w:tcPr>
    </w:tblStylePr>
    <w:tblStylePr w:type="band2Horz">
      <w:tblPr/>
      <w:tcPr>
        <w:tcBorders>
          <w:top w:val="single" w:color="ED7D31" w:themeColor="accent2" w:sz="8" w:space="0"/>
          <w:left w:val="single" w:color="ED7D31" w:themeColor="accent2" w:sz="8" w:space="0"/>
          <w:bottom w:val="single" w:color="ED7D31" w:themeColor="accent2" w:sz="8" w:space="0"/>
          <w:right w:val="single" w:color="ED7D31" w:themeColor="accent2" w:sz="8" w:space="0"/>
          <w:insideV w:val="single" w:sz="8" w:space="0"/>
        </w:tcBorders>
      </w:tcPr>
    </w:tblStylePr>
  </w:style>
  <w:style w:type="table" w:styleId="142">
    <w:name w:val="Light Grid Accent 3"/>
    <w:basedOn w:val="86"/>
    <w:qFormat/>
    <w:uiPriority w:val="62"/>
    <w:tblPr>
      <w:tblBorders>
        <w:top w:val="single" w:color="A5A5A5" w:themeColor="accent3" w:sz="8" w:space="0"/>
        <w:left w:val="single" w:color="A5A5A5" w:themeColor="accent3" w:sz="8" w:space="0"/>
        <w:bottom w:val="single" w:color="A5A5A5" w:themeColor="accent3" w:sz="8" w:space="0"/>
        <w:right w:val="single" w:color="A5A5A5" w:themeColor="accent3" w:sz="8" w:space="0"/>
        <w:insideH w:val="single" w:color="A5A5A5" w:themeColor="accent3" w:sz="8" w:space="0"/>
        <w:insideV w:val="single" w:color="A5A5A5" w:themeColor="accent3" w:sz="8" w:space="0"/>
      </w:tblBorders>
      <w:tblCellMar>
        <w:top w:w="0" w:type="dxa"/>
        <w:left w:w="108" w:type="dxa"/>
        <w:bottom w:w="0" w:type="dxa"/>
        <w:right w:w="108" w:type="dxa"/>
      </w:tblCellMar>
    </w:tblPr>
    <w:tblStylePr w:type="firstRow">
      <w:pPr>
        <w:spacing w:before="0" w:after="0" w:line="480" w:lineRule="auto"/>
      </w:pPr>
      <w:rPr>
        <w:rFonts w:asciiTheme="majorHAnsi" w:hAnsiTheme="majorHAnsi" w:eastAsiaTheme="majorEastAsia" w:cstheme="majorBidi"/>
        <w:b/>
        <w:bCs/>
      </w:rPr>
      <w:tblPr/>
      <w:tcPr>
        <w:tcBorders>
          <w:top w:val="single" w:color="A5A5A5" w:themeColor="accent3" w:sz="8" w:space="0"/>
          <w:left w:val="single" w:color="A5A5A5" w:themeColor="accent3" w:sz="8" w:space="0"/>
          <w:bottom w:val="single" w:color="A5A5A5" w:themeColor="accent3" w:sz="18" w:space="0"/>
          <w:right w:val="single" w:color="A5A5A5" w:themeColor="accent3" w:sz="8" w:space="0"/>
          <w:insideH w:val="nil"/>
          <w:insideV w:val="single" w:sz="8" w:space="0"/>
        </w:tcBorders>
      </w:tcPr>
    </w:tblStylePr>
    <w:tblStylePr w:type="lastRow">
      <w:pPr>
        <w:spacing w:before="0" w:after="0" w:line="480" w:lineRule="auto"/>
      </w:pPr>
      <w:rPr>
        <w:rFonts w:asciiTheme="majorHAnsi" w:hAnsiTheme="majorHAnsi" w:eastAsiaTheme="majorEastAsia" w:cstheme="majorBidi"/>
        <w:b/>
        <w:bCs/>
      </w:rPr>
      <w:tblPr/>
      <w:tcPr>
        <w:tcBorders>
          <w:top w:val="double" w:color="A5A5A5" w:themeColor="accent3" w:sz="6" w:space="0"/>
          <w:left w:val="single" w:color="A5A5A5" w:themeColor="accent3" w:sz="8" w:space="0"/>
          <w:bottom w:val="single" w:color="A5A5A5" w:themeColor="accent3" w:sz="8" w:space="0"/>
          <w:right w:val="single" w:color="A5A5A5"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A5A5A5" w:themeColor="accent3" w:sz="8" w:space="0"/>
          <w:left w:val="single" w:color="A5A5A5" w:themeColor="accent3" w:sz="8" w:space="0"/>
          <w:bottom w:val="single" w:color="A5A5A5" w:themeColor="accent3" w:sz="8" w:space="0"/>
          <w:right w:val="single" w:color="A5A5A5" w:themeColor="accent3" w:sz="8" w:space="0"/>
        </w:tcBorders>
      </w:tcPr>
    </w:tblStylePr>
    <w:tblStylePr w:type="band1Vert">
      <w:tblPr/>
      <w:tcPr>
        <w:tcBorders>
          <w:top w:val="single" w:color="A5A5A5" w:themeColor="accent3" w:sz="8" w:space="0"/>
          <w:left w:val="single" w:color="A5A5A5" w:themeColor="accent3" w:sz="8" w:space="0"/>
          <w:bottom w:val="single" w:color="A5A5A5" w:themeColor="accent3" w:sz="8" w:space="0"/>
          <w:right w:val="single" w:color="A5A5A5" w:themeColor="accent3" w:sz="8" w:space="0"/>
        </w:tcBorders>
        <w:shd w:val="clear" w:color="auto" w:fill="E8E8E8" w:themeFill="accent3" w:themeFillTint="3F"/>
      </w:tcPr>
    </w:tblStylePr>
    <w:tblStylePr w:type="band1Horz">
      <w:tblPr/>
      <w:tcPr>
        <w:tcBorders>
          <w:top w:val="single" w:color="A5A5A5" w:themeColor="accent3" w:sz="8" w:space="0"/>
          <w:left w:val="single" w:color="A5A5A5" w:themeColor="accent3" w:sz="8" w:space="0"/>
          <w:bottom w:val="single" w:color="A5A5A5" w:themeColor="accent3" w:sz="8" w:space="0"/>
          <w:right w:val="single" w:color="A5A5A5" w:themeColor="accent3" w:sz="8" w:space="0"/>
          <w:insideV w:val="single" w:sz="8" w:space="0"/>
        </w:tcBorders>
        <w:shd w:val="clear" w:color="auto" w:fill="E8E8E8" w:themeFill="accent3" w:themeFillTint="3F"/>
      </w:tcPr>
    </w:tblStylePr>
    <w:tblStylePr w:type="band2Horz">
      <w:tblPr/>
      <w:tcPr>
        <w:tcBorders>
          <w:top w:val="single" w:color="A5A5A5" w:themeColor="accent3" w:sz="8" w:space="0"/>
          <w:left w:val="single" w:color="A5A5A5" w:themeColor="accent3" w:sz="8" w:space="0"/>
          <w:bottom w:val="single" w:color="A5A5A5" w:themeColor="accent3" w:sz="8" w:space="0"/>
          <w:right w:val="single" w:color="A5A5A5" w:themeColor="accent3" w:sz="8" w:space="0"/>
          <w:insideV w:val="single" w:sz="8" w:space="0"/>
        </w:tcBorders>
      </w:tcPr>
    </w:tblStylePr>
  </w:style>
  <w:style w:type="table" w:styleId="143">
    <w:name w:val="Light Grid Accent 4"/>
    <w:basedOn w:val="86"/>
    <w:qFormat/>
    <w:uiPriority w:val="62"/>
    <w:tblPr>
      <w:tblBorders>
        <w:top w:val="single" w:color="FFC000" w:themeColor="accent4" w:sz="8" w:space="0"/>
        <w:left w:val="single" w:color="FFC000" w:themeColor="accent4" w:sz="8" w:space="0"/>
        <w:bottom w:val="single" w:color="FFC000" w:themeColor="accent4" w:sz="8" w:space="0"/>
        <w:right w:val="single" w:color="FFC000" w:themeColor="accent4" w:sz="8" w:space="0"/>
        <w:insideH w:val="single" w:color="FFC000" w:themeColor="accent4" w:sz="8" w:space="0"/>
        <w:insideV w:val="single" w:color="FFC000" w:themeColor="accent4" w:sz="8" w:space="0"/>
      </w:tblBorders>
      <w:tblCellMar>
        <w:top w:w="0" w:type="dxa"/>
        <w:left w:w="108" w:type="dxa"/>
        <w:bottom w:w="0" w:type="dxa"/>
        <w:right w:w="108" w:type="dxa"/>
      </w:tblCellMar>
    </w:tblPr>
    <w:tblStylePr w:type="firstRow">
      <w:pPr>
        <w:spacing w:before="0" w:after="0" w:line="480" w:lineRule="auto"/>
      </w:pPr>
      <w:rPr>
        <w:rFonts w:asciiTheme="majorHAnsi" w:hAnsiTheme="majorHAnsi" w:eastAsiaTheme="majorEastAsia" w:cstheme="majorBidi"/>
        <w:b/>
        <w:bCs/>
      </w:rPr>
      <w:tblPr/>
      <w:tcPr>
        <w:tcBorders>
          <w:top w:val="single" w:color="FFC000" w:themeColor="accent4" w:sz="8" w:space="0"/>
          <w:left w:val="single" w:color="FFC000" w:themeColor="accent4" w:sz="8" w:space="0"/>
          <w:bottom w:val="single" w:color="FFC000" w:themeColor="accent4" w:sz="18" w:space="0"/>
          <w:right w:val="single" w:color="FFC000" w:themeColor="accent4" w:sz="8" w:space="0"/>
          <w:insideH w:val="nil"/>
          <w:insideV w:val="single" w:sz="8" w:space="0"/>
        </w:tcBorders>
      </w:tcPr>
    </w:tblStylePr>
    <w:tblStylePr w:type="lastRow">
      <w:pPr>
        <w:spacing w:before="0" w:after="0" w:line="480" w:lineRule="auto"/>
      </w:pPr>
      <w:rPr>
        <w:rFonts w:asciiTheme="majorHAnsi" w:hAnsiTheme="majorHAnsi" w:eastAsiaTheme="majorEastAsia" w:cstheme="majorBidi"/>
        <w:b/>
        <w:bCs/>
      </w:rPr>
      <w:tblPr/>
      <w:tcPr>
        <w:tcBorders>
          <w:top w:val="double" w:color="FFC000" w:themeColor="accent4" w:sz="6" w:space="0"/>
          <w:left w:val="single" w:color="FFC000" w:themeColor="accent4" w:sz="8" w:space="0"/>
          <w:bottom w:val="single" w:color="FFC000" w:themeColor="accent4" w:sz="8" w:space="0"/>
          <w:right w:val="single" w:color="FFC000"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FC000" w:themeColor="accent4" w:sz="8" w:space="0"/>
          <w:left w:val="single" w:color="FFC000" w:themeColor="accent4" w:sz="8" w:space="0"/>
          <w:bottom w:val="single" w:color="FFC000" w:themeColor="accent4" w:sz="8" w:space="0"/>
          <w:right w:val="single" w:color="FFC000" w:themeColor="accent4" w:sz="8" w:space="0"/>
        </w:tcBorders>
      </w:tcPr>
    </w:tblStylePr>
    <w:tblStylePr w:type="band1Vert">
      <w:tblPr/>
      <w:tcPr>
        <w:tcBorders>
          <w:top w:val="single" w:color="FFC000" w:themeColor="accent4" w:sz="8" w:space="0"/>
          <w:left w:val="single" w:color="FFC000" w:themeColor="accent4" w:sz="8" w:space="0"/>
          <w:bottom w:val="single" w:color="FFC000" w:themeColor="accent4" w:sz="8" w:space="0"/>
          <w:right w:val="single" w:color="FFC000" w:themeColor="accent4" w:sz="8" w:space="0"/>
        </w:tcBorders>
        <w:shd w:val="clear" w:color="auto" w:fill="FFEFBF" w:themeFill="accent4" w:themeFillTint="3F"/>
      </w:tcPr>
    </w:tblStylePr>
    <w:tblStylePr w:type="band1Horz">
      <w:tblPr/>
      <w:tcPr>
        <w:tcBorders>
          <w:top w:val="single" w:color="FFC000" w:themeColor="accent4" w:sz="8" w:space="0"/>
          <w:left w:val="single" w:color="FFC000" w:themeColor="accent4" w:sz="8" w:space="0"/>
          <w:bottom w:val="single" w:color="FFC000" w:themeColor="accent4" w:sz="8" w:space="0"/>
          <w:right w:val="single" w:color="FFC000" w:themeColor="accent4" w:sz="8" w:space="0"/>
          <w:insideV w:val="single" w:sz="8" w:space="0"/>
        </w:tcBorders>
        <w:shd w:val="clear" w:color="auto" w:fill="FFEFBF" w:themeFill="accent4" w:themeFillTint="3F"/>
      </w:tcPr>
    </w:tblStylePr>
    <w:tblStylePr w:type="band2Horz">
      <w:tblPr/>
      <w:tcPr>
        <w:tcBorders>
          <w:top w:val="single" w:color="FFC000" w:themeColor="accent4" w:sz="8" w:space="0"/>
          <w:left w:val="single" w:color="FFC000" w:themeColor="accent4" w:sz="8" w:space="0"/>
          <w:bottom w:val="single" w:color="FFC000" w:themeColor="accent4" w:sz="8" w:space="0"/>
          <w:right w:val="single" w:color="FFC000" w:themeColor="accent4" w:sz="8" w:space="0"/>
          <w:insideV w:val="single" w:sz="8" w:space="0"/>
        </w:tcBorders>
      </w:tcPr>
    </w:tblStylePr>
  </w:style>
  <w:style w:type="table" w:styleId="144">
    <w:name w:val="Light Grid Accent 5"/>
    <w:basedOn w:val="86"/>
    <w:qFormat/>
    <w:uiPriority w:val="62"/>
    <w:tblPr>
      <w:tblBorders>
        <w:top w:val="single" w:color="5B9BD5" w:themeColor="accent5" w:sz="8" w:space="0"/>
        <w:left w:val="single" w:color="5B9BD5" w:themeColor="accent5" w:sz="8" w:space="0"/>
        <w:bottom w:val="single" w:color="5B9BD5" w:themeColor="accent5" w:sz="8" w:space="0"/>
        <w:right w:val="single" w:color="5B9BD5" w:themeColor="accent5" w:sz="8" w:space="0"/>
        <w:insideH w:val="single" w:color="5B9BD5" w:themeColor="accent5" w:sz="8" w:space="0"/>
        <w:insideV w:val="single" w:color="5B9BD5" w:themeColor="accent5" w:sz="8" w:space="0"/>
      </w:tblBorders>
      <w:tblCellMar>
        <w:top w:w="0" w:type="dxa"/>
        <w:left w:w="108" w:type="dxa"/>
        <w:bottom w:w="0" w:type="dxa"/>
        <w:right w:w="108" w:type="dxa"/>
      </w:tblCellMar>
    </w:tblPr>
    <w:tblStylePr w:type="firstRow">
      <w:pPr>
        <w:spacing w:before="0" w:after="0" w:line="480" w:lineRule="auto"/>
      </w:pPr>
      <w:rPr>
        <w:rFonts w:asciiTheme="majorHAnsi" w:hAnsiTheme="majorHAnsi" w:eastAsiaTheme="majorEastAsia" w:cstheme="majorBidi"/>
        <w:b/>
        <w:bCs/>
      </w:rPr>
      <w:tblPr/>
      <w:tcPr>
        <w:tcBorders>
          <w:top w:val="single" w:color="5B9BD5" w:themeColor="accent5" w:sz="8" w:space="0"/>
          <w:left w:val="single" w:color="5B9BD5" w:themeColor="accent5" w:sz="8" w:space="0"/>
          <w:bottom w:val="single" w:color="5B9BD5" w:themeColor="accent5" w:sz="18" w:space="0"/>
          <w:right w:val="single" w:color="5B9BD5" w:themeColor="accent5" w:sz="8" w:space="0"/>
          <w:insideH w:val="nil"/>
          <w:insideV w:val="single" w:sz="8" w:space="0"/>
        </w:tcBorders>
      </w:tcPr>
    </w:tblStylePr>
    <w:tblStylePr w:type="lastRow">
      <w:pPr>
        <w:spacing w:before="0" w:after="0" w:line="480" w:lineRule="auto"/>
      </w:pPr>
      <w:rPr>
        <w:rFonts w:asciiTheme="majorHAnsi" w:hAnsiTheme="majorHAnsi" w:eastAsiaTheme="majorEastAsia" w:cstheme="majorBidi"/>
        <w:b/>
        <w:bCs/>
      </w:rPr>
      <w:tblPr/>
      <w:tcPr>
        <w:tcBorders>
          <w:top w:val="double" w:color="5B9BD5" w:themeColor="accent5" w:sz="6" w:space="0"/>
          <w:left w:val="single" w:color="5B9BD5" w:themeColor="accent5" w:sz="8" w:space="0"/>
          <w:bottom w:val="single" w:color="5B9BD5" w:themeColor="accent5" w:sz="8" w:space="0"/>
          <w:right w:val="single" w:color="5B9BD5"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5B9BD5" w:themeColor="accent5" w:sz="8" w:space="0"/>
          <w:left w:val="single" w:color="5B9BD5" w:themeColor="accent5" w:sz="8" w:space="0"/>
          <w:bottom w:val="single" w:color="5B9BD5" w:themeColor="accent5" w:sz="8" w:space="0"/>
          <w:right w:val="single" w:color="5B9BD5" w:themeColor="accent5" w:sz="8" w:space="0"/>
        </w:tcBorders>
      </w:tcPr>
    </w:tblStylePr>
    <w:tblStylePr w:type="band1Vert">
      <w:tblPr/>
      <w:tcPr>
        <w:tcBorders>
          <w:top w:val="single" w:color="5B9BD5" w:themeColor="accent5" w:sz="8" w:space="0"/>
          <w:left w:val="single" w:color="5B9BD5" w:themeColor="accent5" w:sz="8" w:space="0"/>
          <w:bottom w:val="single" w:color="5B9BD5" w:themeColor="accent5" w:sz="8" w:space="0"/>
          <w:right w:val="single" w:color="5B9BD5" w:themeColor="accent5" w:sz="8" w:space="0"/>
        </w:tcBorders>
        <w:shd w:val="clear" w:color="auto" w:fill="D6E6F4" w:themeFill="accent5" w:themeFillTint="3F"/>
      </w:tcPr>
    </w:tblStylePr>
    <w:tblStylePr w:type="band1Horz">
      <w:tblPr/>
      <w:tcPr>
        <w:tcBorders>
          <w:top w:val="single" w:color="5B9BD5" w:themeColor="accent5" w:sz="8" w:space="0"/>
          <w:left w:val="single" w:color="5B9BD5" w:themeColor="accent5" w:sz="8" w:space="0"/>
          <w:bottom w:val="single" w:color="5B9BD5" w:themeColor="accent5" w:sz="8" w:space="0"/>
          <w:right w:val="single" w:color="5B9BD5" w:themeColor="accent5" w:sz="8" w:space="0"/>
          <w:insideV w:val="single" w:sz="8" w:space="0"/>
        </w:tcBorders>
        <w:shd w:val="clear" w:color="auto" w:fill="D6E6F4" w:themeFill="accent5" w:themeFillTint="3F"/>
      </w:tcPr>
    </w:tblStylePr>
    <w:tblStylePr w:type="band2Horz">
      <w:tblPr/>
      <w:tcPr>
        <w:tcBorders>
          <w:top w:val="single" w:color="5B9BD5" w:themeColor="accent5" w:sz="8" w:space="0"/>
          <w:left w:val="single" w:color="5B9BD5" w:themeColor="accent5" w:sz="8" w:space="0"/>
          <w:bottom w:val="single" w:color="5B9BD5" w:themeColor="accent5" w:sz="8" w:space="0"/>
          <w:right w:val="single" w:color="5B9BD5" w:themeColor="accent5" w:sz="8" w:space="0"/>
          <w:insideV w:val="single" w:sz="8" w:space="0"/>
        </w:tcBorders>
      </w:tcPr>
    </w:tblStylePr>
  </w:style>
  <w:style w:type="table" w:styleId="145">
    <w:name w:val="Light Grid Accent 6"/>
    <w:basedOn w:val="86"/>
    <w:qFormat/>
    <w:uiPriority w:val="62"/>
    <w:tblPr>
      <w:tblBorders>
        <w:top w:val="single" w:color="70AD47" w:themeColor="accent6" w:sz="8" w:space="0"/>
        <w:left w:val="single" w:color="70AD47" w:themeColor="accent6" w:sz="8" w:space="0"/>
        <w:bottom w:val="single" w:color="70AD47" w:themeColor="accent6" w:sz="8" w:space="0"/>
        <w:right w:val="single" w:color="70AD47" w:themeColor="accent6" w:sz="8" w:space="0"/>
        <w:insideH w:val="single" w:color="70AD47" w:themeColor="accent6" w:sz="8" w:space="0"/>
        <w:insideV w:val="single" w:color="70AD47" w:themeColor="accent6" w:sz="8" w:space="0"/>
      </w:tblBorders>
      <w:tblCellMar>
        <w:top w:w="0" w:type="dxa"/>
        <w:left w:w="108" w:type="dxa"/>
        <w:bottom w:w="0" w:type="dxa"/>
        <w:right w:w="108" w:type="dxa"/>
      </w:tblCellMar>
    </w:tblPr>
    <w:tblStylePr w:type="firstRow">
      <w:pPr>
        <w:spacing w:before="0" w:after="0" w:line="480" w:lineRule="auto"/>
      </w:pPr>
      <w:rPr>
        <w:rFonts w:asciiTheme="majorHAnsi" w:hAnsiTheme="majorHAnsi" w:eastAsiaTheme="majorEastAsia" w:cstheme="majorBidi"/>
        <w:b/>
        <w:bCs/>
      </w:rPr>
      <w:tblPr/>
      <w:tcPr>
        <w:tcBorders>
          <w:top w:val="single" w:color="70AD47" w:themeColor="accent6" w:sz="8" w:space="0"/>
          <w:left w:val="single" w:color="70AD47" w:themeColor="accent6" w:sz="8" w:space="0"/>
          <w:bottom w:val="single" w:color="70AD47" w:themeColor="accent6" w:sz="18" w:space="0"/>
          <w:right w:val="single" w:color="70AD47" w:themeColor="accent6" w:sz="8" w:space="0"/>
          <w:insideH w:val="nil"/>
          <w:insideV w:val="single" w:sz="8" w:space="0"/>
        </w:tcBorders>
      </w:tcPr>
    </w:tblStylePr>
    <w:tblStylePr w:type="lastRow">
      <w:pPr>
        <w:spacing w:before="0" w:after="0" w:line="480" w:lineRule="auto"/>
      </w:pPr>
      <w:rPr>
        <w:rFonts w:asciiTheme="majorHAnsi" w:hAnsiTheme="majorHAnsi" w:eastAsiaTheme="majorEastAsia" w:cstheme="majorBidi"/>
        <w:b/>
        <w:bCs/>
      </w:rPr>
      <w:tblPr/>
      <w:tcPr>
        <w:tcBorders>
          <w:top w:val="double" w:color="70AD47" w:themeColor="accent6" w:sz="6" w:space="0"/>
          <w:left w:val="single" w:color="70AD47" w:themeColor="accent6" w:sz="8" w:space="0"/>
          <w:bottom w:val="single" w:color="70AD47" w:themeColor="accent6" w:sz="8" w:space="0"/>
          <w:right w:val="single" w:color="70AD47"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70AD47" w:themeColor="accent6" w:sz="8" w:space="0"/>
          <w:left w:val="single" w:color="70AD47" w:themeColor="accent6" w:sz="8" w:space="0"/>
          <w:bottom w:val="single" w:color="70AD47" w:themeColor="accent6" w:sz="8" w:space="0"/>
          <w:right w:val="single" w:color="70AD47" w:themeColor="accent6" w:sz="8" w:space="0"/>
        </w:tcBorders>
      </w:tcPr>
    </w:tblStylePr>
    <w:tblStylePr w:type="band1Vert">
      <w:tblPr/>
      <w:tcPr>
        <w:tcBorders>
          <w:top w:val="single" w:color="70AD47" w:themeColor="accent6" w:sz="8" w:space="0"/>
          <w:left w:val="single" w:color="70AD47" w:themeColor="accent6" w:sz="8" w:space="0"/>
          <w:bottom w:val="single" w:color="70AD47" w:themeColor="accent6" w:sz="8" w:space="0"/>
          <w:right w:val="single" w:color="70AD47" w:themeColor="accent6" w:sz="8" w:space="0"/>
        </w:tcBorders>
        <w:shd w:val="clear" w:color="auto" w:fill="DBEBD0" w:themeFill="accent6" w:themeFillTint="3F"/>
      </w:tcPr>
    </w:tblStylePr>
    <w:tblStylePr w:type="band1Horz">
      <w:tblPr/>
      <w:tcPr>
        <w:tcBorders>
          <w:top w:val="single" w:color="70AD47" w:themeColor="accent6" w:sz="8" w:space="0"/>
          <w:left w:val="single" w:color="70AD47" w:themeColor="accent6" w:sz="8" w:space="0"/>
          <w:bottom w:val="single" w:color="70AD47" w:themeColor="accent6" w:sz="8" w:space="0"/>
          <w:right w:val="single" w:color="70AD47" w:themeColor="accent6" w:sz="8" w:space="0"/>
          <w:insideV w:val="single" w:sz="8" w:space="0"/>
        </w:tcBorders>
        <w:shd w:val="clear" w:color="auto" w:fill="DBEBD0" w:themeFill="accent6" w:themeFillTint="3F"/>
      </w:tcPr>
    </w:tblStylePr>
    <w:tblStylePr w:type="band2Horz">
      <w:tblPr/>
      <w:tcPr>
        <w:tcBorders>
          <w:top w:val="single" w:color="70AD47" w:themeColor="accent6" w:sz="8" w:space="0"/>
          <w:left w:val="single" w:color="70AD47" w:themeColor="accent6" w:sz="8" w:space="0"/>
          <w:bottom w:val="single" w:color="70AD47" w:themeColor="accent6" w:sz="8" w:space="0"/>
          <w:right w:val="single" w:color="70AD47" w:themeColor="accent6" w:sz="8" w:space="0"/>
          <w:insideV w:val="single" w:sz="8" w:space="0"/>
        </w:tcBorders>
      </w:tcPr>
    </w:tblStylePr>
  </w:style>
  <w:style w:type="table" w:styleId="146">
    <w:name w:val="Medium Shading 1 Accent 2"/>
    <w:basedOn w:val="86"/>
    <w:qFormat/>
    <w:uiPriority w:val="63"/>
    <w:tblPr>
      <w:tblBorders>
        <w:top w:val="single" w:color="F19D64" w:themeColor="accent2" w:themeTint="BF" w:sz="8" w:space="0"/>
        <w:left w:val="single" w:color="F19D64" w:themeColor="accent2" w:themeTint="BF" w:sz="8" w:space="0"/>
        <w:bottom w:val="single" w:color="F19D64" w:themeColor="accent2" w:themeTint="BF" w:sz="8" w:space="0"/>
        <w:right w:val="single" w:color="F19D64" w:themeColor="accent2" w:themeTint="BF" w:sz="8" w:space="0"/>
        <w:insideH w:val="single" w:color="F19D64" w:themeColor="accent2" w:themeTint="BF" w:sz="8" w:space="0"/>
      </w:tblBorders>
      <w:tblCellMar>
        <w:top w:w="0" w:type="dxa"/>
        <w:left w:w="108" w:type="dxa"/>
        <w:bottom w:w="0" w:type="dxa"/>
        <w:right w:w="108" w:type="dxa"/>
      </w:tblCellMar>
    </w:tblPr>
    <w:tblStylePr w:type="firstRow">
      <w:pPr>
        <w:spacing w:before="0" w:after="0" w:line="480" w:lineRule="auto"/>
      </w:pPr>
      <w:rPr>
        <w:b/>
        <w:bCs/>
        <w:color w:val="FFFFFF" w:themeColor="background1"/>
        <w14:textFill>
          <w14:solidFill>
            <w14:schemeClr w14:val="bg1"/>
          </w14:solidFill>
        </w14:textFill>
      </w:rPr>
      <w:tblPr/>
      <w:tcPr>
        <w:tcBorders>
          <w:top w:val="single" w:color="F19D64" w:themeColor="accent2" w:themeTint="BF" w:sz="8" w:space="0"/>
          <w:left w:val="single" w:color="F19D64" w:themeColor="accent2" w:themeTint="BF" w:sz="8" w:space="0"/>
          <w:bottom w:val="single" w:color="F19D64" w:themeColor="accent2" w:themeTint="BF" w:sz="8" w:space="0"/>
          <w:right w:val="single" w:color="F19D64" w:themeColor="accent2" w:themeTint="BF" w:sz="8" w:space="0"/>
          <w:insideH w:val="nil"/>
          <w:insideV w:val="nil"/>
        </w:tcBorders>
        <w:shd w:val="clear" w:color="auto" w:fill="ED7D31" w:themeFill="accent2"/>
      </w:tcPr>
    </w:tblStylePr>
    <w:tblStylePr w:type="lastRow">
      <w:pPr>
        <w:spacing w:before="0" w:after="0" w:line="480" w:lineRule="auto"/>
      </w:pPr>
      <w:rPr>
        <w:b/>
        <w:bCs/>
      </w:rPr>
      <w:tblPr/>
      <w:tcPr>
        <w:tcBorders>
          <w:top w:val="double" w:color="F19D64" w:themeColor="accent2" w:themeTint="BF" w:sz="6" w:space="0"/>
          <w:left w:val="single" w:color="F19D64" w:themeColor="accent2" w:themeTint="BF" w:sz="8" w:space="0"/>
          <w:bottom w:val="single" w:color="F19D64" w:themeColor="accent2" w:themeTint="BF" w:sz="8" w:space="0"/>
          <w:right w:val="single" w:color="F19D64"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FADECC" w:themeFill="accent2" w:themeFillTint="3F"/>
      </w:tcPr>
    </w:tblStylePr>
    <w:tblStylePr w:type="band1Horz">
      <w:tblPr/>
      <w:tcPr>
        <w:tcBorders>
          <w:insideH w:val="nil"/>
          <w:insideV w:val="nil"/>
        </w:tcBorders>
        <w:shd w:val="clear" w:color="auto" w:fill="FADECC" w:themeFill="accent2" w:themeFillTint="3F"/>
      </w:tcPr>
    </w:tblStylePr>
    <w:tblStylePr w:type="band2Horz">
      <w:tblPr/>
      <w:tcPr>
        <w:tcBorders>
          <w:insideH w:val="nil"/>
          <w:insideV w:val="nil"/>
        </w:tcBorders>
      </w:tcPr>
    </w:tblStylePr>
  </w:style>
  <w:style w:type="table" w:styleId="147">
    <w:name w:val="Medium Shading 1 Accent 3"/>
    <w:basedOn w:val="86"/>
    <w:qFormat/>
    <w:uiPriority w:val="63"/>
    <w:tblPr>
      <w:tblBorders>
        <w:top w:val="single" w:color="BBBBBB" w:themeColor="accent3" w:themeTint="BF" w:sz="8" w:space="0"/>
        <w:left w:val="single" w:color="BBBBBB" w:themeColor="accent3" w:themeTint="BF" w:sz="8" w:space="0"/>
        <w:bottom w:val="single" w:color="BBBBBB" w:themeColor="accent3" w:themeTint="BF" w:sz="8" w:space="0"/>
        <w:right w:val="single" w:color="BBBBBB" w:themeColor="accent3" w:themeTint="BF" w:sz="8" w:space="0"/>
        <w:insideH w:val="single" w:color="BBBBBB" w:themeColor="accent3" w:themeTint="BF" w:sz="8" w:space="0"/>
      </w:tblBorders>
      <w:tblCellMar>
        <w:top w:w="0" w:type="dxa"/>
        <w:left w:w="108" w:type="dxa"/>
        <w:bottom w:w="0" w:type="dxa"/>
        <w:right w:w="108" w:type="dxa"/>
      </w:tblCellMar>
    </w:tblPr>
    <w:tblStylePr w:type="firstRow">
      <w:pPr>
        <w:spacing w:before="0" w:after="0" w:line="480" w:lineRule="auto"/>
      </w:pPr>
      <w:rPr>
        <w:b/>
        <w:bCs/>
        <w:color w:val="FFFFFF" w:themeColor="background1"/>
        <w14:textFill>
          <w14:solidFill>
            <w14:schemeClr w14:val="bg1"/>
          </w14:solidFill>
        </w14:textFill>
      </w:rPr>
      <w:tblPr/>
      <w:tcPr>
        <w:tcBorders>
          <w:top w:val="single" w:color="BBBBBB" w:themeColor="accent3" w:themeTint="BF" w:sz="8" w:space="0"/>
          <w:left w:val="single" w:color="BBBBBB" w:themeColor="accent3" w:themeTint="BF" w:sz="8" w:space="0"/>
          <w:bottom w:val="single" w:color="BBBBBB" w:themeColor="accent3" w:themeTint="BF" w:sz="8" w:space="0"/>
          <w:right w:val="single" w:color="BBBBBB" w:themeColor="accent3" w:themeTint="BF" w:sz="8" w:space="0"/>
          <w:insideH w:val="nil"/>
          <w:insideV w:val="nil"/>
        </w:tcBorders>
        <w:shd w:val="clear" w:color="auto" w:fill="A5A5A5" w:themeFill="accent3"/>
      </w:tcPr>
    </w:tblStylePr>
    <w:tblStylePr w:type="lastRow">
      <w:pPr>
        <w:spacing w:before="0" w:after="0" w:line="480" w:lineRule="auto"/>
      </w:pPr>
      <w:rPr>
        <w:b/>
        <w:bCs/>
      </w:rPr>
      <w:tblPr/>
      <w:tcPr>
        <w:tcBorders>
          <w:top w:val="double" w:color="BBBBBB" w:themeColor="accent3" w:themeTint="BF" w:sz="6" w:space="0"/>
          <w:left w:val="single" w:color="BBBBBB" w:themeColor="accent3" w:themeTint="BF" w:sz="8" w:space="0"/>
          <w:bottom w:val="single" w:color="BBBBBB" w:themeColor="accent3" w:themeTint="BF" w:sz="8" w:space="0"/>
          <w:right w:val="single" w:color="BBBBBB"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8E8E8" w:themeFill="accent3" w:themeFillTint="3F"/>
      </w:tcPr>
    </w:tblStylePr>
    <w:tblStylePr w:type="band1Horz">
      <w:tblPr/>
      <w:tcPr>
        <w:tcBorders>
          <w:insideH w:val="nil"/>
          <w:insideV w:val="nil"/>
        </w:tcBorders>
        <w:shd w:val="clear" w:color="auto" w:fill="E8E8E8" w:themeFill="accent3" w:themeFillTint="3F"/>
      </w:tcPr>
    </w:tblStylePr>
    <w:tblStylePr w:type="band2Horz">
      <w:tblPr/>
      <w:tcPr>
        <w:tcBorders>
          <w:insideH w:val="nil"/>
          <w:insideV w:val="nil"/>
        </w:tcBorders>
      </w:tcPr>
    </w:tblStylePr>
  </w:style>
  <w:style w:type="table" w:styleId="148">
    <w:name w:val="Medium Shading 1 Accent 4"/>
    <w:basedOn w:val="86"/>
    <w:qFormat/>
    <w:uiPriority w:val="63"/>
    <w:tblPr>
      <w:tblBorders>
        <w:top w:val="single" w:color="FFCF3F" w:themeColor="accent4" w:themeTint="BF" w:sz="8" w:space="0"/>
        <w:left w:val="single" w:color="FFCF3F" w:themeColor="accent4" w:themeTint="BF" w:sz="8" w:space="0"/>
        <w:bottom w:val="single" w:color="FFCF3F" w:themeColor="accent4" w:themeTint="BF" w:sz="8" w:space="0"/>
        <w:right w:val="single" w:color="FFCF3F" w:themeColor="accent4" w:themeTint="BF" w:sz="8" w:space="0"/>
        <w:insideH w:val="single" w:color="FFCF3F" w:themeColor="accent4" w:themeTint="BF" w:sz="8" w:space="0"/>
      </w:tblBorders>
      <w:tblCellMar>
        <w:top w:w="0" w:type="dxa"/>
        <w:left w:w="108" w:type="dxa"/>
        <w:bottom w:w="0" w:type="dxa"/>
        <w:right w:w="108" w:type="dxa"/>
      </w:tblCellMar>
    </w:tblPr>
    <w:tblStylePr w:type="firstRow">
      <w:pPr>
        <w:spacing w:before="0" w:after="0" w:line="480" w:lineRule="auto"/>
      </w:pPr>
      <w:rPr>
        <w:b/>
        <w:bCs/>
        <w:color w:val="FFFFFF" w:themeColor="background1"/>
        <w14:textFill>
          <w14:solidFill>
            <w14:schemeClr w14:val="bg1"/>
          </w14:solidFill>
        </w14:textFill>
      </w:rPr>
      <w:tblPr/>
      <w:tcPr>
        <w:tcBorders>
          <w:top w:val="single" w:color="FFCF3F" w:themeColor="accent4" w:themeTint="BF" w:sz="8" w:space="0"/>
          <w:left w:val="single" w:color="FFCF3F" w:themeColor="accent4" w:themeTint="BF" w:sz="8" w:space="0"/>
          <w:bottom w:val="single" w:color="FFCF3F" w:themeColor="accent4" w:themeTint="BF" w:sz="8" w:space="0"/>
          <w:right w:val="single" w:color="FFCF3F" w:themeColor="accent4" w:themeTint="BF" w:sz="8" w:space="0"/>
          <w:insideH w:val="nil"/>
          <w:insideV w:val="nil"/>
        </w:tcBorders>
        <w:shd w:val="clear" w:color="auto" w:fill="FFC000" w:themeFill="accent4"/>
      </w:tcPr>
    </w:tblStylePr>
    <w:tblStylePr w:type="lastRow">
      <w:pPr>
        <w:spacing w:before="0" w:after="0" w:line="480" w:lineRule="auto"/>
      </w:pPr>
      <w:rPr>
        <w:b/>
        <w:bCs/>
      </w:rPr>
      <w:tblPr/>
      <w:tcPr>
        <w:tcBorders>
          <w:top w:val="double" w:color="FFCF3F" w:themeColor="accent4" w:themeTint="BF" w:sz="6" w:space="0"/>
          <w:left w:val="single" w:color="FFCF3F" w:themeColor="accent4" w:themeTint="BF" w:sz="8" w:space="0"/>
          <w:bottom w:val="single" w:color="FFCF3F" w:themeColor="accent4" w:themeTint="BF" w:sz="8" w:space="0"/>
          <w:right w:val="single" w:color="FFCF3F"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FFEFBF" w:themeFill="accent4" w:themeFillTint="3F"/>
      </w:tcPr>
    </w:tblStylePr>
    <w:tblStylePr w:type="band1Horz">
      <w:tblPr/>
      <w:tcPr>
        <w:tcBorders>
          <w:insideH w:val="nil"/>
          <w:insideV w:val="nil"/>
        </w:tcBorders>
        <w:shd w:val="clear" w:color="auto" w:fill="FFEFBF" w:themeFill="accent4" w:themeFillTint="3F"/>
      </w:tcPr>
    </w:tblStylePr>
    <w:tblStylePr w:type="band2Horz">
      <w:tblPr/>
      <w:tcPr>
        <w:tcBorders>
          <w:insideH w:val="nil"/>
          <w:insideV w:val="nil"/>
        </w:tcBorders>
      </w:tcPr>
    </w:tblStylePr>
  </w:style>
  <w:style w:type="table" w:styleId="149">
    <w:name w:val="Medium Shading 1 Accent 5"/>
    <w:basedOn w:val="86"/>
    <w:qFormat/>
    <w:uiPriority w:val="63"/>
    <w:tblPr>
      <w:tblBorders>
        <w:top w:val="single" w:color="84B4DF" w:themeColor="accent5" w:themeTint="BF" w:sz="8" w:space="0"/>
        <w:left w:val="single" w:color="84B4DF" w:themeColor="accent5" w:themeTint="BF" w:sz="8" w:space="0"/>
        <w:bottom w:val="single" w:color="84B4DF" w:themeColor="accent5" w:themeTint="BF" w:sz="8" w:space="0"/>
        <w:right w:val="single" w:color="84B4DF" w:themeColor="accent5" w:themeTint="BF" w:sz="8" w:space="0"/>
        <w:insideH w:val="single" w:color="84B4DF" w:themeColor="accent5" w:themeTint="BF" w:sz="8" w:space="0"/>
      </w:tblBorders>
      <w:tblCellMar>
        <w:top w:w="0" w:type="dxa"/>
        <w:left w:w="108" w:type="dxa"/>
        <w:bottom w:w="0" w:type="dxa"/>
        <w:right w:w="108" w:type="dxa"/>
      </w:tblCellMar>
    </w:tblPr>
    <w:tblStylePr w:type="firstRow">
      <w:pPr>
        <w:spacing w:before="0" w:after="0" w:line="480" w:lineRule="auto"/>
      </w:pPr>
      <w:rPr>
        <w:b/>
        <w:bCs/>
        <w:color w:val="FFFFFF" w:themeColor="background1"/>
        <w14:textFill>
          <w14:solidFill>
            <w14:schemeClr w14:val="bg1"/>
          </w14:solidFill>
        </w14:textFill>
      </w:rPr>
      <w:tblPr/>
      <w:tcPr>
        <w:tcBorders>
          <w:top w:val="single" w:color="84B4DF" w:themeColor="accent5" w:themeTint="BF" w:sz="8" w:space="0"/>
          <w:left w:val="single" w:color="84B4DF" w:themeColor="accent5" w:themeTint="BF" w:sz="8" w:space="0"/>
          <w:bottom w:val="single" w:color="84B4DF" w:themeColor="accent5" w:themeTint="BF" w:sz="8" w:space="0"/>
          <w:right w:val="single" w:color="84B4DF" w:themeColor="accent5" w:themeTint="BF" w:sz="8" w:space="0"/>
          <w:insideH w:val="nil"/>
          <w:insideV w:val="nil"/>
        </w:tcBorders>
        <w:shd w:val="clear" w:color="auto" w:fill="5B9BD5" w:themeFill="accent5"/>
      </w:tcPr>
    </w:tblStylePr>
    <w:tblStylePr w:type="lastRow">
      <w:pPr>
        <w:spacing w:before="0" w:after="0" w:line="480" w:lineRule="auto"/>
      </w:pPr>
      <w:rPr>
        <w:b/>
        <w:bCs/>
      </w:rPr>
      <w:tblPr/>
      <w:tcPr>
        <w:tcBorders>
          <w:top w:val="double" w:color="84B4DF" w:themeColor="accent5" w:themeTint="BF" w:sz="6" w:space="0"/>
          <w:left w:val="single" w:color="84B4DF" w:themeColor="accent5" w:themeTint="BF" w:sz="8" w:space="0"/>
          <w:bottom w:val="single" w:color="84B4DF" w:themeColor="accent5" w:themeTint="BF" w:sz="8" w:space="0"/>
          <w:right w:val="single" w:color="84B4DF"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6E6F4" w:themeFill="accent5" w:themeFillTint="3F"/>
      </w:tcPr>
    </w:tblStylePr>
    <w:tblStylePr w:type="band1Horz">
      <w:tblPr/>
      <w:tcPr>
        <w:tcBorders>
          <w:insideH w:val="nil"/>
          <w:insideV w:val="nil"/>
        </w:tcBorders>
        <w:shd w:val="clear" w:color="auto" w:fill="D6E6F4" w:themeFill="accent5" w:themeFillTint="3F"/>
      </w:tcPr>
    </w:tblStylePr>
    <w:tblStylePr w:type="band2Horz">
      <w:tblPr/>
      <w:tcPr>
        <w:tcBorders>
          <w:insideH w:val="nil"/>
          <w:insideV w:val="nil"/>
        </w:tcBorders>
      </w:tcPr>
    </w:tblStylePr>
  </w:style>
  <w:style w:type="table" w:styleId="150">
    <w:name w:val="Medium Shading 1 Accent 6"/>
    <w:basedOn w:val="86"/>
    <w:qFormat/>
    <w:uiPriority w:val="63"/>
    <w:tblPr>
      <w:tblBorders>
        <w:top w:val="single" w:color="93C571" w:themeColor="accent6" w:themeTint="BF" w:sz="8" w:space="0"/>
        <w:left w:val="single" w:color="93C571" w:themeColor="accent6" w:themeTint="BF" w:sz="8" w:space="0"/>
        <w:bottom w:val="single" w:color="93C571" w:themeColor="accent6" w:themeTint="BF" w:sz="8" w:space="0"/>
        <w:right w:val="single" w:color="93C571" w:themeColor="accent6" w:themeTint="BF" w:sz="8" w:space="0"/>
        <w:insideH w:val="single" w:color="93C571" w:themeColor="accent6" w:themeTint="BF" w:sz="8" w:space="0"/>
      </w:tblBorders>
      <w:tblCellMar>
        <w:top w:w="0" w:type="dxa"/>
        <w:left w:w="108" w:type="dxa"/>
        <w:bottom w:w="0" w:type="dxa"/>
        <w:right w:w="108" w:type="dxa"/>
      </w:tblCellMar>
    </w:tblPr>
    <w:tblStylePr w:type="firstRow">
      <w:pPr>
        <w:spacing w:before="0" w:after="0" w:line="480" w:lineRule="auto"/>
      </w:pPr>
      <w:rPr>
        <w:b/>
        <w:bCs/>
        <w:color w:val="FFFFFF" w:themeColor="background1"/>
        <w14:textFill>
          <w14:solidFill>
            <w14:schemeClr w14:val="bg1"/>
          </w14:solidFill>
        </w14:textFill>
      </w:rPr>
      <w:tblPr/>
      <w:tcPr>
        <w:tcBorders>
          <w:top w:val="single" w:color="93C571" w:themeColor="accent6" w:themeTint="BF" w:sz="8" w:space="0"/>
          <w:left w:val="single" w:color="93C571" w:themeColor="accent6" w:themeTint="BF" w:sz="8" w:space="0"/>
          <w:bottom w:val="single" w:color="93C571" w:themeColor="accent6" w:themeTint="BF" w:sz="8" w:space="0"/>
          <w:right w:val="single" w:color="93C571" w:themeColor="accent6" w:themeTint="BF" w:sz="8" w:space="0"/>
          <w:insideH w:val="nil"/>
          <w:insideV w:val="nil"/>
        </w:tcBorders>
        <w:shd w:val="clear" w:color="auto" w:fill="70AD47" w:themeFill="accent6"/>
      </w:tcPr>
    </w:tblStylePr>
    <w:tblStylePr w:type="lastRow">
      <w:pPr>
        <w:spacing w:before="0" w:after="0" w:line="480" w:lineRule="auto"/>
      </w:pPr>
      <w:rPr>
        <w:b/>
        <w:bCs/>
      </w:rPr>
      <w:tblPr/>
      <w:tcPr>
        <w:tcBorders>
          <w:top w:val="double" w:color="93C571" w:themeColor="accent6" w:themeTint="BF" w:sz="6" w:space="0"/>
          <w:left w:val="single" w:color="93C571" w:themeColor="accent6" w:themeTint="BF" w:sz="8" w:space="0"/>
          <w:bottom w:val="single" w:color="93C571" w:themeColor="accent6" w:themeTint="BF" w:sz="8" w:space="0"/>
          <w:right w:val="single" w:color="93C571"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DBEBD0" w:themeFill="accent6" w:themeFillTint="3F"/>
      </w:tcPr>
    </w:tblStylePr>
    <w:tblStylePr w:type="band1Horz">
      <w:tblPr/>
      <w:tcPr>
        <w:tcBorders>
          <w:insideH w:val="nil"/>
          <w:insideV w:val="nil"/>
        </w:tcBorders>
        <w:shd w:val="clear" w:color="auto" w:fill="DBEBD0" w:themeFill="accent6" w:themeFillTint="3F"/>
      </w:tcPr>
    </w:tblStylePr>
    <w:tblStylePr w:type="band2Horz">
      <w:tblPr/>
      <w:tcPr>
        <w:tcBorders>
          <w:insideH w:val="nil"/>
          <w:insideV w:val="nil"/>
        </w:tcBorders>
      </w:tcPr>
    </w:tblStylePr>
  </w:style>
  <w:style w:type="table" w:styleId="151">
    <w:name w:val="Medium Shading 2 Accent 2"/>
    <w:basedOn w:val="86"/>
    <w:qFormat/>
    <w:uiPriority w:val="64"/>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48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ED7D31" w:themeFill="accent2"/>
      </w:tcPr>
    </w:tblStylePr>
    <w:tblStylePr w:type="lastRow">
      <w:pPr>
        <w:spacing w:before="0" w:after="0" w:line="48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ED7D31"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ED7D31"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152">
    <w:name w:val="Medium Shading 2 Accent 3"/>
    <w:basedOn w:val="86"/>
    <w:qFormat/>
    <w:uiPriority w:val="64"/>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48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A5A5A5" w:themeFill="accent3"/>
      </w:tcPr>
    </w:tblStylePr>
    <w:tblStylePr w:type="lastRow">
      <w:pPr>
        <w:spacing w:before="0" w:after="0" w:line="48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A5A5A5"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A5A5A5"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153">
    <w:name w:val="Medium Shading 2 Accent 4"/>
    <w:basedOn w:val="86"/>
    <w:qFormat/>
    <w:uiPriority w:val="64"/>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48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FC000" w:themeFill="accent4"/>
      </w:tcPr>
    </w:tblStylePr>
    <w:tblStylePr w:type="lastRow">
      <w:pPr>
        <w:spacing w:before="0" w:after="0" w:line="48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FC000"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FC000"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154">
    <w:name w:val="Medium Shading 2 Accent 5"/>
    <w:basedOn w:val="86"/>
    <w:qFormat/>
    <w:uiPriority w:val="64"/>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48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5B9BD5" w:themeFill="accent5"/>
      </w:tcPr>
    </w:tblStylePr>
    <w:tblStylePr w:type="lastRow">
      <w:pPr>
        <w:spacing w:before="0" w:after="0" w:line="48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5B9BD5"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5B9BD5"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155">
    <w:name w:val="Medium Shading 2 Accent 6"/>
    <w:basedOn w:val="86"/>
    <w:qFormat/>
    <w:uiPriority w:val="64"/>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48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70AD47" w:themeFill="accent6"/>
      </w:tcPr>
    </w:tblStylePr>
    <w:tblStylePr w:type="lastRow">
      <w:pPr>
        <w:spacing w:before="0" w:after="0" w:line="48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70AD47"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70AD47"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156">
    <w:name w:val="Medium List 1 Accent 2"/>
    <w:basedOn w:val="86"/>
    <w:qFormat/>
    <w:uiPriority w:val="65"/>
    <w:rPr>
      <w:color w:val="000000" w:themeColor="text1"/>
      <w14:textFill>
        <w14:solidFill>
          <w14:schemeClr w14:val="tx1"/>
        </w14:solidFill>
      </w14:textFill>
    </w:rPr>
    <w:tblPr>
      <w:tblBorders>
        <w:top w:val="single" w:color="ED7D31" w:themeColor="accent2" w:sz="8" w:space="0"/>
        <w:bottom w:val="single" w:color="ED7D31"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ED7D31" w:themeColor="accent2" w:sz="8" w:space="0"/>
        </w:tcBorders>
      </w:tcPr>
    </w:tblStylePr>
    <w:tblStylePr w:type="lastRow">
      <w:rPr>
        <w:b/>
        <w:bCs/>
        <w:color w:val="44546A" w:themeColor="text2"/>
        <w14:textFill>
          <w14:solidFill>
            <w14:schemeClr w14:val="tx2"/>
          </w14:solidFill>
        </w14:textFill>
      </w:rPr>
      <w:tblPr/>
      <w:tcPr>
        <w:tcBorders>
          <w:top w:val="single" w:color="ED7D31" w:themeColor="accent2" w:sz="8" w:space="0"/>
          <w:bottom w:val="single" w:color="ED7D31" w:themeColor="accent2" w:sz="8" w:space="0"/>
        </w:tcBorders>
      </w:tcPr>
    </w:tblStylePr>
    <w:tblStylePr w:type="firstCol">
      <w:rPr>
        <w:b/>
        <w:bCs/>
      </w:rPr>
    </w:tblStylePr>
    <w:tblStylePr w:type="lastCol">
      <w:rPr>
        <w:b/>
        <w:bCs/>
      </w:rPr>
      <w:tblPr/>
      <w:tcPr>
        <w:tcBorders>
          <w:top w:val="single" w:color="ED7D31" w:themeColor="accent2" w:sz="8" w:space="0"/>
          <w:bottom w:val="single" w:color="ED7D31" w:themeColor="accent2" w:sz="8" w:space="0"/>
        </w:tcBorders>
      </w:tcPr>
    </w:tblStylePr>
    <w:tblStylePr w:type="band1Vert">
      <w:tblPr/>
      <w:tcPr>
        <w:shd w:val="clear" w:color="auto" w:fill="FADECC" w:themeFill="accent2" w:themeFillTint="3F"/>
      </w:tcPr>
    </w:tblStylePr>
    <w:tblStylePr w:type="band1Horz">
      <w:tblPr/>
      <w:tcPr>
        <w:shd w:val="clear" w:color="auto" w:fill="FADECC" w:themeFill="accent2" w:themeFillTint="3F"/>
      </w:tcPr>
    </w:tblStylePr>
  </w:style>
  <w:style w:type="table" w:styleId="157">
    <w:name w:val="Medium List 1 Accent 3"/>
    <w:basedOn w:val="86"/>
    <w:qFormat/>
    <w:uiPriority w:val="65"/>
    <w:rPr>
      <w:color w:val="000000" w:themeColor="text1"/>
      <w14:textFill>
        <w14:solidFill>
          <w14:schemeClr w14:val="tx1"/>
        </w14:solidFill>
      </w14:textFill>
    </w:rPr>
    <w:tblPr>
      <w:tblBorders>
        <w:top w:val="single" w:color="A5A5A5" w:themeColor="accent3" w:sz="8" w:space="0"/>
        <w:bottom w:val="single" w:color="A5A5A5"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A5A5A5" w:themeColor="accent3" w:sz="8" w:space="0"/>
        </w:tcBorders>
      </w:tcPr>
    </w:tblStylePr>
    <w:tblStylePr w:type="lastRow">
      <w:rPr>
        <w:b/>
        <w:bCs/>
        <w:color w:val="44546A" w:themeColor="text2"/>
        <w14:textFill>
          <w14:solidFill>
            <w14:schemeClr w14:val="tx2"/>
          </w14:solidFill>
        </w14:textFill>
      </w:rPr>
      <w:tblPr/>
      <w:tcPr>
        <w:tcBorders>
          <w:top w:val="single" w:color="A5A5A5" w:themeColor="accent3" w:sz="8" w:space="0"/>
          <w:bottom w:val="single" w:color="A5A5A5" w:themeColor="accent3" w:sz="8" w:space="0"/>
        </w:tcBorders>
      </w:tcPr>
    </w:tblStylePr>
    <w:tblStylePr w:type="firstCol">
      <w:rPr>
        <w:b/>
        <w:bCs/>
      </w:rPr>
    </w:tblStylePr>
    <w:tblStylePr w:type="lastCol">
      <w:rPr>
        <w:b/>
        <w:bCs/>
      </w:rPr>
      <w:tblPr/>
      <w:tcPr>
        <w:tcBorders>
          <w:top w:val="single" w:color="A5A5A5" w:themeColor="accent3" w:sz="8" w:space="0"/>
          <w:bottom w:val="single" w:color="A5A5A5" w:themeColor="accent3" w:sz="8" w:space="0"/>
        </w:tcBorders>
      </w:tcPr>
    </w:tblStylePr>
    <w:tblStylePr w:type="band1Vert">
      <w:tblPr/>
      <w:tcPr>
        <w:shd w:val="clear" w:color="auto" w:fill="E8E8E8" w:themeFill="accent3" w:themeFillTint="3F"/>
      </w:tcPr>
    </w:tblStylePr>
    <w:tblStylePr w:type="band1Horz">
      <w:tblPr/>
      <w:tcPr>
        <w:shd w:val="clear" w:color="auto" w:fill="E8E8E8" w:themeFill="accent3" w:themeFillTint="3F"/>
      </w:tcPr>
    </w:tblStylePr>
  </w:style>
  <w:style w:type="table" w:styleId="158">
    <w:name w:val="Medium List 1 Accent 4"/>
    <w:basedOn w:val="86"/>
    <w:qFormat/>
    <w:uiPriority w:val="65"/>
    <w:rPr>
      <w:color w:val="000000" w:themeColor="text1"/>
      <w14:textFill>
        <w14:solidFill>
          <w14:schemeClr w14:val="tx1"/>
        </w14:solidFill>
      </w14:textFill>
    </w:rPr>
    <w:tblPr>
      <w:tblBorders>
        <w:top w:val="single" w:color="FFC000" w:themeColor="accent4" w:sz="8" w:space="0"/>
        <w:bottom w:val="single" w:color="FFC000"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FC000" w:themeColor="accent4" w:sz="8" w:space="0"/>
        </w:tcBorders>
      </w:tcPr>
    </w:tblStylePr>
    <w:tblStylePr w:type="lastRow">
      <w:rPr>
        <w:b/>
        <w:bCs/>
        <w:color w:val="44546A" w:themeColor="text2"/>
        <w14:textFill>
          <w14:solidFill>
            <w14:schemeClr w14:val="tx2"/>
          </w14:solidFill>
        </w14:textFill>
      </w:rPr>
      <w:tblPr/>
      <w:tcPr>
        <w:tcBorders>
          <w:top w:val="single" w:color="FFC000" w:themeColor="accent4" w:sz="8" w:space="0"/>
          <w:bottom w:val="single" w:color="FFC000" w:themeColor="accent4" w:sz="8" w:space="0"/>
        </w:tcBorders>
      </w:tcPr>
    </w:tblStylePr>
    <w:tblStylePr w:type="firstCol">
      <w:rPr>
        <w:b/>
        <w:bCs/>
      </w:rPr>
    </w:tblStylePr>
    <w:tblStylePr w:type="lastCol">
      <w:rPr>
        <w:b/>
        <w:bCs/>
      </w:rPr>
      <w:tblPr/>
      <w:tcPr>
        <w:tcBorders>
          <w:top w:val="single" w:color="FFC000" w:themeColor="accent4" w:sz="8" w:space="0"/>
          <w:bottom w:val="single" w:color="FFC000" w:themeColor="accent4" w:sz="8" w:space="0"/>
        </w:tcBorders>
      </w:tcPr>
    </w:tblStylePr>
    <w:tblStylePr w:type="band1Vert">
      <w:tblPr/>
      <w:tcPr>
        <w:shd w:val="clear" w:color="auto" w:fill="FFEFBF" w:themeFill="accent4" w:themeFillTint="3F"/>
      </w:tcPr>
    </w:tblStylePr>
    <w:tblStylePr w:type="band1Horz">
      <w:tblPr/>
      <w:tcPr>
        <w:shd w:val="clear" w:color="auto" w:fill="FFEFBF" w:themeFill="accent4" w:themeFillTint="3F"/>
      </w:tcPr>
    </w:tblStylePr>
  </w:style>
  <w:style w:type="table" w:styleId="159">
    <w:name w:val="Medium List 1 Accent 5"/>
    <w:basedOn w:val="86"/>
    <w:qFormat/>
    <w:uiPriority w:val="65"/>
    <w:rPr>
      <w:color w:val="000000" w:themeColor="text1"/>
      <w14:textFill>
        <w14:solidFill>
          <w14:schemeClr w14:val="tx1"/>
        </w14:solidFill>
      </w14:textFill>
    </w:rPr>
    <w:tblPr>
      <w:tblBorders>
        <w:top w:val="single" w:color="5B9BD5" w:themeColor="accent5" w:sz="8" w:space="0"/>
        <w:bottom w:val="single" w:color="5B9BD5"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5B9BD5" w:themeColor="accent5" w:sz="8" w:space="0"/>
        </w:tcBorders>
      </w:tcPr>
    </w:tblStylePr>
    <w:tblStylePr w:type="lastRow">
      <w:rPr>
        <w:b/>
        <w:bCs/>
        <w:color w:val="44546A" w:themeColor="text2"/>
        <w14:textFill>
          <w14:solidFill>
            <w14:schemeClr w14:val="tx2"/>
          </w14:solidFill>
        </w14:textFill>
      </w:rPr>
      <w:tblPr/>
      <w:tcPr>
        <w:tcBorders>
          <w:top w:val="single" w:color="5B9BD5" w:themeColor="accent5" w:sz="8" w:space="0"/>
          <w:bottom w:val="single" w:color="5B9BD5" w:themeColor="accent5" w:sz="8" w:space="0"/>
        </w:tcBorders>
      </w:tcPr>
    </w:tblStylePr>
    <w:tblStylePr w:type="firstCol">
      <w:rPr>
        <w:b/>
        <w:bCs/>
      </w:rPr>
    </w:tblStylePr>
    <w:tblStylePr w:type="lastCol">
      <w:rPr>
        <w:b/>
        <w:bCs/>
      </w:rPr>
      <w:tblPr/>
      <w:tcPr>
        <w:tcBorders>
          <w:top w:val="single" w:color="5B9BD5" w:themeColor="accent5" w:sz="8" w:space="0"/>
          <w:bottom w:val="single" w:color="5B9BD5" w:themeColor="accent5" w:sz="8" w:space="0"/>
        </w:tcBorders>
      </w:tcPr>
    </w:tblStylePr>
    <w:tblStylePr w:type="band1Vert">
      <w:tblPr/>
      <w:tcPr>
        <w:shd w:val="clear" w:color="auto" w:fill="D6E6F4" w:themeFill="accent5" w:themeFillTint="3F"/>
      </w:tcPr>
    </w:tblStylePr>
    <w:tblStylePr w:type="band1Horz">
      <w:tblPr/>
      <w:tcPr>
        <w:shd w:val="clear" w:color="auto" w:fill="D6E6F4" w:themeFill="accent5" w:themeFillTint="3F"/>
      </w:tcPr>
    </w:tblStylePr>
  </w:style>
  <w:style w:type="table" w:styleId="160">
    <w:name w:val="Medium List 1 Accent 6"/>
    <w:basedOn w:val="86"/>
    <w:qFormat/>
    <w:uiPriority w:val="65"/>
    <w:rPr>
      <w:color w:val="000000" w:themeColor="text1"/>
      <w14:textFill>
        <w14:solidFill>
          <w14:schemeClr w14:val="tx1"/>
        </w14:solidFill>
      </w14:textFill>
    </w:rPr>
    <w:tblPr>
      <w:tblBorders>
        <w:top w:val="single" w:color="70AD47" w:themeColor="accent6" w:sz="8" w:space="0"/>
        <w:bottom w:val="single" w:color="70AD47"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70AD47" w:themeColor="accent6" w:sz="8" w:space="0"/>
        </w:tcBorders>
      </w:tcPr>
    </w:tblStylePr>
    <w:tblStylePr w:type="lastRow">
      <w:rPr>
        <w:b/>
        <w:bCs/>
        <w:color w:val="44546A" w:themeColor="text2"/>
        <w14:textFill>
          <w14:solidFill>
            <w14:schemeClr w14:val="tx2"/>
          </w14:solidFill>
        </w14:textFill>
      </w:rPr>
      <w:tblPr/>
      <w:tcPr>
        <w:tcBorders>
          <w:top w:val="single" w:color="70AD47" w:themeColor="accent6" w:sz="8" w:space="0"/>
          <w:bottom w:val="single" w:color="70AD47" w:themeColor="accent6" w:sz="8" w:space="0"/>
        </w:tcBorders>
      </w:tcPr>
    </w:tblStylePr>
    <w:tblStylePr w:type="firstCol">
      <w:rPr>
        <w:b/>
        <w:bCs/>
      </w:rPr>
    </w:tblStylePr>
    <w:tblStylePr w:type="lastCol">
      <w:rPr>
        <w:b/>
        <w:bCs/>
      </w:rPr>
      <w:tblPr/>
      <w:tcPr>
        <w:tcBorders>
          <w:top w:val="single" w:color="70AD47" w:themeColor="accent6" w:sz="8" w:space="0"/>
          <w:bottom w:val="single" w:color="70AD47" w:themeColor="accent6" w:sz="8" w:space="0"/>
        </w:tcBorders>
      </w:tcPr>
    </w:tblStylePr>
    <w:tblStylePr w:type="band1Vert">
      <w:tblPr/>
      <w:tcPr>
        <w:shd w:val="clear" w:color="auto" w:fill="DBEBD0" w:themeFill="accent6" w:themeFillTint="3F"/>
      </w:tcPr>
    </w:tblStylePr>
    <w:tblStylePr w:type="band1Horz">
      <w:tblPr/>
      <w:tcPr>
        <w:shd w:val="clear" w:color="auto" w:fill="DBEBD0" w:themeFill="accent6" w:themeFillTint="3F"/>
      </w:tcPr>
    </w:tblStylePr>
  </w:style>
  <w:style w:type="table" w:styleId="161">
    <w:name w:val="Medium List 2 Accent 1"/>
    <w:basedOn w:val="86"/>
    <w:autoRedefine/>
    <w:qFormat/>
    <w:uiPriority w:val="66"/>
    <w:rPr>
      <w:rFonts w:asciiTheme="majorHAnsi" w:hAnsiTheme="majorHAnsi" w:eastAsiaTheme="majorEastAsia" w:cstheme="majorBidi"/>
      <w:color w:val="000000" w:themeColor="text1"/>
      <w14:textFill>
        <w14:solidFill>
          <w14:schemeClr w14:val="tx1"/>
        </w14:solidFill>
      </w14:textFill>
    </w:rPr>
    <w:tblPr>
      <w:tblBorders>
        <w:top w:val="single" w:color="4472C4" w:themeColor="accent1" w:sz="8" w:space="0"/>
        <w:left w:val="single" w:color="4472C4" w:themeColor="accent1" w:sz="8" w:space="0"/>
        <w:bottom w:val="single" w:color="4472C4" w:themeColor="accent1" w:sz="8" w:space="0"/>
        <w:right w:val="single" w:color="4472C4"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472C4" w:themeColor="accent1" w:sz="24" w:space="0"/>
          <w:right w:val="nil"/>
          <w:insideH w:val="nil"/>
          <w:insideV w:val="nil"/>
        </w:tcBorders>
        <w:shd w:val="clear" w:color="auto" w:fill="FFFFFF" w:themeFill="background1"/>
      </w:tcPr>
    </w:tblStylePr>
    <w:tblStylePr w:type="lastRow">
      <w:tblPr/>
      <w:tcPr>
        <w:tcBorders>
          <w:top w:val="single" w:color="4472C4"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472C4" w:themeColor="accent1" w:sz="8" w:space="0"/>
          <w:insideH w:val="nil"/>
          <w:insideV w:val="nil"/>
        </w:tcBorders>
        <w:shd w:val="clear" w:color="auto" w:fill="FFFFFF" w:themeFill="background1"/>
      </w:tcPr>
    </w:tblStylePr>
    <w:tblStylePr w:type="lastCol">
      <w:tblPr/>
      <w:tcPr>
        <w:tcBorders>
          <w:top w:val="nil"/>
          <w:left w:val="single" w:color="4472C4"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0DCF0" w:themeFill="accent1" w:themeFillTint="3F"/>
      </w:tcPr>
    </w:tblStylePr>
    <w:tblStylePr w:type="band1Horz">
      <w:tblPr/>
      <w:tcPr>
        <w:tcBorders>
          <w:top w:val="nil"/>
          <w:bottom w:val="nil"/>
          <w:insideH w:val="nil"/>
          <w:insideV w:val="nil"/>
        </w:tcBorders>
        <w:shd w:val="clear" w:color="auto" w:fill="D0DCF0"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162">
    <w:name w:val="Medium List 2 Accent 2"/>
    <w:basedOn w:val="86"/>
    <w:qFormat/>
    <w:uiPriority w:val="66"/>
    <w:rPr>
      <w:rFonts w:asciiTheme="majorHAnsi" w:hAnsiTheme="majorHAnsi" w:eastAsiaTheme="majorEastAsia" w:cstheme="majorBidi"/>
      <w:color w:val="000000" w:themeColor="text1"/>
      <w14:textFill>
        <w14:solidFill>
          <w14:schemeClr w14:val="tx1"/>
        </w14:solidFill>
      </w14:textFill>
    </w:rPr>
    <w:tblPr>
      <w:tblBorders>
        <w:top w:val="single" w:color="ED7D31" w:themeColor="accent2" w:sz="8" w:space="0"/>
        <w:left w:val="single" w:color="ED7D31" w:themeColor="accent2" w:sz="8" w:space="0"/>
        <w:bottom w:val="single" w:color="ED7D31" w:themeColor="accent2" w:sz="8" w:space="0"/>
        <w:right w:val="single" w:color="ED7D31"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ED7D31" w:themeColor="accent2" w:sz="24" w:space="0"/>
          <w:right w:val="nil"/>
          <w:insideH w:val="nil"/>
          <w:insideV w:val="nil"/>
        </w:tcBorders>
        <w:shd w:val="clear" w:color="auto" w:fill="FFFFFF" w:themeFill="background1"/>
      </w:tcPr>
    </w:tblStylePr>
    <w:tblStylePr w:type="lastRow">
      <w:tblPr/>
      <w:tcPr>
        <w:tcBorders>
          <w:top w:val="single" w:color="ED7D31"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ED7D31" w:themeColor="accent2" w:sz="8" w:space="0"/>
          <w:insideH w:val="nil"/>
          <w:insideV w:val="nil"/>
        </w:tcBorders>
        <w:shd w:val="clear" w:color="auto" w:fill="FFFFFF" w:themeFill="background1"/>
      </w:tcPr>
    </w:tblStylePr>
    <w:tblStylePr w:type="lastCol">
      <w:tblPr/>
      <w:tcPr>
        <w:tcBorders>
          <w:top w:val="nil"/>
          <w:left w:val="single" w:color="ED7D31"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ADECC" w:themeFill="accent2" w:themeFillTint="3F"/>
      </w:tcPr>
    </w:tblStylePr>
    <w:tblStylePr w:type="band1Horz">
      <w:tblPr/>
      <w:tcPr>
        <w:tcBorders>
          <w:top w:val="nil"/>
          <w:bottom w:val="nil"/>
          <w:insideH w:val="nil"/>
          <w:insideV w:val="nil"/>
        </w:tcBorders>
        <w:shd w:val="clear" w:color="auto" w:fill="FADECC"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163">
    <w:name w:val="Medium List 2 Accent 3"/>
    <w:basedOn w:val="86"/>
    <w:qFormat/>
    <w:uiPriority w:val="66"/>
    <w:rPr>
      <w:rFonts w:asciiTheme="majorHAnsi" w:hAnsiTheme="majorHAnsi" w:eastAsiaTheme="majorEastAsia" w:cstheme="majorBidi"/>
      <w:color w:val="000000" w:themeColor="text1"/>
      <w14:textFill>
        <w14:solidFill>
          <w14:schemeClr w14:val="tx1"/>
        </w14:solidFill>
      </w14:textFill>
    </w:rPr>
    <w:tblPr>
      <w:tblBorders>
        <w:top w:val="single" w:color="A5A5A5" w:themeColor="accent3" w:sz="8" w:space="0"/>
        <w:left w:val="single" w:color="A5A5A5" w:themeColor="accent3" w:sz="8" w:space="0"/>
        <w:bottom w:val="single" w:color="A5A5A5" w:themeColor="accent3" w:sz="8" w:space="0"/>
        <w:right w:val="single" w:color="A5A5A5"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A5A5A5" w:themeColor="accent3" w:sz="24" w:space="0"/>
          <w:right w:val="nil"/>
          <w:insideH w:val="nil"/>
          <w:insideV w:val="nil"/>
        </w:tcBorders>
        <w:shd w:val="clear" w:color="auto" w:fill="FFFFFF" w:themeFill="background1"/>
      </w:tcPr>
    </w:tblStylePr>
    <w:tblStylePr w:type="lastRow">
      <w:tblPr/>
      <w:tcPr>
        <w:tcBorders>
          <w:top w:val="single" w:color="A5A5A5"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A5A5A5" w:themeColor="accent3" w:sz="8" w:space="0"/>
          <w:insideH w:val="nil"/>
          <w:insideV w:val="nil"/>
        </w:tcBorders>
        <w:shd w:val="clear" w:color="auto" w:fill="FFFFFF" w:themeFill="background1"/>
      </w:tcPr>
    </w:tblStylePr>
    <w:tblStylePr w:type="lastCol">
      <w:tblPr/>
      <w:tcPr>
        <w:tcBorders>
          <w:top w:val="nil"/>
          <w:left w:val="single" w:color="A5A5A5"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8E8E8" w:themeFill="accent3" w:themeFillTint="3F"/>
      </w:tcPr>
    </w:tblStylePr>
    <w:tblStylePr w:type="band1Horz">
      <w:tblPr/>
      <w:tcPr>
        <w:tcBorders>
          <w:top w:val="nil"/>
          <w:bottom w:val="nil"/>
          <w:insideH w:val="nil"/>
          <w:insideV w:val="nil"/>
        </w:tcBorders>
        <w:shd w:val="clear" w:color="auto" w:fill="E8E8E8"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164">
    <w:name w:val="Medium List 2 Accent 4"/>
    <w:basedOn w:val="86"/>
    <w:qFormat/>
    <w:uiPriority w:val="66"/>
    <w:rPr>
      <w:rFonts w:asciiTheme="majorHAnsi" w:hAnsiTheme="majorHAnsi" w:eastAsiaTheme="majorEastAsia" w:cstheme="majorBidi"/>
      <w:color w:val="000000" w:themeColor="text1"/>
      <w14:textFill>
        <w14:solidFill>
          <w14:schemeClr w14:val="tx1"/>
        </w14:solidFill>
      </w14:textFill>
    </w:rPr>
    <w:tblPr>
      <w:tblBorders>
        <w:top w:val="single" w:color="FFC000" w:themeColor="accent4" w:sz="8" w:space="0"/>
        <w:left w:val="single" w:color="FFC000" w:themeColor="accent4" w:sz="8" w:space="0"/>
        <w:bottom w:val="single" w:color="FFC000" w:themeColor="accent4" w:sz="8" w:space="0"/>
        <w:right w:val="single" w:color="FFC000"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FFC000" w:themeColor="accent4" w:sz="24" w:space="0"/>
          <w:right w:val="nil"/>
          <w:insideH w:val="nil"/>
          <w:insideV w:val="nil"/>
        </w:tcBorders>
        <w:shd w:val="clear" w:color="auto" w:fill="FFFFFF" w:themeFill="background1"/>
      </w:tcPr>
    </w:tblStylePr>
    <w:tblStylePr w:type="lastRow">
      <w:tblPr/>
      <w:tcPr>
        <w:tcBorders>
          <w:top w:val="single" w:color="FFC000"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FC000" w:themeColor="accent4" w:sz="8" w:space="0"/>
          <w:insideH w:val="nil"/>
          <w:insideV w:val="nil"/>
        </w:tcBorders>
        <w:shd w:val="clear" w:color="auto" w:fill="FFFFFF" w:themeFill="background1"/>
      </w:tcPr>
    </w:tblStylePr>
    <w:tblStylePr w:type="lastCol">
      <w:tblPr/>
      <w:tcPr>
        <w:tcBorders>
          <w:top w:val="nil"/>
          <w:left w:val="single" w:color="FFC000"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FEFBF" w:themeFill="accent4" w:themeFillTint="3F"/>
      </w:tcPr>
    </w:tblStylePr>
    <w:tblStylePr w:type="band1Horz">
      <w:tblPr/>
      <w:tcPr>
        <w:tcBorders>
          <w:top w:val="nil"/>
          <w:bottom w:val="nil"/>
          <w:insideH w:val="nil"/>
          <w:insideV w:val="nil"/>
        </w:tcBorders>
        <w:shd w:val="clear" w:color="auto" w:fill="FFEFBF"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165">
    <w:name w:val="Medium List 2 Accent 5"/>
    <w:basedOn w:val="86"/>
    <w:qFormat/>
    <w:uiPriority w:val="66"/>
    <w:rPr>
      <w:rFonts w:asciiTheme="majorHAnsi" w:hAnsiTheme="majorHAnsi" w:eastAsiaTheme="majorEastAsia" w:cstheme="majorBidi"/>
      <w:color w:val="000000" w:themeColor="text1"/>
      <w14:textFill>
        <w14:solidFill>
          <w14:schemeClr w14:val="tx1"/>
        </w14:solidFill>
      </w14:textFill>
    </w:rPr>
    <w:tblPr>
      <w:tblBorders>
        <w:top w:val="single" w:color="5B9BD5" w:themeColor="accent5" w:sz="8" w:space="0"/>
        <w:left w:val="single" w:color="5B9BD5" w:themeColor="accent5" w:sz="8" w:space="0"/>
        <w:bottom w:val="single" w:color="5B9BD5" w:themeColor="accent5" w:sz="8" w:space="0"/>
        <w:right w:val="single" w:color="5B9BD5"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5B9BD5" w:themeColor="accent5" w:sz="24" w:space="0"/>
          <w:right w:val="nil"/>
          <w:insideH w:val="nil"/>
          <w:insideV w:val="nil"/>
        </w:tcBorders>
        <w:shd w:val="clear" w:color="auto" w:fill="FFFFFF" w:themeFill="background1"/>
      </w:tcPr>
    </w:tblStylePr>
    <w:tblStylePr w:type="lastRow">
      <w:tblPr/>
      <w:tcPr>
        <w:tcBorders>
          <w:top w:val="single" w:color="5B9BD5"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5B9BD5" w:themeColor="accent5" w:sz="8" w:space="0"/>
          <w:insideH w:val="nil"/>
          <w:insideV w:val="nil"/>
        </w:tcBorders>
        <w:shd w:val="clear" w:color="auto" w:fill="FFFFFF" w:themeFill="background1"/>
      </w:tcPr>
    </w:tblStylePr>
    <w:tblStylePr w:type="lastCol">
      <w:tblPr/>
      <w:tcPr>
        <w:tcBorders>
          <w:top w:val="nil"/>
          <w:left w:val="single" w:color="5B9BD5"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6E6F4" w:themeFill="accent5" w:themeFillTint="3F"/>
      </w:tcPr>
    </w:tblStylePr>
    <w:tblStylePr w:type="band1Horz">
      <w:tblPr/>
      <w:tcPr>
        <w:tcBorders>
          <w:top w:val="nil"/>
          <w:bottom w:val="nil"/>
          <w:insideH w:val="nil"/>
          <w:insideV w:val="nil"/>
        </w:tcBorders>
        <w:shd w:val="clear" w:color="auto" w:fill="D6E6F4"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166">
    <w:name w:val="Medium List 2 Accent 6"/>
    <w:basedOn w:val="86"/>
    <w:qFormat/>
    <w:uiPriority w:val="66"/>
    <w:rPr>
      <w:rFonts w:asciiTheme="majorHAnsi" w:hAnsiTheme="majorHAnsi" w:eastAsiaTheme="majorEastAsia" w:cstheme="majorBidi"/>
      <w:color w:val="000000" w:themeColor="text1"/>
      <w14:textFill>
        <w14:solidFill>
          <w14:schemeClr w14:val="tx1"/>
        </w14:solidFill>
      </w14:textFill>
    </w:rPr>
    <w:tblPr>
      <w:tblBorders>
        <w:top w:val="single" w:color="70AD47" w:themeColor="accent6" w:sz="8" w:space="0"/>
        <w:left w:val="single" w:color="70AD47" w:themeColor="accent6" w:sz="8" w:space="0"/>
        <w:bottom w:val="single" w:color="70AD47" w:themeColor="accent6" w:sz="8" w:space="0"/>
        <w:right w:val="single" w:color="70AD47"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70AD47" w:themeColor="accent6" w:sz="24" w:space="0"/>
          <w:right w:val="nil"/>
          <w:insideH w:val="nil"/>
          <w:insideV w:val="nil"/>
        </w:tcBorders>
        <w:shd w:val="clear" w:color="auto" w:fill="FFFFFF" w:themeFill="background1"/>
      </w:tcPr>
    </w:tblStylePr>
    <w:tblStylePr w:type="lastRow">
      <w:tblPr/>
      <w:tcPr>
        <w:tcBorders>
          <w:top w:val="single" w:color="70AD47"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70AD47" w:themeColor="accent6" w:sz="8" w:space="0"/>
          <w:insideH w:val="nil"/>
          <w:insideV w:val="nil"/>
        </w:tcBorders>
        <w:shd w:val="clear" w:color="auto" w:fill="FFFFFF" w:themeFill="background1"/>
      </w:tcPr>
    </w:tblStylePr>
    <w:tblStylePr w:type="lastCol">
      <w:tblPr/>
      <w:tcPr>
        <w:tcBorders>
          <w:top w:val="nil"/>
          <w:left w:val="single" w:color="70AD47"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BEBD0" w:themeFill="accent6" w:themeFillTint="3F"/>
      </w:tcPr>
    </w:tblStylePr>
    <w:tblStylePr w:type="band1Horz">
      <w:tblPr/>
      <w:tcPr>
        <w:tcBorders>
          <w:top w:val="nil"/>
          <w:bottom w:val="nil"/>
          <w:insideH w:val="nil"/>
          <w:insideV w:val="nil"/>
        </w:tcBorders>
        <w:shd w:val="clear" w:color="auto" w:fill="DBEB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67">
    <w:name w:val="Medium Grid 1 Accent 1"/>
    <w:basedOn w:val="86"/>
    <w:qFormat/>
    <w:uiPriority w:val="67"/>
    <w:tblPr>
      <w:tblBorders>
        <w:top w:val="single" w:color="7295D2" w:themeColor="accent1" w:themeTint="BF" w:sz="8" w:space="0"/>
        <w:left w:val="single" w:color="7295D2" w:themeColor="accent1" w:themeTint="BF" w:sz="8" w:space="0"/>
        <w:bottom w:val="single" w:color="7295D2" w:themeColor="accent1" w:themeTint="BF" w:sz="8" w:space="0"/>
        <w:right w:val="single" w:color="7295D2" w:themeColor="accent1" w:themeTint="BF" w:sz="8" w:space="0"/>
        <w:insideH w:val="single" w:color="7295D2" w:themeColor="accent1" w:themeTint="BF" w:sz="8" w:space="0"/>
        <w:insideV w:val="single" w:color="7295D2" w:themeColor="accent1" w:themeTint="BF" w:sz="8" w:space="0"/>
      </w:tblBorders>
      <w:tblCellMar>
        <w:top w:w="0" w:type="dxa"/>
        <w:left w:w="108" w:type="dxa"/>
        <w:bottom w:w="0" w:type="dxa"/>
        <w:right w:w="108" w:type="dxa"/>
      </w:tblCellMar>
    </w:tblPr>
    <w:tcPr>
      <w:shd w:val="clear" w:color="auto" w:fill="D0DCF0" w:themeFill="accent1" w:themeFillTint="3F"/>
    </w:tcPr>
    <w:tblStylePr w:type="firstRow">
      <w:rPr>
        <w:b/>
        <w:bCs/>
      </w:rPr>
    </w:tblStylePr>
    <w:tblStylePr w:type="lastRow">
      <w:rPr>
        <w:b/>
        <w:bCs/>
      </w:rPr>
      <w:tblPr/>
      <w:tcPr>
        <w:tcBorders>
          <w:top w:val="single" w:color="7295D2" w:themeColor="accent1" w:themeTint="BF" w:sz="18" w:space="0"/>
        </w:tcBorders>
      </w:tcPr>
    </w:tblStylePr>
    <w:tblStylePr w:type="firstCol">
      <w:rPr>
        <w:b/>
        <w:bCs/>
      </w:rPr>
    </w:tblStylePr>
    <w:tblStylePr w:type="lastCol">
      <w:rPr>
        <w:b/>
        <w:bCs/>
      </w:r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styleId="168">
    <w:name w:val="Medium Grid 1 Accent 2"/>
    <w:basedOn w:val="86"/>
    <w:qFormat/>
    <w:uiPriority w:val="67"/>
    <w:tblPr>
      <w:tblBorders>
        <w:top w:val="single" w:color="F19D64" w:themeColor="accent2" w:themeTint="BF" w:sz="8" w:space="0"/>
        <w:left w:val="single" w:color="F19D64" w:themeColor="accent2" w:themeTint="BF" w:sz="8" w:space="0"/>
        <w:bottom w:val="single" w:color="F19D64" w:themeColor="accent2" w:themeTint="BF" w:sz="8" w:space="0"/>
        <w:right w:val="single" w:color="F19D64" w:themeColor="accent2" w:themeTint="BF" w:sz="8" w:space="0"/>
        <w:insideH w:val="single" w:color="F19D64" w:themeColor="accent2" w:themeTint="BF" w:sz="8" w:space="0"/>
        <w:insideV w:val="single" w:color="F19D64" w:themeColor="accent2" w:themeTint="BF" w:sz="8" w:space="0"/>
      </w:tblBorders>
      <w:tblCellMar>
        <w:top w:w="0" w:type="dxa"/>
        <w:left w:w="108" w:type="dxa"/>
        <w:bottom w:w="0" w:type="dxa"/>
        <w:right w:w="108" w:type="dxa"/>
      </w:tblCellMar>
    </w:tblPr>
    <w:tcPr>
      <w:shd w:val="clear" w:color="auto" w:fill="FADECC" w:themeFill="accent2" w:themeFillTint="3F"/>
    </w:tcPr>
    <w:tblStylePr w:type="firstRow">
      <w:rPr>
        <w:b/>
        <w:bCs/>
      </w:rPr>
    </w:tblStylePr>
    <w:tblStylePr w:type="lastRow">
      <w:rPr>
        <w:b/>
        <w:bCs/>
      </w:rPr>
      <w:tblPr/>
      <w:tcPr>
        <w:tcBorders>
          <w:top w:val="single" w:color="F19D64" w:themeColor="accent2" w:themeTint="BF" w:sz="18" w:space="0"/>
        </w:tcBorders>
      </w:tcPr>
    </w:tblStylePr>
    <w:tblStylePr w:type="firstCol">
      <w:rPr>
        <w:b/>
        <w:bCs/>
      </w:rPr>
    </w:tblStylePr>
    <w:tblStylePr w:type="lastCol">
      <w:rPr>
        <w:b/>
        <w:bCs/>
      </w:rPr>
    </w:tblStylePr>
    <w:tblStylePr w:type="band1Vert">
      <w:tblPr/>
      <w:tcPr>
        <w:shd w:val="clear" w:color="auto" w:fill="F6BE98" w:themeFill="accent2" w:themeFillTint="7F"/>
      </w:tcPr>
    </w:tblStylePr>
    <w:tblStylePr w:type="band1Horz">
      <w:tblPr/>
      <w:tcPr>
        <w:shd w:val="clear" w:color="auto" w:fill="F6BE98" w:themeFill="accent2" w:themeFillTint="7F"/>
      </w:tcPr>
    </w:tblStylePr>
  </w:style>
  <w:style w:type="table" w:styleId="169">
    <w:name w:val="Medium Grid 1 Accent 3"/>
    <w:basedOn w:val="86"/>
    <w:qFormat/>
    <w:uiPriority w:val="67"/>
    <w:tblPr>
      <w:tblBorders>
        <w:top w:val="single" w:color="BBBBBB" w:themeColor="accent3" w:themeTint="BF" w:sz="8" w:space="0"/>
        <w:left w:val="single" w:color="BBBBBB" w:themeColor="accent3" w:themeTint="BF" w:sz="8" w:space="0"/>
        <w:bottom w:val="single" w:color="BBBBBB" w:themeColor="accent3" w:themeTint="BF" w:sz="8" w:space="0"/>
        <w:right w:val="single" w:color="BBBBBB" w:themeColor="accent3" w:themeTint="BF" w:sz="8" w:space="0"/>
        <w:insideH w:val="single" w:color="BBBBBB" w:themeColor="accent3" w:themeTint="BF" w:sz="8" w:space="0"/>
        <w:insideV w:val="single" w:color="BBBBBB" w:themeColor="accent3" w:themeTint="BF" w:sz="8" w:space="0"/>
      </w:tblBorders>
      <w:tblCellMar>
        <w:top w:w="0" w:type="dxa"/>
        <w:left w:w="108" w:type="dxa"/>
        <w:bottom w:w="0" w:type="dxa"/>
        <w:right w:w="108" w:type="dxa"/>
      </w:tblCellMar>
    </w:tblPr>
    <w:tcPr>
      <w:shd w:val="clear" w:color="auto" w:fill="E8E8E8" w:themeFill="accent3" w:themeFillTint="3F"/>
    </w:tcPr>
    <w:tblStylePr w:type="firstRow">
      <w:rPr>
        <w:b/>
        <w:bCs/>
      </w:rPr>
    </w:tblStylePr>
    <w:tblStylePr w:type="lastRow">
      <w:rPr>
        <w:b/>
        <w:bCs/>
      </w:rPr>
      <w:tblPr/>
      <w:tcPr>
        <w:tcBorders>
          <w:top w:val="single" w:color="BBBBBB" w:themeColor="accent3" w:themeTint="BF" w:sz="18" w:space="0"/>
        </w:tcBorders>
      </w:tcPr>
    </w:tblStylePr>
    <w:tblStylePr w:type="firstCol">
      <w:rPr>
        <w:b/>
        <w:bCs/>
      </w:rPr>
    </w:tblStylePr>
    <w:tblStylePr w:type="lastCol">
      <w:rPr>
        <w:b/>
        <w:bCs/>
      </w:rPr>
    </w:tblStylePr>
    <w:tblStylePr w:type="band1Vert">
      <w:tblPr/>
      <w:tcPr>
        <w:shd w:val="clear" w:color="auto" w:fill="D2D2D2" w:themeFill="accent3" w:themeFillTint="7F"/>
      </w:tcPr>
    </w:tblStylePr>
    <w:tblStylePr w:type="band1Horz">
      <w:tblPr/>
      <w:tcPr>
        <w:shd w:val="clear" w:color="auto" w:fill="D2D2D2" w:themeFill="accent3" w:themeFillTint="7F"/>
      </w:tcPr>
    </w:tblStylePr>
  </w:style>
  <w:style w:type="table" w:styleId="170">
    <w:name w:val="Medium Grid 1 Accent 4"/>
    <w:basedOn w:val="86"/>
    <w:qFormat/>
    <w:uiPriority w:val="67"/>
    <w:tblPr>
      <w:tblBorders>
        <w:top w:val="single" w:color="FFCF3F" w:themeColor="accent4" w:themeTint="BF" w:sz="8" w:space="0"/>
        <w:left w:val="single" w:color="FFCF3F" w:themeColor="accent4" w:themeTint="BF" w:sz="8" w:space="0"/>
        <w:bottom w:val="single" w:color="FFCF3F" w:themeColor="accent4" w:themeTint="BF" w:sz="8" w:space="0"/>
        <w:right w:val="single" w:color="FFCF3F" w:themeColor="accent4" w:themeTint="BF" w:sz="8" w:space="0"/>
        <w:insideH w:val="single" w:color="FFCF3F" w:themeColor="accent4" w:themeTint="BF" w:sz="8" w:space="0"/>
        <w:insideV w:val="single" w:color="FFCF3F" w:themeColor="accent4" w:themeTint="BF" w:sz="8" w:space="0"/>
      </w:tblBorders>
      <w:tblCellMar>
        <w:top w:w="0" w:type="dxa"/>
        <w:left w:w="108" w:type="dxa"/>
        <w:bottom w:w="0" w:type="dxa"/>
        <w:right w:w="108" w:type="dxa"/>
      </w:tblCellMar>
    </w:tblPr>
    <w:tcPr>
      <w:shd w:val="clear" w:color="auto" w:fill="FFEFBF" w:themeFill="accent4" w:themeFillTint="3F"/>
    </w:tcPr>
    <w:tblStylePr w:type="firstRow">
      <w:rPr>
        <w:b/>
        <w:bCs/>
      </w:rPr>
    </w:tblStylePr>
    <w:tblStylePr w:type="lastRow">
      <w:rPr>
        <w:b/>
        <w:bCs/>
      </w:rPr>
      <w:tblPr/>
      <w:tcPr>
        <w:tcBorders>
          <w:top w:val="single" w:color="FFCF3F" w:themeColor="accent4" w:themeTint="BF" w:sz="18" w:space="0"/>
        </w:tcBorders>
      </w:tcPr>
    </w:tblStylePr>
    <w:tblStylePr w:type="firstCol">
      <w:rPr>
        <w:b/>
        <w:bCs/>
      </w:rPr>
    </w:tblStylePr>
    <w:tblStylePr w:type="lastCol">
      <w:rPr>
        <w:b/>
        <w:bCs/>
      </w:rPr>
    </w:tblStylePr>
    <w:tblStylePr w:type="band1Vert">
      <w:tblPr/>
      <w:tcPr>
        <w:shd w:val="clear" w:color="auto" w:fill="FFDF7F" w:themeFill="accent4" w:themeFillTint="7F"/>
      </w:tcPr>
    </w:tblStylePr>
    <w:tblStylePr w:type="band1Horz">
      <w:tblPr/>
      <w:tcPr>
        <w:shd w:val="clear" w:color="auto" w:fill="FFDF7F" w:themeFill="accent4" w:themeFillTint="7F"/>
      </w:tcPr>
    </w:tblStylePr>
  </w:style>
  <w:style w:type="table" w:styleId="171">
    <w:name w:val="Medium Grid 1 Accent 5"/>
    <w:basedOn w:val="86"/>
    <w:qFormat/>
    <w:uiPriority w:val="67"/>
    <w:tblPr>
      <w:tblBorders>
        <w:top w:val="single" w:color="84B4DF" w:themeColor="accent5" w:themeTint="BF" w:sz="8" w:space="0"/>
        <w:left w:val="single" w:color="84B4DF" w:themeColor="accent5" w:themeTint="BF" w:sz="8" w:space="0"/>
        <w:bottom w:val="single" w:color="84B4DF" w:themeColor="accent5" w:themeTint="BF" w:sz="8" w:space="0"/>
        <w:right w:val="single" w:color="84B4DF" w:themeColor="accent5" w:themeTint="BF" w:sz="8" w:space="0"/>
        <w:insideH w:val="single" w:color="84B4DF" w:themeColor="accent5" w:themeTint="BF" w:sz="8" w:space="0"/>
        <w:insideV w:val="single" w:color="84B4DF" w:themeColor="accent5" w:themeTint="BF" w:sz="8" w:space="0"/>
      </w:tblBorders>
      <w:tblCellMar>
        <w:top w:w="0" w:type="dxa"/>
        <w:left w:w="108" w:type="dxa"/>
        <w:bottom w:w="0" w:type="dxa"/>
        <w:right w:w="108" w:type="dxa"/>
      </w:tblCellMar>
    </w:tblPr>
    <w:tcPr>
      <w:shd w:val="clear" w:color="auto" w:fill="D6E6F4" w:themeFill="accent5" w:themeFillTint="3F"/>
    </w:tcPr>
    <w:tblStylePr w:type="firstRow">
      <w:rPr>
        <w:b/>
        <w:bCs/>
      </w:rPr>
    </w:tblStylePr>
    <w:tblStylePr w:type="lastRow">
      <w:rPr>
        <w:b/>
        <w:bCs/>
      </w:rPr>
      <w:tblPr/>
      <w:tcPr>
        <w:tcBorders>
          <w:top w:val="single" w:color="84B4DF" w:themeColor="accent5" w:themeTint="BF" w:sz="18" w:space="0"/>
        </w:tcBorders>
      </w:tcPr>
    </w:tblStylePr>
    <w:tblStylePr w:type="firstCol">
      <w:rPr>
        <w:b/>
        <w:bCs/>
      </w:rPr>
    </w:tblStylePr>
    <w:tblStylePr w:type="lastCol">
      <w:rPr>
        <w:b/>
        <w:bCs/>
      </w:rPr>
    </w:tblStylePr>
    <w:tblStylePr w:type="band1Vert">
      <w:tblPr/>
      <w:tcPr>
        <w:shd w:val="clear" w:color="auto" w:fill="ADCDEA" w:themeFill="accent5" w:themeFillTint="7F"/>
      </w:tcPr>
    </w:tblStylePr>
    <w:tblStylePr w:type="band1Horz">
      <w:tblPr/>
      <w:tcPr>
        <w:shd w:val="clear" w:color="auto" w:fill="ADCDEA" w:themeFill="accent5" w:themeFillTint="7F"/>
      </w:tcPr>
    </w:tblStylePr>
  </w:style>
  <w:style w:type="table" w:styleId="172">
    <w:name w:val="Medium Grid 1 Accent 6"/>
    <w:basedOn w:val="86"/>
    <w:qFormat/>
    <w:uiPriority w:val="67"/>
    <w:tblPr>
      <w:tblBorders>
        <w:top w:val="single" w:color="93C571" w:themeColor="accent6" w:themeTint="BF" w:sz="8" w:space="0"/>
        <w:left w:val="single" w:color="93C571" w:themeColor="accent6" w:themeTint="BF" w:sz="8" w:space="0"/>
        <w:bottom w:val="single" w:color="93C571" w:themeColor="accent6" w:themeTint="BF" w:sz="8" w:space="0"/>
        <w:right w:val="single" w:color="93C571" w:themeColor="accent6" w:themeTint="BF" w:sz="8" w:space="0"/>
        <w:insideH w:val="single" w:color="93C571" w:themeColor="accent6" w:themeTint="BF" w:sz="8" w:space="0"/>
        <w:insideV w:val="single" w:color="93C571" w:themeColor="accent6" w:themeTint="BF" w:sz="8" w:space="0"/>
      </w:tblBorders>
      <w:tblCellMar>
        <w:top w:w="0" w:type="dxa"/>
        <w:left w:w="108" w:type="dxa"/>
        <w:bottom w:w="0" w:type="dxa"/>
        <w:right w:w="108" w:type="dxa"/>
      </w:tblCellMar>
    </w:tblPr>
    <w:tcPr>
      <w:shd w:val="clear" w:color="auto" w:fill="DBEBD0" w:themeFill="accent6" w:themeFillTint="3F"/>
    </w:tcPr>
    <w:tblStylePr w:type="firstRow">
      <w:rPr>
        <w:b/>
        <w:bCs/>
      </w:rPr>
    </w:tblStylePr>
    <w:tblStylePr w:type="lastRow">
      <w:rPr>
        <w:b/>
        <w:bCs/>
      </w:rPr>
      <w:tblPr/>
      <w:tcPr>
        <w:tcBorders>
          <w:top w:val="single" w:color="93C571" w:themeColor="accent6" w:themeTint="BF" w:sz="18" w:space="0"/>
        </w:tcBorders>
      </w:tcPr>
    </w:tblStylePr>
    <w:tblStylePr w:type="firstCol">
      <w:rPr>
        <w:b/>
        <w:bCs/>
      </w:rPr>
    </w:tblStylePr>
    <w:tblStylePr w:type="lastCol">
      <w:rPr>
        <w:b/>
        <w:bCs/>
      </w:rPr>
    </w:tblStylePr>
    <w:tblStylePr w:type="band1Vert">
      <w:tblPr/>
      <w:tcPr>
        <w:shd w:val="clear" w:color="auto" w:fill="B7D8A1" w:themeFill="accent6" w:themeFillTint="7F"/>
      </w:tcPr>
    </w:tblStylePr>
    <w:tblStylePr w:type="band1Horz">
      <w:tblPr/>
      <w:tcPr>
        <w:shd w:val="clear" w:color="auto" w:fill="B7D8A1" w:themeFill="accent6" w:themeFillTint="7F"/>
      </w:tcPr>
    </w:tblStylePr>
  </w:style>
  <w:style w:type="table" w:styleId="173">
    <w:name w:val="Medium Grid 2 Accent 1"/>
    <w:basedOn w:val="86"/>
    <w:qFormat/>
    <w:uiPriority w:val="68"/>
    <w:rPr>
      <w:rFonts w:asciiTheme="majorHAnsi" w:hAnsiTheme="majorHAnsi" w:eastAsiaTheme="majorEastAsia" w:cstheme="majorBidi"/>
      <w:color w:val="000000" w:themeColor="text1"/>
      <w14:textFill>
        <w14:solidFill>
          <w14:schemeClr w14:val="tx1"/>
        </w14:solidFill>
      </w14:textFill>
    </w:rPr>
    <w:tblPr>
      <w:tblBorders>
        <w:top w:val="single" w:color="4472C4" w:themeColor="accent1" w:sz="8" w:space="0"/>
        <w:left w:val="single" w:color="4472C4" w:themeColor="accent1" w:sz="8" w:space="0"/>
        <w:bottom w:val="single" w:color="4472C4" w:themeColor="accent1" w:sz="8" w:space="0"/>
        <w:right w:val="single" w:color="4472C4" w:themeColor="accent1" w:sz="8" w:space="0"/>
        <w:insideH w:val="single" w:color="4472C4" w:themeColor="accent1" w:sz="8" w:space="0"/>
        <w:insideV w:val="single" w:color="4472C4" w:themeColor="accent1" w:sz="8" w:space="0"/>
      </w:tblBorders>
      <w:tblCellMar>
        <w:top w:w="0" w:type="dxa"/>
        <w:left w:w="108" w:type="dxa"/>
        <w:bottom w:w="0" w:type="dxa"/>
        <w:right w:w="108" w:type="dxa"/>
      </w:tblCellMar>
    </w:tblPr>
    <w:tcPr>
      <w:shd w:val="clear" w:color="auto" w:fill="D0DCF0" w:themeFill="accent1" w:themeFillTint="3F"/>
    </w:tcPr>
    <w:tblStylePr w:type="firstRow">
      <w:rPr>
        <w:b/>
        <w:bCs/>
        <w:color w:val="000000" w:themeColor="text1"/>
        <w14:textFill>
          <w14:solidFill>
            <w14:schemeClr w14:val="tx1"/>
          </w14:solidFill>
        </w14:textFill>
      </w:rPr>
      <w:tblPr/>
      <w:tcPr>
        <w:shd w:val="clear" w:color="auto" w:fill="ECF1F9"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9E2F3" w:themeFill="accent1" w:themeFillTint="33"/>
      </w:tcPr>
    </w:tblStylePr>
    <w:tblStylePr w:type="band1Vert">
      <w:tblPr/>
      <w:tcPr>
        <w:shd w:val="clear" w:color="auto" w:fill="A1B8E1" w:themeFill="accent1" w:themeFillTint="7F"/>
      </w:tcPr>
    </w:tblStylePr>
    <w:tblStylePr w:type="band1Horz">
      <w:tblPr/>
      <w:tcPr>
        <w:tcBorders>
          <w:insideH w:val="single" w:sz="6" w:space="0"/>
          <w:insideV w:val="single" w:sz="6" w:space="0"/>
        </w:tcBorders>
        <w:shd w:val="clear" w:color="auto" w:fill="A1B8E1" w:themeFill="accent1" w:themeFillTint="7F"/>
      </w:tcPr>
    </w:tblStylePr>
    <w:tblStylePr w:type="nwCell">
      <w:tblPr/>
      <w:tcPr>
        <w:shd w:val="clear" w:color="auto" w:fill="FFFFFF" w:themeFill="background1"/>
      </w:tcPr>
    </w:tblStylePr>
  </w:style>
  <w:style w:type="table" w:styleId="174">
    <w:name w:val="Medium Grid 2 Accent 2"/>
    <w:basedOn w:val="86"/>
    <w:qFormat/>
    <w:uiPriority w:val="68"/>
    <w:rPr>
      <w:rFonts w:asciiTheme="majorHAnsi" w:hAnsiTheme="majorHAnsi" w:eastAsiaTheme="majorEastAsia" w:cstheme="majorBidi"/>
      <w:color w:val="000000" w:themeColor="text1"/>
      <w14:textFill>
        <w14:solidFill>
          <w14:schemeClr w14:val="tx1"/>
        </w14:solidFill>
      </w14:textFill>
    </w:rPr>
    <w:tblPr>
      <w:tblBorders>
        <w:top w:val="single" w:color="ED7D31" w:themeColor="accent2" w:sz="8" w:space="0"/>
        <w:left w:val="single" w:color="ED7D31" w:themeColor="accent2" w:sz="8" w:space="0"/>
        <w:bottom w:val="single" w:color="ED7D31" w:themeColor="accent2" w:sz="8" w:space="0"/>
        <w:right w:val="single" w:color="ED7D31" w:themeColor="accent2" w:sz="8" w:space="0"/>
        <w:insideH w:val="single" w:color="ED7D31" w:themeColor="accent2" w:sz="8" w:space="0"/>
        <w:insideV w:val="single" w:color="ED7D31" w:themeColor="accent2" w:sz="8" w:space="0"/>
      </w:tblBorders>
      <w:tblCellMar>
        <w:top w:w="0" w:type="dxa"/>
        <w:left w:w="108" w:type="dxa"/>
        <w:bottom w:w="0" w:type="dxa"/>
        <w:right w:w="108" w:type="dxa"/>
      </w:tblCellMar>
    </w:tblPr>
    <w:tcPr>
      <w:shd w:val="clear" w:color="auto" w:fill="FADECC" w:themeFill="accent2" w:themeFillTint="3F"/>
    </w:tcPr>
    <w:tblStylePr w:type="firstRow">
      <w:rPr>
        <w:b/>
        <w:bCs/>
        <w:color w:val="000000" w:themeColor="text1"/>
        <w14:textFill>
          <w14:solidFill>
            <w14:schemeClr w14:val="tx1"/>
          </w14:solidFill>
        </w14:textFill>
      </w:rPr>
      <w:tblPr/>
      <w:tcPr>
        <w:shd w:val="clear" w:color="auto" w:fill="FDF2EA"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BE4D5" w:themeFill="accent2" w:themeFillTint="33"/>
      </w:tcPr>
    </w:tblStylePr>
    <w:tblStylePr w:type="band1Vert">
      <w:tblPr/>
      <w:tcPr>
        <w:shd w:val="clear" w:color="auto" w:fill="F6BE98" w:themeFill="accent2" w:themeFillTint="7F"/>
      </w:tcPr>
    </w:tblStylePr>
    <w:tblStylePr w:type="band1Horz">
      <w:tblPr/>
      <w:tcPr>
        <w:tcBorders>
          <w:insideH w:val="single" w:sz="6" w:space="0"/>
          <w:insideV w:val="single" w:sz="6" w:space="0"/>
        </w:tcBorders>
        <w:shd w:val="clear" w:color="auto" w:fill="F6BE98" w:themeFill="accent2" w:themeFillTint="7F"/>
      </w:tcPr>
    </w:tblStylePr>
    <w:tblStylePr w:type="nwCell">
      <w:tblPr/>
      <w:tcPr>
        <w:shd w:val="clear" w:color="auto" w:fill="FFFFFF" w:themeFill="background1"/>
      </w:tcPr>
    </w:tblStylePr>
  </w:style>
  <w:style w:type="table" w:styleId="175">
    <w:name w:val="Medium Grid 2 Accent 3"/>
    <w:basedOn w:val="86"/>
    <w:qFormat/>
    <w:uiPriority w:val="68"/>
    <w:rPr>
      <w:rFonts w:asciiTheme="majorHAnsi" w:hAnsiTheme="majorHAnsi" w:eastAsiaTheme="majorEastAsia" w:cstheme="majorBidi"/>
      <w:color w:val="000000" w:themeColor="text1"/>
      <w14:textFill>
        <w14:solidFill>
          <w14:schemeClr w14:val="tx1"/>
        </w14:solidFill>
      </w14:textFill>
    </w:rPr>
    <w:tblPr>
      <w:tblBorders>
        <w:top w:val="single" w:color="A5A5A5" w:themeColor="accent3" w:sz="8" w:space="0"/>
        <w:left w:val="single" w:color="A5A5A5" w:themeColor="accent3" w:sz="8" w:space="0"/>
        <w:bottom w:val="single" w:color="A5A5A5" w:themeColor="accent3" w:sz="8" w:space="0"/>
        <w:right w:val="single" w:color="A5A5A5" w:themeColor="accent3" w:sz="8" w:space="0"/>
        <w:insideH w:val="single" w:color="A5A5A5" w:themeColor="accent3" w:sz="8" w:space="0"/>
        <w:insideV w:val="single" w:color="A5A5A5" w:themeColor="accent3" w:sz="8" w:space="0"/>
      </w:tblBorders>
      <w:tblCellMar>
        <w:top w:w="0" w:type="dxa"/>
        <w:left w:w="108" w:type="dxa"/>
        <w:bottom w:w="0" w:type="dxa"/>
        <w:right w:w="108" w:type="dxa"/>
      </w:tblCellMar>
    </w:tblPr>
    <w:tcPr>
      <w:shd w:val="clear" w:color="auto" w:fill="E8E8E8" w:themeFill="accent3" w:themeFillTint="3F"/>
    </w:tcPr>
    <w:tblStylePr w:type="firstRow">
      <w:rPr>
        <w:b/>
        <w:bCs/>
        <w:color w:val="000000" w:themeColor="text1"/>
        <w14:textFill>
          <w14:solidFill>
            <w14:schemeClr w14:val="tx1"/>
          </w14:solidFill>
        </w14:textFill>
      </w:rPr>
      <w:tblPr/>
      <w:tcPr>
        <w:shd w:val="clear" w:color="auto" w:fill="F6F6F6"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CECEC" w:themeFill="accent3" w:themeFillTint="33"/>
      </w:tcPr>
    </w:tblStylePr>
    <w:tblStylePr w:type="band1Vert">
      <w:tblPr/>
      <w:tcPr>
        <w:shd w:val="clear" w:color="auto" w:fill="D2D2D2" w:themeFill="accent3" w:themeFillTint="7F"/>
      </w:tcPr>
    </w:tblStylePr>
    <w:tblStylePr w:type="band1Horz">
      <w:tblPr/>
      <w:tcPr>
        <w:tcBorders>
          <w:insideH w:val="single" w:sz="6" w:space="0"/>
          <w:insideV w:val="single" w:sz="6" w:space="0"/>
        </w:tcBorders>
        <w:shd w:val="clear" w:color="auto" w:fill="D2D2D2" w:themeFill="accent3" w:themeFillTint="7F"/>
      </w:tcPr>
    </w:tblStylePr>
    <w:tblStylePr w:type="nwCell">
      <w:tblPr/>
      <w:tcPr>
        <w:shd w:val="clear" w:color="auto" w:fill="FFFFFF" w:themeFill="background1"/>
      </w:tcPr>
    </w:tblStylePr>
  </w:style>
  <w:style w:type="table" w:styleId="176">
    <w:name w:val="Medium Grid 2 Accent 4"/>
    <w:basedOn w:val="86"/>
    <w:qFormat/>
    <w:uiPriority w:val="68"/>
    <w:rPr>
      <w:rFonts w:asciiTheme="majorHAnsi" w:hAnsiTheme="majorHAnsi" w:eastAsiaTheme="majorEastAsia" w:cstheme="majorBidi"/>
      <w:color w:val="000000" w:themeColor="text1"/>
      <w14:textFill>
        <w14:solidFill>
          <w14:schemeClr w14:val="tx1"/>
        </w14:solidFill>
      </w14:textFill>
    </w:rPr>
    <w:tblPr>
      <w:tblBorders>
        <w:top w:val="single" w:color="FFC000" w:themeColor="accent4" w:sz="8" w:space="0"/>
        <w:left w:val="single" w:color="FFC000" w:themeColor="accent4" w:sz="8" w:space="0"/>
        <w:bottom w:val="single" w:color="FFC000" w:themeColor="accent4" w:sz="8" w:space="0"/>
        <w:right w:val="single" w:color="FFC000" w:themeColor="accent4" w:sz="8" w:space="0"/>
        <w:insideH w:val="single" w:color="FFC000" w:themeColor="accent4" w:sz="8" w:space="0"/>
        <w:insideV w:val="single" w:color="FFC000" w:themeColor="accent4" w:sz="8" w:space="0"/>
      </w:tblBorders>
      <w:tblCellMar>
        <w:top w:w="0" w:type="dxa"/>
        <w:left w:w="108" w:type="dxa"/>
        <w:bottom w:w="0" w:type="dxa"/>
        <w:right w:w="108" w:type="dxa"/>
      </w:tblCellMar>
    </w:tblPr>
    <w:tcPr>
      <w:shd w:val="clear" w:color="auto" w:fill="FFEFBF" w:themeFill="accent4" w:themeFillTint="3F"/>
    </w:tcPr>
    <w:tblStylePr w:type="firstRow">
      <w:rPr>
        <w:b/>
        <w:bCs/>
        <w:color w:val="000000" w:themeColor="text1"/>
        <w14:textFill>
          <w14:solidFill>
            <w14:schemeClr w14:val="tx1"/>
          </w14:solidFill>
        </w14:textFill>
      </w:rPr>
      <w:tblPr/>
      <w:tcPr>
        <w:shd w:val="clear" w:color="auto" w:fill="FFF8E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EF2CC" w:themeFill="accent4" w:themeFillTint="33"/>
      </w:tcPr>
    </w:tblStylePr>
    <w:tblStylePr w:type="band1Vert">
      <w:tblPr/>
      <w:tcPr>
        <w:shd w:val="clear" w:color="auto" w:fill="FFDF7F" w:themeFill="accent4" w:themeFillTint="7F"/>
      </w:tcPr>
    </w:tblStylePr>
    <w:tblStylePr w:type="band1Horz">
      <w:tblPr/>
      <w:tcPr>
        <w:tcBorders>
          <w:insideH w:val="single" w:sz="6" w:space="0"/>
          <w:insideV w:val="single" w:sz="6" w:space="0"/>
        </w:tcBorders>
        <w:shd w:val="clear" w:color="auto" w:fill="FFDF7F" w:themeFill="accent4" w:themeFillTint="7F"/>
      </w:tcPr>
    </w:tblStylePr>
    <w:tblStylePr w:type="nwCell">
      <w:tblPr/>
      <w:tcPr>
        <w:shd w:val="clear" w:color="auto" w:fill="FFFFFF" w:themeFill="background1"/>
      </w:tcPr>
    </w:tblStylePr>
  </w:style>
  <w:style w:type="table" w:styleId="177">
    <w:name w:val="Medium Grid 2 Accent 5"/>
    <w:basedOn w:val="86"/>
    <w:qFormat/>
    <w:uiPriority w:val="68"/>
    <w:rPr>
      <w:rFonts w:asciiTheme="majorHAnsi" w:hAnsiTheme="majorHAnsi" w:eastAsiaTheme="majorEastAsia" w:cstheme="majorBidi"/>
      <w:color w:val="000000" w:themeColor="text1"/>
      <w14:textFill>
        <w14:solidFill>
          <w14:schemeClr w14:val="tx1"/>
        </w14:solidFill>
      </w14:textFill>
    </w:rPr>
    <w:tblPr>
      <w:tblBorders>
        <w:top w:val="single" w:color="5B9BD5" w:themeColor="accent5" w:sz="8" w:space="0"/>
        <w:left w:val="single" w:color="5B9BD5" w:themeColor="accent5" w:sz="8" w:space="0"/>
        <w:bottom w:val="single" w:color="5B9BD5" w:themeColor="accent5" w:sz="8" w:space="0"/>
        <w:right w:val="single" w:color="5B9BD5" w:themeColor="accent5" w:sz="8" w:space="0"/>
        <w:insideH w:val="single" w:color="5B9BD5" w:themeColor="accent5" w:sz="8" w:space="0"/>
        <w:insideV w:val="single" w:color="5B9BD5" w:themeColor="accent5" w:sz="8" w:space="0"/>
      </w:tblBorders>
      <w:tblCellMar>
        <w:top w:w="0" w:type="dxa"/>
        <w:left w:w="108" w:type="dxa"/>
        <w:bottom w:w="0" w:type="dxa"/>
        <w:right w:w="108" w:type="dxa"/>
      </w:tblCellMar>
    </w:tblPr>
    <w:tcPr>
      <w:shd w:val="clear" w:color="auto" w:fill="D6E6F4" w:themeFill="accent5" w:themeFillTint="3F"/>
    </w:tcPr>
    <w:tblStylePr w:type="firstRow">
      <w:rPr>
        <w:b/>
        <w:bCs/>
        <w:color w:val="000000" w:themeColor="text1"/>
        <w14:textFill>
          <w14:solidFill>
            <w14:schemeClr w14:val="tx1"/>
          </w14:solidFill>
        </w14:textFill>
      </w:rPr>
      <w:tblPr/>
      <w:tcPr>
        <w:shd w:val="clear" w:color="auto" w:fill="EEF5FA"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EEAF6" w:themeFill="accent5" w:themeFillTint="33"/>
      </w:tcPr>
    </w:tblStylePr>
    <w:tblStylePr w:type="band1Vert">
      <w:tblPr/>
      <w:tcPr>
        <w:shd w:val="clear" w:color="auto" w:fill="ADCDEA" w:themeFill="accent5" w:themeFillTint="7F"/>
      </w:tcPr>
    </w:tblStylePr>
    <w:tblStylePr w:type="band1Horz">
      <w:tblPr/>
      <w:tcPr>
        <w:tcBorders>
          <w:insideH w:val="single" w:sz="6" w:space="0"/>
          <w:insideV w:val="single" w:sz="6" w:space="0"/>
        </w:tcBorders>
        <w:shd w:val="clear" w:color="auto" w:fill="ADCDEA" w:themeFill="accent5" w:themeFillTint="7F"/>
      </w:tcPr>
    </w:tblStylePr>
    <w:tblStylePr w:type="nwCell">
      <w:tblPr/>
      <w:tcPr>
        <w:shd w:val="clear" w:color="auto" w:fill="FFFFFF" w:themeFill="background1"/>
      </w:tcPr>
    </w:tblStylePr>
  </w:style>
  <w:style w:type="table" w:styleId="178">
    <w:name w:val="Medium Grid 2 Accent 6"/>
    <w:basedOn w:val="86"/>
    <w:qFormat/>
    <w:uiPriority w:val="68"/>
    <w:rPr>
      <w:rFonts w:asciiTheme="majorHAnsi" w:hAnsiTheme="majorHAnsi" w:eastAsiaTheme="majorEastAsia" w:cstheme="majorBidi"/>
      <w:color w:val="000000" w:themeColor="text1"/>
      <w14:textFill>
        <w14:solidFill>
          <w14:schemeClr w14:val="tx1"/>
        </w14:solidFill>
      </w14:textFill>
    </w:rPr>
    <w:tblPr>
      <w:tblBorders>
        <w:top w:val="single" w:color="70AD47" w:themeColor="accent6" w:sz="8" w:space="0"/>
        <w:left w:val="single" w:color="70AD47" w:themeColor="accent6" w:sz="8" w:space="0"/>
        <w:bottom w:val="single" w:color="70AD47" w:themeColor="accent6" w:sz="8" w:space="0"/>
        <w:right w:val="single" w:color="70AD47" w:themeColor="accent6" w:sz="8" w:space="0"/>
        <w:insideH w:val="single" w:color="70AD47" w:themeColor="accent6" w:sz="8" w:space="0"/>
        <w:insideV w:val="single" w:color="70AD47" w:themeColor="accent6" w:sz="8" w:space="0"/>
      </w:tblBorders>
      <w:tblCellMar>
        <w:top w:w="0" w:type="dxa"/>
        <w:left w:w="108" w:type="dxa"/>
        <w:bottom w:w="0" w:type="dxa"/>
        <w:right w:w="108" w:type="dxa"/>
      </w:tblCellMar>
    </w:tblPr>
    <w:tcPr>
      <w:shd w:val="clear" w:color="auto" w:fill="DBEBD0" w:themeFill="accent6" w:themeFillTint="3F"/>
    </w:tcPr>
    <w:tblStylePr w:type="firstRow">
      <w:rPr>
        <w:b/>
        <w:bCs/>
        <w:color w:val="000000" w:themeColor="text1"/>
        <w14:textFill>
          <w14:solidFill>
            <w14:schemeClr w14:val="tx1"/>
          </w14:solidFill>
        </w14:textFill>
      </w:rPr>
      <w:tblPr/>
      <w:tcPr>
        <w:shd w:val="clear" w:color="auto" w:fill="F0F7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2EFD9" w:themeFill="accent6" w:themeFillTint="33"/>
      </w:tcPr>
    </w:tblStylePr>
    <w:tblStylePr w:type="band1Vert">
      <w:tblPr/>
      <w:tcPr>
        <w:shd w:val="clear" w:color="auto" w:fill="B7D8A1" w:themeFill="accent6" w:themeFillTint="7F"/>
      </w:tcPr>
    </w:tblStylePr>
    <w:tblStylePr w:type="band1Horz">
      <w:tblPr/>
      <w:tcPr>
        <w:tcBorders>
          <w:insideH w:val="single" w:sz="6" w:space="0"/>
          <w:insideV w:val="single" w:sz="6" w:space="0"/>
        </w:tcBorders>
        <w:shd w:val="clear" w:color="auto" w:fill="B7D8A1" w:themeFill="accent6" w:themeFillTint="7F"/>
      </w:tcPr>
    </w:tblStylePr>
    <w:tblStylePr w:type="nwCell">
      <w:tblPr/>
      <w:tcPr>
        <w:shd w:val="clear" w:color="auto" w:fill="FFFFFF" w:themeFill="background1"/>
      </w:tcPr>
    </w:tblStylePr>
  </w:style>
  <w:style w:type="table" w:styleId="179">
    <w:name w:val="Medium Grid 3 Accent 1"/>
    <w:basedOn w:val="86"/>
    <w:qFormat/>
    <w:uiPriority w:val="69"/>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0DCF0"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472C4"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472C4"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472C4"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472C4"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1B8E1"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1B8E1" w:themeFill="accent1" w:themeFillTint="7F"/>
      </w:tcPr>
    </w:tblStylePr>
  </w:style>
  <w:style w:type="table" w:styleId="180">
    <w:name w:val="Medium Grid 3 Accent 2"/>
    <w:basedOn w:val="86"/>
    <w:qFormat/>
    <w:uiPriority w:val="69"/>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ADECC"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ED7D31"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ED7D31"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ED7D31"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ED7D31"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6BE98"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6BE98" w:themeFill="accent2" w:themeFillTint="7F"/>
      </w:tcPr>
    </w:tblStylePr>
  </w:style>
  <w:style w:type="table" w:styleId="181">
    <w:name w:val="Medium Grid 3 Accent 3"/>
    <w:basedOn w:val="86"/>
    <w:qFormat/>
    <w:uiPriority w:val="69"/>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8E8E8"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A5A5A5"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A5A5A5"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A5A5A5"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A5A5A5"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2D2D2"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2D2D2" w:themeFill="accent3" w:themeFillTint="7F"/>
      </w:tcPr>
    </w:tblStylePr>
  </w:style>
  <w:style w:type="table" w:styleId="182">
    <w:name w:val="Medium Grid 3 Accent 4"/>
    <w:basedOn w:val="86"/>
    <w:qFormat/>
    <w:uiPriority w:val="69"/>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FEFBF"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FC000"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FC000"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FC000"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FC000"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FDF7F"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FDF7F" w:themeFill="accent4" w:themeFillTint="7F"/>
      </w:tcPr>
    </w:tblStylePr>
  </w:style>
  <w:style w:type="table" w:styleId="183">
    <w:name w:val="Medium Grid 3 Accent 5"/>
    <w:basedOn w:val="86"/>
    <w:qFormat/>
    <w:uiPriority w:val="69"/>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6E6F4"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5B9BD5"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5B9BD5"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5B9BD5"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5B9BD5"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DCDEA"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DCDEA" w:themeFill="accent5" w:themeFillTint="7F"/>
      </w:tcPr>
    </w:tblStylePr>
  </w:style>
  <w:style w:type="table" w:styleId="184">
    <w:name w:val="Medium Grid 3 Accent 6"/>
    <w:basedOn w:val="86"/>
    <w:qFormat/>
    <w:uiPriority w:val="69"/>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BEBD0"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70AD47"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70AD47"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70AD47"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70AD47"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7D8A1"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7D8A1" w:themeFill="accent6" w:themeFillTint="7F"/>
      </w:tcPr>
    </w:tblStylePr>
  </w:style>
  <w:style w:type="table" w:styleId="185">
    <w:name w:val="Dark List Accent 1"/>
    <w:basedOn w:val="86"/>
    <w:qFormat/>
    <w:uiPriority w:val="70"/>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472C4"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1F3863"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2F5496"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2F5496" w:themeFill="accent1" w:themeFillShade="BF"/>
      </w:tcPr>
    </w:tblStylePr>
    <w:tblStylePr w:type="band1Vert">
      <w:tblPr/>
      <w:tcPr>
        <w:tcBorders>
          <w:top w:val="nil"/>
          <w:left w:val="nil"/>
          <w:bottom w:val="nil"/>
          <w:right w:val="nil"/>
          <w:insideH w:val="nil"/>
          <w:insideV w:val="nil"/>
        </w:tcBorders>
        <w:shd w:val="clear" w:color="auto" w:fill="2F5496" w:themeFill="accent1" w:themeFillShade="BF"/>
      </w:tcPr>
    </w:tblStylePr>
    <w:tblStylePr w:type="band1Horz">
      <w:tblPr/>
      <w:tcPr>
        <w:tcBorders>
          <w:top w:val="nil"/>
          <w:left w:val="nil"/>
          <w:bottom w:val="nil"/>
          <w:right w:val="nil"/>
          <w:insideH w:val="nil"/>
          <w:insideV w:val="nil"/>
        </w:tcBorders>
        <w:shd w:val="clear" w:color="auto" w:fill="2F5496" w:themeFill="accent1" w:themeFillShade="BF"/>
      </w:tcPr>
    </w:tblStylePr>
  </w:style>
  <w:style w:type="table" w:styleId="186">
    <w:name w:val="Dark List Accent 2"/>
    <w:basedOn w:val="86"/>
    <w:qFormat/>
    <w:uiPriority w:val="70"/>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ED7D31"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823B0B"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C55911"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C55911" w:themeFill="accent2" w:themeFillShade="BF"/>
      </w:tcPr>
    </w:tblStylePr>
    <w:tblStylePr w:type="band1Vert">
      <w:tblPr/>
      <w:tcPr>
        <w:tcBorders>
          <w:top w:val="nil"/>
          <w:left w:val="nil"/>
          <w:bottom w:val="nil"/>
          <w:right w:val="nil"/>
          <w:insideH w:val="nil"/>
          <w:insideV w:val="nil"/>
        </w:tcBorders>
        <w:shd w:val="clear" w:color="auto" w:fill="C55911" w:themeFill="accent2" w:themeFillShade="BF"/>
      </w:tcPr>
    </w:tblStylePr>
    <w:tblStylePr w:type="band1Horz">
      <w:tblPr/>
      <w:tcPr>
        <w:tcBorders>
          <w:top w:val="nil"/>
          <w:left w:val="nil"/>
          <w:bottom w:val="nil"/>
          <w:right w:val="nil"/>
          <w:insideH w:val="nil"/>
          <w:insideV w:val="nil"/>
        </w:tcBorders>
        <w:shd w:val="clear" w:color="auto" w:fill="C55911" w:themeFill="accent2" w:themeFillShade="BF"/>
      </w:tcPr>
    </w:tblStylePr>
  </w:style>
  <w:style w:type="table" w:styleId="187">
    <w:name w:val="Dark List Accent 3"/>
    <w:basedOn w:val="86"/>
    <w:qFormat/>
    <w:uiPriority w:val="70"/>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A5A5A5"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525252"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B7B7B"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B7B7B" w:themeFill="accent3" w:themeFillShade="BF"/>
      </w:tcPr>
    </w:tblStylePr>
    <w:tblStylePr w:type="band1Vert">
      <w:tblPr/>
      <w:tcPr>
        <w:tcBorders>
          <w:top w:val="nil"/>
          <w:left w:val="nil"/>
          <w:bottom w:val="nil"/>
          <w:right w:val="nil"/>
          <w:insideH w:val="nil"/>
          <w:insideV w:val="nil"/>
        </w:tcBorders>
        <w:shd w:val="clear" w:color="auto" w:fill="7B7B7B" w:themeFill="accent3" w:themeFillShade="BF"/>
      </w:tcPr>
    </w:tblStylePr>
    <w:tblStylePr w:type="band1Horz">
      <w:tblPr/>
      <w:tcPr>
        <w:tcBorders>
          <w:top w:val="nil"/>
          <w:left w:val="nil"/>
          <w:bottom w:val="nil"/>
          <w:right w:val="nil"/>
          <w:insideH w:val="nil"/>
          <w:insideV w:val="nil"/>
        </w:tcBorders>
        <w:shd w:val="clear" w:color="auto" w:fill="7B7B7B" w:themeFill="accent3" w:themeFillShade="BF"/>
      </w:tcPr>
    </w:tblStylePr>
  </w:style>
  <w:style w:type="table" w:styleId="188">
    <w:name w:val="Dark List Accent 4"/>
    <w:basedOn w:val="86"/>
    <w:qFormat/>
    <w:uiPriority w:val="70"/>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FC000"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7E5F00"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BE8F00"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BE8F00" w:themeFill="accent4" w:themeFillShade="BF"/>
      </w:tcPr>
    </w:tblStylePr>
    <w:tblStylePr w:type="band1Vert">
      <w:tblPr/>
      <w:tcPr>
        <w:tcBorders>
          <w:top w:val="nil"/>
          <w:left w:val="nil"/>
          <w:bottom w:val="nil"/>
          <w:right w:val="nil"/>
          <w:insideH w:val="nil"/>
          <w:insideV w:val="nil"/>
        </w:tcBorders>
        <w:shd w:val="clear" w:color="auto" w:fill="BE8F00" w:themeFill="accent4" w:themeFillShade="BF"/>
      </w:tcPr>
    </w:tblStylePr>
    <w:tblStylePr w:type="band1Horz">
      <w:tblPr/>
      <w:tcPr>
        <w:tcBorders>
          <w:top w:val="nil"/>
          <w:left w:val="nil"/>
          <w:bottom w:val="nil"/>
          <w:right w:val="nil"/>
          <w:insideH w:val="nil"/>
          <w:insideV w:val="nil"/>
        </w:tcBorders>
        <w:shd w:val="clear" w:color="auto" w:fill="BE8F00" w:themeFill="accent4" w:themeFillShade="BF"/>
      </w:tcPr>
    </w:tblStylePr>
  </w:style>
  <w:style w:type="table" w:styleId="189">
    <w:name w:val="Dark List Accent 5"/>
    <w:basedOn w:val="86"/>
    <w:qFormat/>
    <w:uiPriority w:val="70"/>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5B9BD5"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1E4D78"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2E75B5"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2E75B5" w:themeFill="accent5" w:themeFillShade="BF"/>
      </w:tcPr>
    </w:tblStylePr>
    <w:tblStylePr w:type="band1Vert">
      <w:tblPr/>
      <w:tcPr>
        <w:tcBorders>
          <w:top w:val="nil"/>
          <w:left w:val="nil"/>
          <w:bottom w:val="nil"/>
          <w:right w:val="nil"/>
          <w:insideH w:val="nil"/>
          <w:insideV w:val="nil"/>
        </w:tcBorders>
        <w:shd w:val="clear" w:color="auto" w:fill="2E75B5" w:themeFill="accent5" w:themeFillShade="BF"/>
      </w:tcPr>
    </w:tblStylePr>
    <w:tblStylePr w:type="band1Horz">
      <w:tblPr/>
      <w:tcPr>
        <w:tcBorders>
          <w:top w:val="nil"/>
          <w:left w:val="nil"/>
          <w:bottom w:val="nil"/>
          <w:right w:val="nil"/>
          <w:insideH w:val="nil"/>
          <w:insideV w:val="nil"/>
        </w:tcBorders>
        <w:shd w:val="clear" w:color="auto" w:fill="2E75B5" w:themeFill="accent5" w:themeFillShade="BF"/>
      </w:tcPr>
    </w:tblStylePr>
  </w:style>
  <w:style w:type="table" w:styleId="190">
    <w:name w:val="Dark List Accent 6"/>
    <w:basedOn w:val="86"/>
    <w:qFormat/>
    <w:uiPriority w:val="70"/>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70AD47"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75623"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538135"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538135" w:themeFill="accent6" w:themeFillShade="BF"/>
      </w:tcPr>
    </w:tblStylePr>
    <w:tblStylePr w:type="band1Vert">
      <w:tblPr/>
      <w:tcPr>
        <w:tcBorders>
          <w:top w:val="nil"/>
          <w:left w:val="nil"/>
          <w:bottom w:val="nil"/>
          <w:right w:val="nil"/>
          <w:insideH w:val="nil"/>
          <w:insideV w:val="nil"/>
        </w:tcBorders>
        <w:shd w:val="clear" w:color="auto" w:fill="538135" w:themeFill="accent6" w:themeFillShade="BF"/>
      </w:tcPr>
    </w:tblStylePr>
    <w:tblStylePr w:type="band1Horz">
      <w:tblPr/>
      <w:tcPr>
        <w:tcBorders>
          <w:top w:val="nil"/>
          <w:left w:val="nil"/>
          <w:bottom w:val="nil"/>
          <w:right w:val="nil"/>
          <w:insideH w:val="nil"/>
          <w:insideV w:val="nil"/>
        </w:tcBorders>
        <w:shd w:val="clear" w:color="auto" w:fill="538135" w:themeFill="accent6" w:themeFillShade="BF"/>
      </w:tcPr>
    </w:tblStylePr>
  </w:style>
  <w:style w:type="table" w:styleId="191">
    <w:name w:val="Colorful Shading Accent 1"/>
    <w:basedOn w:val="86"/>
    <w:qFormat/>
    <w:uiPriority w:val="71"/>
    <w:rPr>
      <w:color w:val="000000" w:themeColor="text1"/>
      <w14:textFill>
        <w14:solidFill>
          <w14:schemeClr w14:val="tx1"/>
        </w14:solidFill>
      </w14:textFill>
    </w:rPr>
    <w:tblPr>
      <w:tblBorders>
        <w:top w:val="single" w:color="ED7D31" w:themeColor="accent2" w:sz="24" w:space="0"/>
        <w:left w:val="single" w:color="4472C4" w:themeColor="accent1" w:sz="4" w:space="0"/>
        <w:bottom w:val="single" w:color="4472C4" w:themeColor="accent1" w:sz="4" w:space="0"/>
        <w:right w:val="single" w:color="4472C4"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CF1F9" w:themeFill="accent1" w:themeFillTint="19"/>
    </w:tcPr>
    <w:tblStylePr w:type="firstRow">
      <w:rPr>
        <w:b/>
        <w:bCs/>
      </w:rPr>
      <w:tblPr/>
      <w:tcPr>
        <w:tcBorders>
          <w:top w:val="nil"/>
          <w:left w:val="nil"/>
          <w:bottom w:val="single" w:color="ED7D31"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54378"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54378"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54378" w:themeFill="accent1" w:themeFillShade="99"/>
      </w:tcPr>
    </w:tblStylePr>
    <w:tblStylePr w:type="band1Vert">
      <w:tblPr/>
      <w:tcPr>
        <w:shd w:val="clear" w:color="auto" w:fill="B4C6E7" w:themeFill="accent1" w:themeFillTint="66"/>
      </w:tcPr>
    </w:tblStylePr>
    <w:tblStylePr w:type="band1Horz">
      <w:tblPr/>
      <w:tcPr>
        <w:shd w:val="clear" w:color="auto" w:fill="A1B8E1"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92">
    <w:name w:val="Colorful Shading Accent 2"/>
    <w:basedOn w:val="86"/>
    <w:qFormat/>
    <w:uiPriority w:val="71"/>
    <w:rPr>
      <w:color w:val="000000" w:themeColor="text1"/>
      <w14:textFill>
        <w14:solidFill>
          <w14:schemeClr w14:val="tx1"/>
        </w14:solidFill>
      </w14:textFill>
    </w:rPr>
    <w:tblPr>
      <w:tblBorders>
        <w:top w:val="single" w:color="ED7D31" w:themeColor="accent2" w:sz="24" w:space="0"/>
        <w:left w:val="single" w:color="ED7D31" w:themeColor="accent2" w:sz="4" w:space="0"/>
        <w:bottom w:val="single" w:color="ED7D31" w:themeColor="accent2" w:sz="4" w:space="0"/>
        <w:right w:val="single" w:color="ED7D31"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DF2EA" w:themeFill="accent2" w:themeFillTint="19"/>
    </w:tcPr>
    <w:tblStylePr w:type="firstRow">
      <w:rPr>
        <w:b/>
        <w:bCs/>
      </w:rPr>
      <w:tblPr/>
      <w:tcPr>
        <w:tcBorders>
          <w:top w:val="nil"/>
          <w:left w:val="nil"/>
          <w:bottom w:val="single" w:color="ED7D31"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9D480D"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9D480D"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9D480D" w:themeFill="accent2" w:themeFillShade="99"/>
      </w:tcPr>
    </w:tblStylePr>
    <w:tblStylePr w:type="band1Vert">
      <w:tblPr/>
      <w:tcPr>
        <w:shd w:val="clear" w:color="auto" w:fill="F7CAAC" w:themeFill="accent2" w:themeFillTint="66"/>
      </w:tcPr>
    </w:tblStylePr>
    <w:tblStylePr w:type="band1Horz">
      <w:tblPr/>
      <w:tcPr>
        <w:shd w:val="clear" w:color="auto" w:fill="F6BE98"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93">
    <w:name w:val="Colorful Shading Accent 3"/>
    <w:basedOn w:val="86"/>
    <w:qFormat/>
    <w:uiPriority w:val="71"/>
    <w:rPr>
      <w:color w:val="000000" w:themeColor="text1"/>
      <w14:textFill>
        <w14:solidFill>
          <w14:schemeClr w14:val="tx1"/>
        </w14:solidFill>
      </w14:textFill>
    </w:rPr>
    <w:tblPr>
      <w:tblBorders>
        <w:top w:val="single" w:color="FFC000" w:themeColor="accent4" w:sz="24" w:space="0"/>
        <w:left w:val="single" w:color="A5A5A5" w:themeColor="accent3" w:sz="4" w:space="0"/>
        <w:bottom w:val="single" w:color="A5A5A5" w:themeColor="accent3" w:sz="4" w:space="0"/>
        <w:right w:val="single" w:color="A5A5A5"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6F6F6" w:themeFill="accent3" w:themeFillTint="19"/>
    </w:tcPr>
    <w:tblStylePr w:type="firstRow">
      <w:rPr>
        <w:b/>
        <w:bCs/>
      </w:rPr>
      <w:tblPr/>
      <w:tcPr>
        <w:tcBorders>
          <w:top w:val="nil"/>
          <w:left w:val="nil"/>
          <w:bottom w:val="single" w:color="FFC000"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626262"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626262"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626262" w:themeFill="accent3" w:themeFillShade="99"/>
      </w:tcPr>
    </w:tblStylePr>
    <w:tblStylePr w:type="band1Vert">
      <w:tblPr/>
      <w:tcPr>
        <w:shd w:val="clear" w:color="auto" w:fill="DADADA" w:themeFill="accent3" w:themeFillTint="66"/>
      </w:tcPr>
    </w:tblStylePr>
    <w:tblStylePr w:type="band1Horz">
      <w:tblPr/>
      <w:tcPr>
        <w:shd w:val="clear" w:color="auto" w:fill="D2D2D2" w:themeFill="accent3" w:themeFillTint="7F"/>
      </w:tcPr>
    </w:tblStylePr>
  </w:style>
  <w:style w:type="table" w:styleId="194">
    <w:name w:val="Colorful Shading Accent 4"/>
    <w:basedOn w:val="86"/>
    <w:qFormat/>
    <w:uiPriority w:val="71"/>
    <w:rPr>
      <w:color w:val="000000" w:themeColor="text1"/>
      <w14:textFill>
        <w14:solidFill>
          <w14:schemeClr w14:val="tx1"/>
        </w14:solidFill>
      </w14:textFill>
    </w:rPr>
    <w:tblPr>
      <w:tblBorders>
        <w:top w:val="single" w:color="A5A5A5" w:themeColor="accent3" w:sz="24" w:space="0"/>
        <w:left w:val="single" w:color="FFC000" w:themeColor="accent4" w:sz="4" w:space="0"/>
        <w:bottom w:val="single" w:color="FFC000" w:themeColor="accent4" w:sz="4" w:space="0"/>
        <w:right w:val="single" w:color="FFC000"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FF8E5" w:themeFill="accent4" w:themeFillTint="19"/>
    </w:tcPr>
    <w:tblStylePr w:type="firstRow">
      <w:rPr>
        <w:b/>
        <w:bCs/>
      </w:rPr>
      <w:tblPr/>
      <w:tcPr>
        <w:tcBorders>
          <w:top w:val="nil"/>
          <w:left w:val="nil"/>
          <w:bottom w:val="single" w:color="A5A5A5"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997300"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997300"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997300" w:themeFill="accent4" w:themeFillShade="99"/>
      </w:tcPr>
    </w:tblStylePr>
    <w:tblStylePr w:type="band1Vert">
      <w:tblPr/>
      <w:tcPr>
        <w:shd w:val="clear" w:color="auto" w:fill="FFE599" w:themeFill="accent4" w:themeFillTint="66"/>
      </w:tcPr>
    </w:tblStylePr>
    <w:tblStylePr w:type="band1Horz">
      <w:tblPr/>
      <w:tcPr>
        <w:shd w:val="clear" w:color="auto" w:fill="FFDF7F"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95">
    <w:name w:val="Colorful Shading Accent 5"/>
    <w:basedOn w:val="86"/>
    <w:qFormat/>
    <w:uiPriority w:val="71"/>
    <w:rPr>
      <w:color w:val="000000" w:themeColor="text1"/>
      <w14:textFill>
        <w14:solidFill>
          <w14:schemeClr w14:val="tx1"/>
        </w14:solidFill>
      </w14:textFill>
    </w:rPr>
    <w:tblPr>
      <w:tblBorders>
        <w:top w:val="single" w:color="70AD47" w:themeColor="accent6" w:sz="24" w:space="0"/>
        <w:left w:val="single" w:color="5B9BD5" w:themeColor="accent5" w:sz="4" w:space="0"/>
        <w:bottom w:val="single" w:color="5B9BD5" w:themeColor="accent5" w:sz="4" w:space="0"/>
        <w:right w:val="single" w:color="5B9BD5"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EF5FA" w:themeFill="accent5" w:themeFillTint="19"/>
    </w:tcPr>
    <w:tblStylePr w:type="firstRow">
      <w:rPr>
        <w:b/>
        <w:bCs/>
      </w:rPr>
      <w:tblPr/>
      <w:tcPr>
        <w:tcBorders>
          <w:top w:val="nil"/>
          <w:left w:val="nil"/>
          <w:bottom w:val="single" w:color="70AD47"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55D91"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55D91"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55D91" w:themeFill="accent5" w:themeFillShade="99"/>
      </w:tcPr>
    </w:tblStylePr>
    <w:tblStylePr w:type="band1Vert">
      <w:tblPr/>
      <w:tcPr>
        <w:shd w:val="clear" w:color="auto" w:fill="BDD6EE" w:themeFill="accent5" w:themeFillTint="66"/>
      </w:tcPr>
    </w:tblStylePr>
    <w:tblStylePr w:type="band1Horz">
      <w:tblPr/>
      <w:tcPr>
        <w:shd w:val="clear" w:color="auto" w:fill="ADCDEA"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96">
    <w:name w:val="Colorful Shading Accent 6"/>
    <w:basedOn w:val="86"/>
    <w:qFormat/>
    <w:uiPriority w:val="71"/>
    <w:rPr>
      <w:color w:val="000000" w:themeColor="text1"/>
      <w14:textFill>
        <w14:solidFill>
          <w14:schemeClr w14:val="tx1"/>
        </w14:solidFill>
      </w14:textFill>
    </w:rPr>
    <w:tblPr>
      <w:tblBorders>
        <w:top w:val="single" w:color="5B9BD5" w:themeColor="accent5" w:sz="24" w:space="0"/>
        <w:left w:val="single" w:color="70AD47" w:themeColor="accent6" w:sz="4" w:space="0"/>
        <w:bottom w:val="single" w:color="70AD47" w:themeColor="accent6" w:sz="4" w:space="0"/>
        <w:right w:val="single" w:color="70AD47"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0F7EC" w:themeFill="accent6" w:themeFillTint="19"/>
    </w:tcPr>
    <w:tblStylePr w:type="firstRow">
      <w:rPr>
        <w:b/>
        <w:bCs/>
      </w:rPr>
      <w:tblPr/>
      <w:tcPr>
        <w:tcBorders>
          <w:top w:val="nil"/>
          <w:left w:val="nil"/>
          <w:bottom w:val="single" w:color="5B9BD5"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3672A"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3672A"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3672A" w:themeFill="accent6" w:themeFillShade="99"/>
      </w:tcPr>
    </w:tblStylePr>
    <w:tblStylePr w:type="band1Vert">
      <w:tblPr/>
      <w:tcPr>
        <w:shd w:val="clear" w:color="auto" w:fill="C5E0B3" w:themeFill="accent6" w:themeFillTint="66"/>
      </w:tcPr>
    </w:tblStylePr>
    <w:tblStylePr w:type="band1Horz">
      <w:tblPr/>
      <w:tcPr>
        <w:shd w:val="clear" w:color="auto" w:fill="B7D8A1"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97">
    <w:name w:val="Colorful List Accent 1"/>
    <w:basedOn w:val="86"/>
    <w:qFormat/>
    <w:uiPriority w:val="72"/>
    <w:rPr>
      <w:color w:val="000000" w:themeColor="text1"/>
      <w14:textFill>
        <w14:solidFill>
          <w14:schemeClr w14:val="tx1"/>
        </w14:solidFill>
      </w14:textFill>
    </w:rPr>
    <w:tblPr>
      <w:tblCellMar>
        <w:top w:w="0" w:type="dxa"/>
        <w:left w:w="108" w:type="dxa"/>
        <w:bottom w:w="0" w:type="dxa"/>
        <w:right w:w="108" w:type="dxa"/>
      </w:tblCellMar>
    </w:tblPr>
    <w:tcPr>
      <w:shd w:val="clear" w:color="auto" w:fill="ECF1F9"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D26012" w:themeFill="accent2" w:themeFillShade="CC"/>
      </w:tcPr>
    </w:tblStylePr>
    <w:tblStylePr w:type="lastRow">
      <w:rPr>
        <w:b/>
        <w:bCs/>
        <w:color w:val="D26012"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0DCF0" w:themeFill="accent1" w:themeFillTint="3F"/>
      </w:tcPr>
    </w:tblStylePr>
    <w:tblStylePr w:type="band1Horz">
      <w:tblPr/>
      <w:tcPr>
        <w:shd w:val="clear" w:color="auto" w:fill="D9E2F3" w:themeFill="accent1" w:themeFillTint="33"/>
      </w:tcPr>
    </w:tblStylePr>
  </w:style>
  <w:style w:type="table" w:styleId="198">
    <w:name w:val="Colorful List Accent 2"/>
    <w:basedOn w:val="86"/>
    <w:qFormat/>
    <w:uiPriority w:val="72"/>
    <w:rPr>
      <w:color w:val="000000" w:themeColor="text1"/>
      <w14:textFill>
        <w14:solidFill>
          <w14:schemeClr w14:val="tx1"/>
        </w14:solidFill>
      </w14:textFill>
    </w:rPr>
    <w:tblPr>
      <w:tblCellMar>
        <w:top w:w="0" w:type="dxa"/>
        <w:left w:w="108" w:type="dxa"/>
        <w:bottom w:w="0" w:type="dxa"/>
        <w:right w:w="108" w:type="dxa"/>
      </w:tblCellMar>
    </w:tblPr>
    <w:tcPr>
      <w:shd w:val="clear" w:color="auto" w:fill="FDF2EA"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D26012" w:themeFill="accent2" w:themeFillShade="CC"/>
      </w:tcPr>
    </w:tblStylePr>
    <w:tblStylePr w:type="lastRow">
      <w:rPr>
        <w:b/>
        <w:bCs/>
        <w:color w:val="D26012"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ADECC" w:themeFill="accent2" w:themeFillTint="3F"/>
      </w:tcPr>
    </w:tblStylePr>
    <w:tblStylePr w:type="band1Horz">
      <w:tblPr/>
      <w:tcPr>
        <w:shd w:val="clear" w:color="auto" w:fill="FBE4D5" w:themeFill="accent2" w:themeFillTint="33"/>
      </w:tcPr>
    </w:tblStylePr>
  </w:style>
  <w:style w:type="table" w:styleId="199">
    <w:name w:val="Colorful List Accent 3"/>
    <w:basedOn w:val="86"/>
    <w:qFormat/>
    <w:uiPriority w:val="72"/>
    <w:rPr>
      <w:color w:val="000000" w:themeColor="text1"/>
      <w14:textFill>
        <w14:solidFill>
          <w14:schemeClr w14:val="tx1"/>
        </w14:solidFill>
      </w14:textFill>
    </w:rPr>
    <w:tblPr>
      <w:tblCellMar>
        <w:top w:w="0" w:type="dxa"/>
        <w:left w:w="108" w:type="dxa"/>
        <w:bottom w:w="0" w:type="dxa"/>
        <w:right w:w="108" w:type="dxa"/>
      </w:tblCellMar>
    </w:tblPr>
    <w:tcPr>
      <w:shd w:val="clear" w:color="auto" w:fill="F6F6F6"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CC9900" w:themeFill="accent4" w:themeFillShade="CC"/>
      </w:tcPr>
    </w:tblStylePr>
    <w:tblStylePr w:type="lastRow">
      <w:rPr>
        <w:b/>
        <w:bCs/>
        <w:color w:val="CC9A00"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8E8E8" w:themeFill="accent3" w:themeFillTint="3F"/>
      </w:tcPr>
    </w:tblStylePr>
    <w:tblStylePr w:type="band1Horz">
      <w:tblPr/>
      <w:tcPr>
        <w:shd w:val="clear" w:color="auto" w:fill="ECECEC" w:themeFill="accent3" w:themeFillTint="33"/>
      </w:tcPr>
    </w:tblStylePr>
  </w:style>
  <w:style w:type="table" w:styleId="200">
    <w:name w:val="Colorful List Accent 4"/>
    <w:basedOn w:val="86"/>
    <w:qFormat/>
    <w:uiPriority w:val="72"/>
    <w:rPr>
      <w:color w:val="000000" w:themeColor="text1"/>
      <w14:textFill>
        <w14:solidFill>
          <w14:schemeClr w14:val="tx1"/>
        </w14:solidFill>
      </w14:textFill>
    </w:rPr>
    <w:tblPr>
      <w:tblCellMar>
        <w:top w:w="0" w:type="dxa"/>
        <w:left w:w="108" w:type="dxa"/>
        <w:bottom w:w="0" w:type="dxa"/>
        <w:right w:w="108" w:type="dxa"/>
      </w:tblCellMar>
    </w:tblPr>
    <w:tcPr>
      <w:shd w:val="clear" w:color="auto" w:fill="FFF8E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838383" w:themeFill="accent3" w:themeFillShade="CC"/>
      </w:tcPr>
    </w:tblStylePr>
    <w:tblStylePr w:type="lastRow">
      <w:rPr>
        <w:b/>
        <w:bCs/>
        <w:color w:val="848484"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FEFBF" w:themeFill="accent4" w:themeFillTint="3F"/>
      </w:tcPr>
    </w:tblStylePr>
    <w:tblStylePr w:type="band1Horz">
      <w:tblPr/>
      <w:tcPr>
        <w:shd w:val="clear" w:color="auto" w:fill="FEF2CC" w:themeFill="accent4" w:themeFillTint="33"/>
      </w:tcPr>
    </w:tblStylePr>
  </w:style>
  <w:style w:type="table" w:styleId="201">
    <w:name w:val="Colorful List Accent 5"/>
    <w:basedOn w:val="86"/>
    <w:autoRedefine/>
    <w:qFormat/>
    <w:uiPriority w:val="72"/>
    <w:rPr>
      <w:color w:val="000000" w:themeColor="text1"/>
      <w14:textFill>
        <w14:solidFill>
          <w14:schemeClr w14:val="tx1"/>
        </w14:solidFill>
      </w14:textFill>
    </w:rPr>
    <w:tblPr>
      <w:tblCellMar>
        <w:top w:w="0" w:type="dxa"/>
        <w:left w:w="108" w:type="dxa"/>
        <w:bottom w:w="0" w:type="dxa"/>
        <w:right w:w="108" w:type="dxa"/>
      </w:tblCellMar>
    </w:tblPr>
    <w:tcPr>
      <w:shd w:val="clear" w:color="auto" w:fill="EEF5FA"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598A38" w:themeFill="accent6" w:themeFillShade="CC"/>
      </w:tcPr>
    </w:tblStylePr>
    <w:tblStylePr w:type="lastRow">
      <w:rPr>
        <w:b/>
        <w:bCs/>
        <w:color w:val="5A8A39"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6E6F4" w:themeFill="accent5" w:themeFillTint="3F"/>
      </w:tcPr>
    </w:tblStylePr>
    <w:tblStylePr w:type="band1Horz">
      <w:tblPr/>
      <w:tcPr>
        <w:shd w:val="clear" w:color="auto" w:fill="DEEAF6" w:themeFill="accent5" w:themeFillTint="33"/>
      </w:tcPr>
    </w:tblStylePr>
  </w:style>
  <w:style w:type="table" w:styleId="202">
    <w:name w:val="Colorful List Accent 6"/>
    <w:basedOn w:val="86"/>
    <w:qFormat/>
    <w:uiPriority w:val="72"/>
    <w:rPr>
      <w:color w:val="000000" w:themeColor="text1"/>
      <w14:textFill>
        <w14:solidFill>
          <w14:schemeClr w14:val="tx1"/>
        </w14:solidFill>
      </w14:textFill>
    </w:rPr>
    <w:tblPr>
      <w:tblCellMar>
        <w:top w:w="0" w:type="dxa"/>
        <w:left w:w="108" w:type="dxa"/>
        <w:bottom w:w="0" w:type="dxa"/>
        <w:right w:w="108" w:type="dxa"/>
      </w:tblCellMar>
    </w:tblPr>
    <w:tcPr>
      <w:shd w:val="clear" w:color="auto" w:fill="F0F7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17DC1" w:themeFill="accent5" w:themeFillShade="CC"/>
      </w:tcPr>
    </w:tblStylePr>
    <w:tblStylePr w:type="lastRow">
      <w:rPr>
        <w:b/>
        <w:bCs/>
        <w:color w:val="327DC2"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BEBD0" w:themeFill="accent6" w:themeFillTint="3F"/>
      </w:tcPr>
    </w:tblStylePr>
    <w:tblStylePr w:type="band1Horz">
      <w:tblPr/>
      <w:tcPr>
        <w:shd w:val="clear" w:color="auto" w:fill="E2EFD9" w:themeFill="accent6" w:themeFillTint="33"/>
      </w:tcPr>
    </w:tblStylePr>
  </w:style>
  <w:style w:type="table" w:styleId="203">
    <w:name w:val="Colorful Grid Accent 1"/>
    <w:basedOn w:val="86"/>
    <w:qFormat/>
    <w:uiPriority w:val="73"/>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9E2F3" w:themeFill="accent1" w:themeFillTint="33"/>
    </w:tcPr>
    <w:tblStylePr w:type="firstRow">
      <w:rPr>
        <w:b/>
        <w:bCs/>
      </w:rPr>
      <w:tblPr/>
      <w:tcPr>
        <w:shd w:val="clear" w:color="auto" w:fill="B4C6E7" w:themeFill="accent1" w:themeFillTint="66"/>
      </w:tcPr>
    </w:tblStylePr>
    <w:tblStylePr w:type="lastRow">
      <w:rPr>
        <w:b/>
        <w:bCs/>
        <w:color w:val="000000" w:themeColor="text1"/>
        <w14:textFill>
          <w14:solidFill>
            <w14:schemeClr w14:val="tx1"/>
          </w14:solidFill>
        </w14:textFill>
      </w:rPr>
      <w:tblPr/>
      <w:tcPr>
        <w:shd w:val="clear" w:color="auto" w:fill="B4C6E7" w:themeFill="accent1" w:themeFillTint="66"/>
      </w:tcPr>
    </w:tblStylePr>
    <w:tblStylePr w:type="firstCol">
      <w:rPr>
        <w:color w:val="FFFFFF" w:themeColor="background1"/>
        <w14:textFill>
          <w14:solidFill>
            <w14:schemeClr w14:val="bg1"/>
          </w14:solidFill>
        </w14:textFill>
      </w:rPr>
      <w:tblPr/>
      <w:tcPr>
        <w:shd w:val="clear" w:color="auto" w:fill="2F5496" w:themeFill="accent1" w:themeFillShade="BF"/>
      </w:tcPr>
    </w:tblStylePr>
    <w:tblStylePr w:type="lastCol">
      <w:rPr>
        <w:color w:val="FFFFFF" w:themeColor="background1"/>
        <w14:textFill>
          <w14:solidFill>
            <w14:schemeClr w14:val="bg1"/>
          </w14:solidFill>
        </w14:textFill>
      </w:rPr>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styleId="204">
    <w:name w:val="Colorful Grid Accent 2"/>
    <w:basedOn w:val="86"/>
    <w:qFormat/>
    <w:uiPriority w:val="73"/>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BE4D5" w:themeFill="accent2" w:themeFillTint="33"/>
    </w:tcPr>
    <w:tblStylePr w:type="firstRow">
      <w:rPr>
        <w:b/>
        <w:bCs/>
      </w:rPr>
      <w:tblPr/>
      <w:tcPr>
        <w:shd w:val="clear" w:color="auto" w:fill="F7CAAC" w:themeFill="accent2" w:themeFillTint="66"/>
      </w:tcPr>
    </w:tblStylePr>
    <w:tblStylePr w:type="lastRow">
      <w:rPr>
        <w:b/>
        <w:bCs/>
        <w:color w:val="000000" w:themeColor="text1"/>
        <w14:textFill>
          <w14:solidFill>
            <w14:schemeClr w14:val="tx1"/>
          </w14:solidFill>
        </w14:textFill>
      </w:rPr>
      <w:tblPr/>
      <w:tcPr>
        <w:shd w:val="clear" w:color="auto" w:fill="F7CAAC" w:themeFill="accent2" w:themeFillTint="66"/>
      </w:tcPr>
    </w:tblStylePr>
    <w:tblStylePr w:type="firstCol">
      <w:rPr>
        <w:color w:val="FFFFFF" w:themeColor="background1"/>
        <w14:textFill>
          <w14:solidFill>
            <w14:schemeClr w14:val="bg1"/>
          </w14:solidFill>
        </w14:textFill>
      </w:rPr>
      <w:tblPr/>
      <w:tcPr>
        <w:shd w:val="clear" w:color="auto" w:fill="C55911" w:themeFill="accent2" w:themeFillShade="BF"/>
      </w:tcPr>
    </w:tblStylePr>
    <w:tblStylePr w:type="lastCol">
      <w:rPr>
        <w:color w:val="FFFFFF" w:themeColor="background1"/>
        <w14:textFill>
          <w14:solidFill>
            <w14:schemeClr w14:val="bg1"/>
          </w14:solidFill>
        </w14:textFill>
      </w:rPr>
      <w:tblPr/>
      <w:tcPr>
        <w:shd w:val="clear" w:color="auto" w:fill="C55911" w:themeFill="accent2" w:themeFillShade="BF"/>
      </w:tcPr>
    </w:tblStylePr>
    <w:tblStylePr w:type="band1Vert">
      <w:tblPr/>
      <w:tcPr>
        <w:shd w:val="clear" w:color="auto" w:fill="F6BE98" w:themeFill="accent2" w:themeFillTint="7F"/>
      </w:tcPr>
    </w:tblStylePr>
    <w:tblStylePr w:type="band1Horz">
      <w:tblPr/>
      <w:tcPr>
        <w:shd w:val="clear" w:color="auto" w:fill="F6BE98" w:themeFill="accent2" w:themeFillTint="7F"/>
      </w:tcPr>
    </w:tblStylePr>
  </w:style>
  <w:style w:type="table" w:styleId="205">
    <w:name w:val="Colorful Grid Accent 3"/>
    <w:basedOn w:val="86"/>
    <w:qFormat/>
    <w:uiPriority w:val="73"/>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CECEC" w:themeFill="accent3" w:themeFillTint="33"/>
    </w:tcPr>
    <w:tblStylePr w:type="firstRow">
      <w:rPr>
        <w:b/>
        <w:bCs/>
      </w:rPr>
      <w:tblPr/>
      <w:tcPr>
        <w:shd w:val="clear" w:color="auto" w:fill="DADADA" w:themeFill="accent3" w:themeFillTint="66"/>
      </w:tcPr>
    </w:tblStylePr>
    <w:tblStylePr w:type="lastRow">
      <w:rPr>
        <w:b/>
        <w:bCs/>
        <w:color w:val="000000" w:themeColor="text1"/>
        <w14:textFill>
          <w14:solidFill>
            <w14:schemeClr w14:val="tx1"/>
          </w14:solidFill>
        </w14:textFill>
      </w:rPr>
      <w:tblPr/>
      <w:tcPr>
        <w:shd w:val="clear" w:color="auto" w:fill="DADADA" w:themeFill="accent3" w:themeFillTint="66"/>
      </w:tcPr>
    </w:tblStylePr>
    <w:tblStylePr w:type="firstCol">
      <w:rPr>
        <w:color w:val="FFFFFF" w:themeColor="background1"/>
        <w14:textFill>
          <w14:solidFill>
            <w14:schemeClr w14:val="bg1"/>
          </w14:solidFill>
        </w14:textFill>
      </w:rPr>
      <w:tblPr/>
      <w:tcPr>
        <w:shd w:val="clear" w:color="auto" w:fill="7B7B7B" w:themeFill="accent3" w:themeFillShade="BF"/>
      </w:tcPr>
    </w:tblStylePr>
    <w:tblStylePr w:type="lastCol">
      <w:rPr>
        <w:color w:val="FFFFFF" w:themeColor="background1"/>
        <w14:textFill>
          <w14:solidFill>
            <w14:schemeClr w14:val="bg1"/>
          </w14:solidFill>
        </w14:textFill>
      </w:rPr>
      <w:tblPr/>
      <w:tcPr>
        <w:shd w:val="clear" w:color="auto" w:fill="7B7B7B" w:themeFill="accent3" w:themeFillShade="BF"/>
      </w:tcPr>
    </w:tblStylePr>
    <w:tblStylePr w:type="band1Vert">
      <w:tblPr/>
      <w:tcPr>
        <w:shd w:val="clear" w:color="auto" w:fill="D2D2D2" w:themeFill="accent3" w:themeFillTint="7F"/>
      </w:tcPr>
    </w:tblStylePr>
    <w:tblStylePr w:type="band1Horz">
      <w:tblPr/>
      <w:tcPr>
        <w:shd w:val="clear" w:color="auto" w:fill="D2D2D2" w:themeFill="accent3" w:themeFillTint="7F"/>
      </w:tcPr>
    </w:tblStylePr>
  </w:style>
  <w:style w:type="table" w:styleId="206">
    <w:name w:val="Colorful Grid Accent 4"/>
    <w:basedOn w:val="86"/>
    <w:qFormat/>
    <w:uiPriority w:val="73"/>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EF2CC" w:themeFill="accent4" w:themeFillTint="33"/>
    </w:tcPr>
    <w:tblStylePr w:type="firstRow">
      <w:rPr>
        <w:b/>
        <w:bCs/>
      </w:rPr>
      <w:tblPr/>
      <w:tcPr>
        <w:shd w:val="clear" w:color="auto" w:fill="FFE599" w:themeFill="accent4" w:themeFillTint="66"/>
      </w:tcPr>
    </w:tblStylePr>
    <w:tblStylePr w:type="lastRow">
      <w:rPr>
        <w:b/>
        <w:bCs/>
        <w:color w:val="000000" w:themeColor="text1"/>
        <w14:textFill>
          <w14:solidFill>
            <w14:schemeClr w14:val="tx1"/>
          </w14:solidFill>
        </w14:textFill>
      </w:rPr>
      <w:tblPr/>
      <w:tcPr>
        <w:shd w:val="clear" w:color="auto" w:fill="FFE599" w:themeFill="accent4" w:themeFillTint="66"/>
      </w:tcPr>
    </w:tblStylePr>
    <w:tblStylePr w:type="firstCol">
      <w:rPr>
        <w:color w:val="FFFFFF" w:themeColor="background1"/>
        <w14:textFill>
          <w14:solidFill>
            <w14:schemeClr w14:val="bg1"/>
          </w14:solidFill>
        </w14:textFill>
      </w:rPr>
      <w:tblPr/>
      <w:tcPr>
        <w:shd w:val="clear" w:color="auto" w:fill="BE8F00" w:themeFill="accent4" w:themeFillShade="BF"/>
      </w:tcPr>
    </w:tblStylePr>
    <w:tblStylePr w:type="lastCol">
      <w:rPr>
        <w:color w:val="FFFFFF" w:themeColor="background1"/>
        <w14:textFill>
          <w14:solidFill>
            <w14:schemeClr w14:val="bg1"/>
          </w14:solidFill>
        </w14:textFill>
      </w:rPr>
      <w:tblPr/>
      <w:tcPr>
        <w:shd w:val="clear" w:color="auto" w:fill="BE8F00" w:themeFill="accent4" w:themeFillShade="BF"/>
      </w:tcPr>
    </w:tblStylePr>
    <w:tblStylePr w:type="band1Vert">
      <w:tblPr/>
      <w:tcPr>
        <w:shd w:val="clear" w:color="auto" w:fill="FFDF7F" w:themeFill="accent4" w:themeFillTint="7F"/>
      </w:tcPr>
    </w:tblStylePr>
    <w:tblStylePr w:type="band1Horz">
      <w:tblPr/>
      <w:tcPr>
        <w:shd w:val="clear" w:color="auto" w:fill="FFDF7F" w:themeFill="accent4" w:themeFillTint="7F"/>
      </w:tcPr>
    </w:tblStylePr>
  </w:style>
  <w:style w:type="table" w:styleId="207">
    <w:name w:val="Colorful Grid Accent 5"/>
    <w:basedOn w:val="86"/>
    <w:qFormat/>
    <w:uiPriority w:val="73"/>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EEAF6" w:themeFill="accent5" w:themeFillTint="33"/>
    </w:tcPr>
    <w:tblStylePr w:type="firstRow">
      <w:rPr>
        <w:b/>
        <w:bCs/>
      </w:rPr>
      <w:tblPr/>
      <w:tcPr>
        <w:shd w:val="clear" w:color="auto" w:fill="BDD6EE" w:themeFill="accent5" w:themeFillTint="66"/>
      </w:tcPr>
    </w:tblStylePr>
    <w:tblStylePr w:type="lastRow">
      <w:rPr>
        <w:b/>
        <w:bCs/>
        <w:color w:val="000000" w:themeColor="text1"/>
        <w14:textFill>
          <w14:solidFill>
            <w14:schemeClr w14:val="tx1"/>
          </w14:solidFill>
        </w14:textFill>
      </w:rPr>
      <w:tblPr/>
      <w:tcPr>
        <w:shd w:val="clear" w:color="auto" w:fill="BDD6EE" w:themeFill="accent5" w:themeFillTint="66"/>
      </w:tcPr>
    </w:tblStylePr>
    <w:tblStylePr w:type="firstCol">
      <w:rPr>
        <w:color w:val="FFFFFF" w:themeColor="background1"/>
        <w14:textFill>
          <w14:solidFill>
            <w14:schemeClr w14:val="bg1"/>
          </w14:solidFill>
        </w14:textFill>
      </w:rPr>
      <w:tblPr/>
      <w:tcPr>
        <w:shd w:val="clear" w:color="auto" w:fill="2E75B5" w:themeFill="accent5" w:themeFillShade="BF"/>
      </w:tcPr>
    </w:tblStylePr>
    <w:tblStylePr w:type="lastCol">
      <w:rPr>
        <w:color w:val="FFFFFF" w:themeColor="background1"/>
        <w14:textFill>
          <w14:solidFill>
            <w14:schemeClr w14:val="bg1"/>
          </w14:solidFill>
        </w14:textFill>
      </w:rPr>
      <w:tblPr/>
      <w:tcPr>
        <w:shd w:val="clear" w:color="auto" w:fill="2E75B5" w:themeFill="accent5" w:themeFillShade="BF"/>
      </w:tcPr>
    </w:tblStylePr>
    <w:tblStylePr w:type="band1Vert">
      <w:tblPr/>
      <w:tcPr>
        <w:shd w:val="clear" w:color="auto" w:fill="ADCDEA" w:themeFill="accent5" w:themeFillTint="7F"/>
      </w:tcPr>
    </w:tblStylePr>
    <w:tblStylePr w:type="band1Horz">
      <w:tblPr/>
      <w:tcPr>
        <w:shd w:val="clear" w:color="auto" w:fill="ADCDEA" w:themeFill="accent5" w:themeFillTint="7F"/>
      </w:tcPr>
    </w:tblStylePr>
  </w:style>
  <w:style w:type="table" w:styleId="208">
    <w:name w:val="Colorful Grid Accent 6"/>
    <w:basedOn w:val="86"/>
    <w:qFormat/>
    <w:uiPriority w:val="73"/>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2EFD9" w:themeFill="accent6" w:themeFillTint="33"/>
    </w:tcPr>
    <w:tblStylePr w:type="firstRow">
      <w:rPr>
        <w:b/>
        <w:bCs/>
      </w:rPr>
      <w:tblPr/>
      <w:tcPr>
        <w:shd w:val="clear" w:color="auto" w:fill="C5E0B3" w:themeFill="accent6" w:themeFillTint="66"/>
      </w:tcPr>
    </w:tblStylePr>
    <w:tblStylePr w:type="lastRow">
      <w:rPr>
        <w:b/>
        <w:bCs/>
        <w:color w:val="000000" w:themeColor="text1"/>
        <w14:textFill>
          <w14:solidFill>
            <w14:schemeClr w14:val="tx1"/>
          </w14:solidFill>
        </w14:textFill>
      </w:rPr>
      <w:tblPr/>
      <w:tcPr>
        <w:shd w:val="clear" w:color="auto" w:fill="C5E0B3" w:themeFill="accent6" w:themeFillTint="66"/>
      </w:tcPr>
    </w:tblStylePr>
    <w:tblStylePr w:type="firstCol">
      <w:rPr>
        <w:color w:val="FFFFFF" w:themeColor="background1"/>
        <w14:textFill>
          <w14:solidFill>
            <w14:schemeClr w14:val="bg1"/>
          </w14:solidFill>
        </w14:textFill>
      </w:rPr>
      <w:tblPr/>
      <w:tcPr>
        <w:shd w:val="clear" w:color="auto" w:fill="538135" w:themeFill="accent6" w:themeFillShade="BF"/>
      </w:tcPr>
    </w:tblStylePr>
    <w:tblStylePr w:type="lastCol">
      <w:rPr>
        <w:color w:val="FFFFFF" w:themeColor="background1"/>
        <w14:textFill>
          <w14:solidFill>
            <w14:schemeClr w14:val="bg1"/>
          </w14:solidFill>
        </w14:textFill>
      </w:rPr>
      <w:tblPr/>
      <w:tcPr>
        <w:shd w:val="clear" w:color="auto" w:fill="538135" w:themeFill="accent6" w:themeFillShade="BF"/>
      </w:tcPr>
    </w:tblStylePr>
    <w:tblStylePr w:type="band1Vert">
      <w:tblPr/>
      <w:tcPr>
        <w:shd w:val="clear" w:color="auto" w:fill="B7D8A1" w:themeFill="accent6" w:themeFillTint="7F"/>
      </w:tcPr>
    </w:tblStylePr>
    <w:tblStylePr w:type="band1Horz">
      <w:tblPr/>
      <w:tcPr>
        <w:shd w:val="clear" w:color="auto" w:fill="B7D8A1" w:themeFill="accent6" w:themeFillTint="7F"/>
      </w:tcPr>
    </w:tblStylePr>
  </w:style>
  <w:style w:type="character" w:styleId="210">
    <w:name w:val="Emphasis"/>
    <w:qFormat/>
    <w:uiPriority w:val="20"/>
    <w:rPr>
      <w:rFonts w:ascii="Times New Roman" w:hAnsi="Times New Roman"/>
      <w:i/>
      <w:iCs/>
      <w:sz w:val="24"/>
    </w:rPr>
  </w:style>
  <w:style w:type="character" w:styleId="211">
    <w:name w:val="HTML Definition"/>
    <w:basedOn w:val="209"/>
    <w:semiHidden/>
    <w:unhideWhenUsed/>
    <w:qFormat/>
    <w:uiPriority w:val="0"/>
    <w:rPr>
      <w:i/>
      <w:iCs/>
    </w:rPr>
  </w:style>
  <w:style w:type="character" w:styleId="212">
    <w:name w:val="HTML Typewriter"/>
    <w:basedOn w:val="209"/>
    <w:semiHidden/>
    <w:unhideWhenUsed/>
    <w:qFormat/>
    <w:uiPriority w:val="0"/>
    <w:rPr>
      <w:rFonts w:ascii="Consolas" w:hAnsi="Consolas"/>
      <w:sz w:val="20"/>
      <w:szCs w:val="20"/>
    </w:rPr>
  </w:style>
  <w:style w:type="character" w:styleId="213">
    <w:name w:val="HTML Acronym"/>
    <w:basedOn w:val="209"/>
    <w:semiHidden/>
    <w:unhideWhenUsed/>
    <w:qFormat/>
    <w:uiPriority w:val="0"/>
  </w:style>
  <w:style w:type="character" w:styleId="214">
    <w:name w:val="HTML Variable"/>
    <w:basedOn w:val="209"/>
    <w:semiHidden/>
    <w:unhideWhenUsed/>
    <w:qFormat/>
    <w:uiPriority w:val="0"/>
    <w:rPr>
      <w:i/>
      <w:iCs/>
    </w:rPr>
  </w:style>
  <w:style w:type="character" w:styleId="215">
    <w:name w:val="Hyperlink"/>
    <w:basedOn w:val="209"/>
    <w:unhideWhenUsed/>
    <w:qFormat/>
    <w:uiPriority w:val="0"/>
    <w:rPr>
      <w:color w:val="0563C1" w:themeColor="hyperlink"/>
      <w:u w:val="single"/>
      <w14:textFill>
        <w14:solidFill>
          <w14:schemeClr w14:val="hlink"/>
        </w14:solidFill>
      </w14:textFill>
    </w:rPr>
  </w:style>
  <w:style w:type="character" w:styleId="216">
    <w:name w:val="HTML Code"/>
    <w:basedOn w:val="209"/>
    <w:semiHidden/>
    <w:unhideWhenUsed/>
    <w:qFormat/>
    <w:uiPriority w:val="0"/>
    <w:rPr>
      <w:rFonts w:ascii="Consolas" w:hAnsi="Consolas"/>
      <w:sz w:val="20"/>
      <w:szCs w:val="20"/>
    </w:rPr>
  </w:style>
  <w:style w:type="character" w:styleId="217">
    <w:name w:val="annotation reference"/>
    <w:basedOn w:val="209"/>
    <w:semiHidden/>
    <w:unhideWhenUsed/>
    <w:qFormat/>
    <w:uiPriority w:val="0"/>
    <w:rPr>
      <w:rFonts w:ascii="Times New Roman" w:hAnsi="Times New Roman"/>
      <w:sz w:val="24"/>
      <w:szCs w:val="16"/>
    </w:rPr>
  </w:style>
  <w:style w:type="character" w:styleId="218">
    <w:name w:val="HTML Cite"/>
    <w:basedOn w:val="209"/>
    <w:semiHidden/>
    <w:unhideWhenUsed/>
    <w:qFormat/>
    <w:uiPriority w:val="0"/>
    <w:rPr>
      <w:i/>
      <w:iCs/>
    </w:rPr>
  </w:style>
  <w:style w:type="character" w:styleId="219">
    <w:name w:val="HTML Keyboard"/>
    <w:basedOn w:val="209"/>
    <w:semiHidden/>
    <w:unhideWhenUsed/>
    <w:qFormat/>
    <w:uiPriority w:val="0"/>
    <w:rPr>
      <w:rFonts w:ascii="Consolas" w:hAnsi="Consolas"/>
      <w:sz w:val="20"/>
      <w:szCs w:val="20"/>
    </w:rPr>
  </w:style>
  <w:style w:type="character" w:styleId="220">
    <w:name w:val="HTML Sample"/>
    <w:basedOn w:val="209"/>
    <w:semiHidden/>
    <w:unhideWhenUsed/>
    <w:qFormat/>
    <w:uiPriority w:val="0"/>
    <w:rPr>
      <w:rFonts w:ascii="Consolas" w:hAnsi="Consolas"/>
      <w:sz w:val="24"/>
      <w:szCs w:val="24"/>
    </w:rPr>
  </w:style>
  <w:style w:type="character" w:customStyle="1" w:styleId="221">
    <w:name w:val="标题 1 Char"/>
    <w:link w:val="3"/>
    <w:qFormat/>
    <w:uiPriority w:val="9"/>
    <w:rPr>
      <w:b/>
      <w:bCs/>
      <w:color w:val="21798E"/>
      <w:sz w:val="22"/>
      <w:szCs w:val="28"/>
    </w:rPr>
  </w:style>
  <w:style w:type="character" w:customStyle="1" w:styleId="222">
    <w:name w:val="标题 2 Char"/>
    <w:link w:val="4"/>
    <w:autoRedefine/>
    <w:qFormat/>
    <w:uiPriority w:val="9"/>
    <w:rPr>
      <w:bCs/>
      <w:color w:val="2DA2BF"/>
      <w:szCs w:val="26"/>
    </w:rPr>
  </w:style>
  <w:style w:type="character" w:customStyle="1" w:styleId="223">
    <w:name w:val="标题 3 Char"/>
    <w:link w:val="5"/>
    <w:autoRedefine/>
    <w:qFormat/>
    <w:uiPriority w:val="9"/>
    <w:rPr>
      <w:rFonts w:ascii="Times New Roman" w:hAnsi="Times New Roman"/>
      <w:b/>
      <w:bCs/>
      <w:color w:val="2DA2BF"/>
      <w:sz w:val="24"/>
    </w:rPr>
  </w:style>
  <w:style w:type="character" w:customStyle="1" w:styleId="224">
    <w:name w:val="标题 5 Char"/>
    <w:link w:val="7"/>
    <w:qFormat/>
    <w:uiPriority w:val="9"/>
    <w:rPr>
      <w:rFonts w:ascii="Times New Roman" w:hAnsi="Times New Roman"/>
      <w:color w:val="16505E"/>
      <w:sz w:val="24"/>
    </w:rPr>
  </w:style>
  <w:style w:type="character" w:customStyle="1" w:styleId="225">
    <w:name w:val="标题 6 Char"/>
    <w:link w:val="8"/>
    <w:qFormat/>
    <w:uiPriority w:val="9"/>
    <w:rPr>
      <w:rFonts w:ascii="Times New Roman" w:hAnsi="Times New Roman"/>
      <w:i/>
      <w:iCs/>
      <w:color w:val="16505E"/>
      <w:sz w:val="24"/>
    </w:rPr>
  </w:style>
  <w:style w:type="character" w:customStyle="1" w:styleId="226">
    <w:name w:val="批注文字 Char"/>
    <w:link w:val="28"/>
    <w:semiHidden/>
    <w:qFormat/>
    <w:uiPriority w:val="0"/>
    <w:rPr>
      <w:rFonts w:ascii="Times New Roman" w:hAnsi="Times New Roman" w:cs="Cambria"/>
      <w:sz w:val="24"/>
      <w:lang w:val="en-NZ"/>
    </w:rPr>
  </w:style>
  <w:style w:type="character" w:customStyle="1" w:styleId="227">
    <w:name w:val="标题 4 Char"/>
    <w:link w:val="6"/>
    <w:qFormat/>
    <w:uiPriority w:val="9"/>
    <w:rPr>
      <w:rFonts w:ascii="Times New Roman" w:hAnsi="Times New Roman"/>
      <w:bCs/>
      <w:i/>
      <w:iCs/>
      <w:color w:val="2DA2BF"/>
      <w:sz w:val="24"/>
    </w:rPr>
  </w:style>
  <w:style w:type="character" w:customStyle="1" w:styleId="228">
    <w:name w:val="标题 7 Char"/>
    <w:link w:val="9"/>
    <w:qFormat/>
    <w:uiPriority w:val="9"/>
    <w:rPr>
      <w:rFonts w:ascii="Times New Roman" w:hAnsi="Times New Roman"/>
      <w:i/>
      <w:iCs/>
      <w:color w:val="404040"/>
      <w:sz w:val="24"/>
    </w:rPr>
  </w:style>
  <w:style w:type="character" w:customStyle="1" w:styleId="229">
    <w:name w:val="标题 8 Char"/>
    <w:link w:val="10"/>
    <w:autoRedefine/>
    <w:qFormat/>
    <w:uiPriority w:val="9"/>
    <w:rPr>
      <w:rFonts w:ascii="Times New Roman" w:hAnsi="Times New Roman"/>
      <w:color w:val="2DA2BF"/>
      <w:sz w:val="24"/>
    </w:rPr>
  </w:style>
  <w:style w:type="character" w:customStyle="1" w:styleId="230">
    <w:name w:val="标题 9 Char"/>
    <w:link w:val="11"/>
    <w:autoRedefine/>
    <w:qFormat/>
    <w:uiPriority w:val="9"/>
    <w:rPr>
      <w:rFonts w:ascii="Times New Roman" w:hAnsi="Times New Roman"/>
      <w:i/>
      <w:iCs/>
      <w:color w:val="404040"/>
      <w:sz w:val="24"/>
    </w:rPr>
  </w:style>
  <w:style w:type="paragraph" w:customStyle="1" w:styleId="231">
    <w:name w:val="FigureCaption"/>
    <w:qFormat/>
    <w:uiPriority w:val="0"/>
    <w:pPr>
      <w:spacing w:before="60" w:after="300"/>
      <w:jc w:val="both"/>
    </w:pPr>
    <w:rPr>
      <w:rFonts w:ascii="Times New Roman" w:hAnsi="Times New Roman" w:eastAsia="Times New Roman" w:cs="Latha"/>
      <w:sz w:val="24"/>
      <w:lang w:val="en-US" w:eastAsia="en-US" w:bidi="ar-SA"/>
    </w:rPr>
  </w:style>
  <w:style w:type="paragraph" w:customStyle="1" w:styleId="232">
    <w:name w:val="Authors"/>
    <w:autoRedefine/>
    <w:qFormat/>
    <w:uiPriority w:val="0"/>
    <w:pPr>
      <w:spacing w:before="360" w:after="360"/>
      <w:jc w:val="both"/>
    </w:pPr>
    <w:rPr>
      <w:rFonts w:ascii="Times New Roman" w:hAnsi="Times New Roman" w:eastAsia="Times New Roman" w:cs="Latha"/>
      <w:sz w:val="28"/>
      <w:szCs w:val="22"/>
      <w:lang w:val="en-US" w:eastAsia="en-US" w:bidi="ar-SA"/>
    </w:rPr>
  </w:style>
  <w:style w:type="paragraph" w:customStyle="1" w:styleId="233">
    <w:name w:val="ManuscriptTitle"/>
    <w:autoRedefine/>
    <w:qFormat/>
    <w:uiPriority w:val="0"/>
    <w:pPr>
      <w:spacing w:after="240"/>
      <w:jc w:val="center"/>
    </w:pPr>
    <w:rPr>
      <w:rFonts w:ascii="Times New Roman" w:hAnsi="Times New Roman" w:eastAsia="Times New Roman" w:cs="Latha"/>
      <w:sz w:val="44"/>
      <w:szCs w:val="22"/>
      <w:lang w:val="en-US" w:eastAsia="en-US" w:bidi="ar-SA"/>
    </w:rPr>
  </w:style>
  <w:style w:type="paragraph" w:customStyle="1" w:styleId="234">
    <w:name w:val="AuthorAffiliation"/>
    <w:qFormat/>
    <w:uiPriority w:val="0"/>
    <w:pPr>
      <w:spacing w:after="200"/>
      <w:jc w:val="both"/>
    </w:pPr>
    <w:rPr>
      <w:rFonts w:ascii="Times New Roman" w:hAnsi="Times New Roman" w:eastAsia="Times New Roman" w:cs="Latha"/>
      <w:sz w:val="24"/>
      <w:szCs w:val="22"/>
      <w:lang w:val="en-US" w:eastAsia="en-US" w:bidi="ar-SA"/>
    </w:rPr>
  </w:style>
  <w:style w:type="paragraph" w:customStyle="1" w:styleId="235">
    <w:name w:val="AbstractText"/>
    <w:qFormat/>
    <w:uiPriority w:val="0"/>
    <w:pPr>
      <w:spacing w:after="120"/>
      <w:ind w:left="544" w:right="544"/>
      <w:jc w:val="both"/>
    </w:pPr>
    <w:rPr>
      <w:rFonts w:ascii="Times New Roman" w:hAnsi="Times New Roman" w:eastAsia="Times New Roman" w:cs="Latha"/>
      <w:sz w:val="24"/>
      <w:szCs w:val="22"/>
      <w:lang w:val="en-US" w:eastAsia="en-US" w:bidi="ar-SA"/>
    </w:rPr>
  </w:style>
  <w:style w:type="paragraph" w:customStyle="1" w:styleId="236">
    <w:name w:val="Equation"/>
    <w:link w:val="379"/>
    <w:autoRedefine/>
    <w:qFormat/>
    <w:uiPriority w:val="0"/>
    <w:pPr>
      <w:tabs>
        <w:tab w:val="center" w:pos="4507"/>
        <w:tab w:val="right" w:pos="9000"/>
      </w:tabs>
      <w:spacing w:before="60" w:after="120" w:line="480" w:lineRule="auto"/>
      <w:jc w:val="center"/>
    </w:pPr>
    <w:rPr>
      <w:rFonts w:ascii="Times New Roman" w:hAnsi="Times New Roman" w:eastAsia="Times New Roman" w:cs="Latha"/>
      <w:sz w:val="24"/>
      <w:szCs w:val="22"/>
      <w:lang w:val="en-US" w:eastAsia="en-US" w:bidi="ar-SA"/>
    </w:rPr>
  </w:style>
  <w:style w:type="paragraph" w:customStyle="1" w:styleId="237">
    <w:name w:val="TOC 标题1"/>
    <w:basedOn w:val="3"/>
    <w:next w:val="1"/>
    <w:qFormat/>
    <w:uiPriority w:val="39"/>
    <w:pPr>
      <w:outlineLvl w:val="9"/>
    </w:pPr>
    <w:rPr>
      <w:rFonts w:cs="Latha"/>
    </w:rPr>
  </w:style>
  <w:style w:type="paragraph" w:customStyle="1" w:styleId="238">
    <w:name w:val="TableTitle"/>
    <w:basedOn w:val="1"/>
    <w:qFormat/>
    <w:uiPriority w:val="0"/>
    <w:pPr>
      <w:spacing w:before="120" w:after="120"/>
      <w:jc w:val="both"/>
    </w:pPr>
    <w:rPr>
      <w:rFonts w:eastAsia="宋体"/>
      <w:bCs/>
      <w:szCs w:val="18"/>
      <w:lang w:val="en-GB"/>
    </w:rPr>
  </w:style>
  <w:style w:type="paragraph" w:customStyle="1" w:styleId="239">
    <w:name w:val="Keywords"/>
    <w:qFormat/>
    <w:uiPriority w:val="0"/>
    <w:pPr>
      <w:spacing w:before="120" w:after="120" w:line="480" w:lineRule="auto"/>
    </w:pPr>
    <w:rPr>
      <w:rFonts w:ascii="Times New Roman" w:hAnsi="Times New Roman" w:eastAsia="Times New Roman" w:cs="Latha"/>
      <w:sz w:val="24"/>
      <w:szCs w:val="24"/>
      <w:lang w:val="en-US" w:eastAsia="en-US" w:bidi="ar-SA"/>
    </w:rPr>
  </w:style>
  <w:style w:type="paragraph" w:customStyle="1" w:styleId="240">
    <w:name w:val="DefListTitle"/>
    <w:autoRedefine/>
    <w:qFormat/>
    <w:uiPriority w:val="0"/>
    <w:pPr>
      <w:spacing w:after="200" w:line="480" w:lineRule="auto"/>
    </w:pPr>
    <w:rPr>
      <w:rFonts w:ascii="Times New Roman" w:hAnsi="Times New Roman" w:eastAsia="Times New Roman" w:cs="Latha"/>
      <w:sz w:val="24"/>
      <w:szCs w:val="22"/>
      <w:lang w:val="en-US" w:eastAsia="en-US" w:bidi="ar-SA"/>
    </w:rPr>
  </w:style>
  <w:style w:type="paragraph" w:customStyle="1" w:styleId="241">
    <w:name w:val="Extract"/>
    <w:qFormat/>
    <w:uiPriority w:val="0"/>
    <w:pPr>
      <w:spacing w:after="200" w:line="480" w:lineRule="auto"/>
      <w:ind w:left="720" w:right="720"/>
    </w:pPr>
    <w:rPr>
      <w:rFonts w:ascii="Times New Roman" w:hAnsi="Times New Roman" w:eastAsia="Times New Roman" w:cs="Latha"/>
      <w:sz w:val="24"/>
      <w:szCs w:val="24"/>
      <w:lang w:val="en-US" w:eastAsia="en-US" w:bidi="ar-SA"/>
    </w:rPr>
  </w:style>
  <w:style w:type="paragraph" w:customStyle="1" w:styleId="242">
    <w:name w:val="AppendixTitle"/>
    <w:autoRedefine/>
    <w:qFormat/>
    <w:uiPriority w:val="0"/>
    <w:pPr>
      <w:spacing w:after="200" w:line="480" w:lineRule="auto"/>
    </w:pPr>
    <w:rPr>
      <w:rFonts w:ascii="Times New Roman" w:hAnsi="Times New Roman" w:eastAsia="Times New Roman" w:cs="Latha"/>
      <w:sz w:val="24"/>
      <w:szCs w:val="24"/>
      <w:lang w:val="en-US" w:eastAsia="en-US" w:bidi="ar-SA"/>
    </w:rPr>
  </w:style>
  <w:style w:type="paragraph" w:customStyle="1" w:styleId="243">
    <w:name w:val="AbstractTitle"/>
    <w:basedOn w:val="3"/>
    <w:qFormat/>
    <w:uiPriority w:val="0"/>
    <w:pPr>
      <w:spacing w:after="200"/>
      <w:jc w:val="center"/>
    </w:pPr>
    <w:rPr>
      <w:rFonts w:cs="Tahoma" w:eastAsiaTheme="minorHAnsi"/>
      <w:b w:val="0"/>
      <w:iCs/>
      <w:sz w:val="24"/>
      <w:szCs w:val="16"/>
    </w:rPr>
  </w:style>
  <w:style w:type="paragraph" w:customStyle="1" w:styleId="244">
    <w:name w:val="AcknowledgementTitle"/>
    <w:basedOn w:val="3"/>
    <w:qFormat/>
    <w:uiPriority w:val="0"/>
    <w:pPr>
      <w:spacing w:after="200"/>
    </w:pPr>
    <w:rPr>
      <w:rFonts w:cs="Latha" w:eastAsiaTheme="minorHAnsi"/>
      <w:color w:val="002060"/>
      <w:sz w:val="24"/>
      <w:szCs w:val="24"/>
    </w:rPr>
  </w:style>
  <w:style w:type="paragraph" w:customStyle="1" w:styleId="245">
    <w:name w:val="AppendixText"/>
    <w:autoRedefine/>
    <w:qFormat/>
    <w:uiPriority w:val="0"/>
    <w:pPr>
      <w:spacing w:afterLines="120" w:line="480" w:lineRule="auto"/>
    </w:pPr>
    <w:rPr>
      <w:rFonts w:ascii="Times New Roman" w:hAnsi="Times New Roman" w:eastAsia="Times New Roman" w:cs="Latha"/>
      <w:bCs/>
      <w:sz w:val="24"/>
      <w:szCs w:val="22"/>
      <w:lang w:val="en-US" w:eastAsia="en-US" w:bidi="ar-SA"/>
    </w:rPr>
  </w:style>
  <w:style w:type="paragraph" w:customStyle="1" w:styleId="246">
    <w:name w:val="Acknowledgement"/>
    <w:qFormat/>
    <w:uiPriority w:val="0"/>
    <w:pPr>
      <w:spacing w:after="200" w:line="480" w:lineRule="auto"/>
    </w:pPr>
    <w:rPr>
      <w:rFonts w:ascii="Times New Roman" w:hAnsi="Times New Roman" w:eastAsia="Times New Roman" w:cs="Latha"/>
      <w:sz w:val="24"/>
      <w:szCs w:val="22"/>
      <w:lang w:val="en-US" w:eastAsia="en-US" w:bidi="ar-SA"/>
    </w:rPr>
  </w:style>
  <w:style w:type="paragraph" w:customStyle="1" w:styleId="247">
    <w:name w:val="TableFootnote"/>
    <w:autoRedefine/>
    <w:qFormat/>
    <w:uiPriority w:val="0"/>
    <w:pPr>
      <w:spacing w:after="200" w:line="480" w:lineRule="auto"/>
      <w:ind w:left="720"/>
    </w:pPr>
    <w:rPr>
      <w:rFonts w:ascii="Times New Roman" w:hAnsi="Times New Roman" w:eastAsia="Times New Roman" w:cs="Latha"/>
      <w:sz w:val="24"/>
      <w:szCs w:val="24"/>
      <w:lang w:val="en-US" w:eastAsia="en-US" w:bidi="ar-SA"/>
    </w:rPr>
  </w:style>
  <w:style w:type="paragraph" w:customStyle="1" w:styleId="248">
    <w:name w:val="Lemma"/>
    <w:autoRedefine/>
    <w:qFormat/>
    <w:uiPriority w:val="0"/>
    <w:pPr>
      <w:spacing w:after="200" w:line="480" w:lineRule="auto"/>
    </w:pPr>
    <w:rPr>
      <w:rFonts w:ascii="Times New Roman" w:hAnsi="Times New Roman" w:eastAsia="Times New Roman" w:cs="Latha"/>
      <w:sz w:val="24"/>
      <w:szCs w:val="24"/>
      <w:lang w:val="en-US" w:eastAsia="en-US" w:bidi="ar-SA"/>
    </w:rPr>
  </w:style>
  <w:style w:type="paragraph" w:customStyle="1" w:styleId="249">
    <w:name w:val="Theorem"/>
    <w:qFormat/>
    <w:uiPriority w:val="0"/>
    <w:pPr>
      <w:spacing w:after="200" w:line="480" w:lineRule="auto"/>
    </w:pPr>
    <w:rPr>
      <w:rFonts w:ascii="Times New Roman" w:hAnsi="Times New Roman" w:eastAsia="Times New Roman" w:cs="Latha"/>
      <w:sz w:val="24"/>
      <w:szCs w:val="24"/>
      <w:lang w:val="en-US" w:eastAsia="en-US" w:bidi="ar-SA"/>
    </w:rPr>
  </w:style>
  <w:style w:type="paragraph" w:customStyle="1" w:styleId="250">
    <w:name w:val="Proof"/>
    <w:qFormat/>
    <w:uiPriority w:val="0"/>
    <w:pPr>
      <w:spacing w:after="200" w:line="480" w:lineRule="auto"/>
    </w:pPr>
    <w:rPr>
      <w:rFonts w:ascii="Times New Roman" w:hAnsi="Times New Roman" w:eastAsia="Times New Roman" w:cs="Latha"/>
      <w:sz w:val="24"/>
      <w:szCs w:val="24"/>
      <w:lang w:val="en-US" w:eastAsia="en-US" w:bidi="ar-SA"/>
    </w:rPr>
  </w:style>
  <w:style w:type="paragraph" w:customStyle="1" w:styleId="251">
    <w:name w:val="Algorithm"/>
    <w:qFormat/>
    <w:uiPriority w:val="0"/>
    <w:pPr>
      <w:spacing w:after="200" w:line="480" w:lineRule="auto"/>
    </w:pPr>
    <w:rPr>
      <w:rFonts w:ascii="Times New Roman" w:hAnsi="Times New Roman" w:eastAsia="Times New Roman" w:cs="Latha"/>
      <w:sz w:val="24"/>
      <w:szCs w:val="24"/>
      <w:lang w:val="en-US" w:eastAsia="en-US" w:bidi="ar-SA"/>
    </w:rPr>
  </w:style>
  <w:style w:type="paragraph" w:customStyle="1" w:styleId="252">
    <w:name w:val="DefList"/>
    <w:autoRedefine/>
    <w:qFormat/>
    <w:uiPriority w:val="0"/>
    <w:pPr>
      <w:spacing w:after="200" w:line="480" w:lineRule="auto"/>
      <w:ind w:left="432"/>
    </w:pPr>
    <w:rPr>
      <w:rFonts w:ascii="Times New Roman" w:hAnsi="Times New Roman" w:eastAsia="Times New Roman" w:cs="Latha"/>
      <w:sz w:val="24"/>
      <w:szCs w:val="24"/>
      <w:lang w:val="en-US" w:eastAsia="en-US" w:bidi="ar-SA"/>
    </w:rPr>
  </w:style>
  <w:style w:type="paragraph" w:customStyle="1" w:styleId="253">
    <w:name w:val="AuthorNote"/>
    <w:qFormat/>
    <w:uiPriority w:val="0"/>
    <w:pPr>
      <w:spacing w:after="200" w:line="480" w:lineRule="auto"/>
    </w:pPr>
    <w:rPr>
      <w:rFonts w:ascii="Times New Roman" w:hAnsi="Times New Roman" w:eastAsia="Times New Roman" w:cs="Latha"/>
      <w:sz w:val="24"/>
      <w:szCs w:val="24"/>
      <w:lang w:val="en-US" w:eastAsia="en-US" w:bidi="ar-SA"/>
    </w:rPr>
  </w:style>
  <w:style w:type="paragraph" w:customStyle="1" w:styleId="254">
    <w:name w:val="Reference"/>
    <w:qFormat/>
    <w:uiPriority w:val="0"/>
    <w:pPr>
      <w:keepLines/>
      <w:spacing w:after="240"/>
    </w:pPr>
    <w:rPr>
      <w:rFonts w:ascii="Times New Roman" w:hAnsi="Times New Roman" w:eastAsia="Times New Roman" w:cs="Latha"/>
      <w:sz w:val="24"/>
      <w:szCs w:val="24"/>
      <w:lang w:val="en-US" w:eastAsia="en-US" w:bidi="ar-SA"/>
    </w:rPr>
  </w:style>
  <w:style w:type="paragraph" w:customStyle="1" w:styleId="255">
    <w:name w:val="ContinuedBodyText"/>
    <w:qFormat/>
    <w:uiPriority w:val="0"/>
    <w:pPr>
      <w:spacing w:after="200" w:line="480" w:lineRule="auto"/>
    </w:pPr>
    <w:rPr>
      <w:rFonts w:ascii="Times New Roman" w:hAnsi="Times New Roman" w:eastAsia="Times New Roman" w:cs="Latha"/>
      <w:sz w:val="24"/>
      <w:szCs w:val="22"/>
      <w:lang w:val="en-US" w:eastAsia="en-US" w:bidi="ar-SA"/>
    </w:rPr>
  </w:style>
  <w:style w:type="paragraph" w:customStyle="1" w:styleId="256">
    <w:name w:val="Bio"/>
    <w:qFormat/>
    <w:uiPriority w:val="0"/>
    <w:pPr>
      <w:spacing w:after="200" w:line="480" w:lineRule="auto"/>
    </w:pPr>
    <w:rPr>
      <w:rFonts w:ascii="Times New Roman" w:hAnsi="Times New Roman" w:eastAsia="Times New Roman" w:cs="Latha"/>
      <w:sz w:val="24"/>
      <w:szCs w:val="22"/>
      <w:lang w:val="en-US" w:eastAsia="en-US" w:bidi="ar-SA"/>
    </w:rPr>
  </w:style>
  <w:style w:type="paragraph" w:customStyle="1" w:styleId="257">
    <w:name w:val="thead"/>
    <w:basedOn w:val="1"/>
    <w:qFormat/>
    <w:uiPriority w:val="0"/>
    <w:pPr>
      <w:shd w:val="clear" w:color="auto" w:fill="ADB9CA" w:themeFill="text2" w:themeFillTint="66"/>
    </w:pPr>
  </w:style>
  <w:style w:type="paragraph" w:customStyle="1" w:styleId="258">
    <w:name w:val="Correspondence"/>
    <w:basedOn w:val="1"/>
    <w:qFormat/>
    <w:uiPriority w:val="0"/>
  </w:style>
  <w:style w:type="paragraph" w:customStyle="1" w:styleId="259">
    <w:name w:val="SupplementaryMaterial"/>
    <w:basedOn w:val="1"/>
    <w:autoRedefine/>
    <w:qFormat/>
    <w:uiPriority w:val="0"/>
  </w:style>
  <w:style w:type="paragraph" w:customStyle="1" w:styleId="260">
    <w:name w:val="Proposition"/>
    <w:qFormat/>
    <w:uiPriority w:val="0"/>
    <w:pPr>
      <w:spacing w:after="200" w:line="480" w:lineRule="auto"/>
    </w:pPr>
    <w:rPr>
      <w:rFonts w:ascii="Times New Roman" w:hAnsi="Times New Roman" w:eastAsia="Times New Roman" w:cs="Latha"/>
      <w:sz w:val="24"/>
      <w:szCs w:val="24"/>
      <w:lang w:val="en-US" w:eastAsia="en-US" w:bidi="ar-SA"/>
    </w:rPr>
  </w:style>
  <w:style w:type="paragraph" w:customStyle="1" w:styleId="261">
    <w:name w:val="Claim"/>
    <w:qFormat/>
    <w:uiPriority w:val="0"/>
    <w:pPr>
      <w:spacing w:after="200" w:line="480" w:lineRule="auto"/>
    </w:pPr>
    <w:rPr>
      <w:rFonts w:ascii="Times New Roman" w:hAnsi="Times New Roman" w:eastAsia="Times New Roman" w:cs="Latha"/>
      <w:sz w:val="24"/>
      <w:szCs w:val="24"/>
      <w:lang w:val="en-US" w:eastAsia="en-US" w:bidi="ar-SA"/>
    </w:rPr>
  </w:style>
  <w:style w:type="paragraph" w:customStyle="1" w:styleId="262">
    <w:name w:val="Conjecture"/>
    <w:qFormat/>
    <w:uiPriority w:val="0"/>
    <w:pPr>
      <w:spacing w:after="200" w:line="480" w:lineRule="auto"/>
    </w:pPr>
    <w:rPr>
      <w:rFonts w:ascii="Times New Roman" w:hAnsi="Times New Roman" w:eastAsia="Times New Roman" w:cs="Latha"/>
      <w:sz w:val="24"/>
      <w:szCs w:val="24"/>
      <w:lang w:val="en-US" w:eastAsia="en-US" w:bidi="ar-SA"/>
    </w:rPr>
  </w:style>
  <w:style w:type="paragraph" w:customStyle="1" w:styleId="263">
    <w:name w:val="Corollary"/>
    <w:autoRedefine/>
    <w:qFormat/>
    <w:uiPriority w:val="0"/>
    <w:pPr>
      <w:spacing w:after="200" w:line="480" w:lineRule="auto"/>
    </w:pPr>
    <w:rPr>
      <w:rFonts w:ascii="Times New Roman" w:hAnsi="Times New Roman" w:eastAsia="Times New Roman" w:cs="Latha"/>
      <w:sz w:val="24"/>
      <w:szCs w:val="24"/>
      <w:lang w:val="en-US" w:eastAsia="en-US" w:bidi="ar-SA"/>
    </w:rPr>
  </w:style>
  <w:style w:type="paragraph" w:customStyle="1" w:styleId="264">
    <w:name w:val="Property"/>
    <w:qFormat/>
    <w:uiPriority w:val="0"/>
    <w:pPr>
      <w:spacing w:after="200" w:line="480" w:lineRule="auto"/>
    </w:pPr>
    <w:rPr>
      <w:rFonts w:ascii="Times New Roman" w:hAnsi="Times New Roman" w:eastAsia="Times New Roman" w:cs="Latha"/>
      <w:sz w:val="24"/>
      <w:szCs w:val="24"/>
      <w:lang w:val="en-US" w:eastAsia="en-US" w:bidi="ar-SA"/>
    </w:rPr>
  </w:style>
  <w:style w:type="paragraph" w:customStyle="1" w:styleId="265">
    <w:name w:val="Axiom"/>
    <w:qFormat/>
    <w:uiPriority w:val="0"/>
    <w:pPr>
      <w:spacing w:after="200" w:line="480" w:lineRule="auto"/>
    </w:pPr>
    <w:rPr>
      <w:rFonts w:ascii="Times New Roman" w:hAnsi="Times New Roman" w:eastAsia="Times New Roman" w:cs="Latha"/>
      <w:sz w:val="24"/>
      <w:szCs w:val="24"/>
      <w:lang w:val="en-US" w:eastAsia="en-US" w:bidi="ar-SA"/>
    </w:rPr>
  </w:style>
  <w:style w:type="paragraph" w:customStyle="1" w:styleId="266">
    <w:name w:val="Case"/>
    <w:autoRedefine/>
    <w:qFormat/>
    <w:uiPriority w:val="0"/>
    <w:pPr>
      <w:spacing w:after="200" w:line="480" w:lineRule="auto"/>
    </w:pPr>
    <w:rPr>
      <w:rFonts w:ascii="Times New Roman" w:hAnsi="Times New Roman" w:eastAsia="Times New Roman" w:cs="Latha"/>
      <w:sz w:val="24"/>
      <w:szCs w:val="24"/>
      <w:lang w:val="en-US" w:eastAsia="en-US" w:bidi="ar-SA"/>
    </w:rPr>
  </w:style>
  <w:style w:type="paragraph" w:customStyle="1" w:styleId="267">
    <w:name w:val="Definition"/>
    <w:autoRedefine/>
    <w:qFormat/>
    <w:uiPriority w:val="0"/>
    <w:pPr>
      <w:spacing w:after="200" w:line="480" w:lineRule="auto"/>
    </w:pPr>
    <w:rPr>
      <w:rFonts w:ascii="Times New Roman" w:hAnsi="Times New Roman" w:eastAsia="Times New Roman" w:cs="Latha"/>
      <w:sz w:val="24"/>
      <w:szCs w:val="24"/>
      <w:lang w:val="en-US" w:eastAsia="en-US" w:bidi="ar-SA"/>
    </w:rPr>
  </w:style>
  <w:style w:type="paragraph" w:customStyle="1" w:styleId="268">
    <w:name w:val="Example"/>
    <w:autoRedefine/>
    <w:qFormat/>
    <w:uiPriority w:val="0"/>
    <w:pPr>
      <w:spacing w:after="200" w:line="480" w:lineRule="auto"/>
    </w:pPr>
    <w:rPr>
      <w:rFonts w:ascii="Times New Roman" w:hAnsi="Times New Roman" w:eastAsia="Times New Roman" w:cs="Latha"/>
      <w:sz w:val="24"/>
      <w:szCs w:val="24"/>
      <w:lang w:val="en-US" w:eastAsia="en-US" w:bidi="ar-SA"/>
    </w:rPr>
  </w:style>
  <w:style w:type="paragraph" w:customStyle="1" w:styleId="269">
    <w:name w:val="Hypothesis"/>
    <w:autoRedefine/>
    <w:qFormat/>
    <w:uiPriority w:val="0"/>
    <w:pPr>
      <w:spacing w:after="200" w:line="480" w:lineRule="auto"/>
    </w:pPr>
    <w:rPr>
      <w:rFonts w:ascii="Times New Roman" w:hAnsi="Times New Roman" w:eastAsia="Times New Roman" w:cs="Latha"/>
      <w:sz w:val="24"/>
      <w:szCs w:val="24"/>
      <w:lang w:val="en-US" w:eastAsia="en-US" w:bidi="ar-SA"/>
    </w:rPr>
  </w:style>
  <w:style w:type="paragraph" w:customStyle="1" w:styleId="270">
    <w:name w:val="Postulate"/>
    <w:autoRedefine/>
    <w:qFormat/>
    <w:uiPriority w:val="0"/>
    <w:pPr>
      <w:spacing w:after="200" w:line="480" w:lineRule="auto"/>
    </w:pPr>
    <w:rPr>
      <w:rFonts w:ascii="Times New Roman" w:hAnsi="Times New Roman" w:eastAsia="Times New Roman" w:cs="Latha"/>
      <w:sz w:val="24"/>
      <w:szCs w:val="24"/>
      <w:lang w:val="en-US" w:eastAsia="en-US" w:bidi="ar-SA"/>
    </w:rPr>
  </w:style>
  <w:style w:type="paragraph" w:customStyle="1" w:styleId="271">
    <w:name w:val="Problem"/>
    <w:qFormat/>
    <w:uiPriority w:val="0"/>
    <w:pPr>
      <w:spacing w:after="200" w:line="480" w:lineRule="auto"/>
    </w:pPr>
    <w:rPr>
      <w:rFonts w:ascii="Times New Roman" w:hAnsi="Times New Roman" w:eastAsia="Times New Roman" w:cs="Latha"/>
      <w:sz w:val="24"/>
      <w:szCs w:val="24"/>
      <w:lang w:val="en-US" w:eastAsia="en-US" w:bidi="ar-SA"/>
    </w:rPr>
  </w:style>
  <w:style w:type="paragraph" w:customStyle="1" w:styleId="272">
    <w:name w:val="Remark"/>
    <w:autoRedefine/>
    <w:qFormat/>
    <w:uiPriority w:val="0"/>
    <w:pPr>
      <w:spacing w:after="200" w:line="480" w:lineRule="auto"/>
    </w:pPr>
    <w:rPr>
      <w:rFonts w:ascii="Times New Roman" w:hAnsi="Times New Roman" w:eastAsia="Times New Roman" w:cs="Latha"/>
      <w:sz w:val="24"/>
      <w:szCs w:val="24"/>
      <w:lang w:val="en-US" w:eastAsia="en-US" w:bidi="ar-SA"/>
    </w:rPr>
  </w:style>
  <w:style w:type="paragraph" w:customStyle="1" w:styleId="273">
    <w:name w:val="List Level 1"/>
    <w:autoRedefine/>
    <w:qFormat/>
    <w:uiPriority w:val="0"/>
    <w:pPr>
      <w:spacing w:after="200" w:line="480" w:lineRule="auto"/>
      <w:ind w:left="432"/>
    </w:pPr>
    <w:rPr>
      <w:rFonts w:ascii="Times New Roman" w:hAnsi="Times New Roman" w:eastAsia="Times New Roman" w:cs="Latha"/>
      <w:sz w:val="24"/>
      <w:szCs w:val="24"/>
      <w:lang w:val="en-US" w:eastAsia="en-US" w:bidi="ar-SA"/>
    </w:rPr>
  </w:style>
  <w:style w:type="paragraph" w:customStyle="1" w:styleId="274">
    <w:name w:val="List Level 2"/>
    <w:qFormat/>
    <w:uiPriority w:val="0"/>
    <w:pPr>
      <w:spacing w:after="200" w:line="480" w:lineRule="auto"/>
      <w:ind w:left="864"/>
    </w:pPr>
    <w:rPr>
      <w:rFonts w:ascii="Times New Roman" w:hAnsi="Times New Roman" w:eastAsia="Times New Roman" w:cs="Latha"/>
      <w:sz w:val="24"/>
      <w:szCs w:val="24"/>
      <w:lang w:val="en-US" w:eastAsia="en-US" w:bidi="ar-SA"/>
    </w:rPr>
  </w:style>
  <w:style w:type="paragraph" w:customStyle="1" w:styleId="275">
    <w:name w:val="List Level 3"/>
    <w:autoRedefine/>
    <w:qFormat/>
    <w:uiPriority w:val="0"/>
    <w:pPr>
      <w:spacing w:after="200" w:line="480" w:lineRule="auto"/>
      <w:ind w:left="1296"/>
    </w:pPr>
    <w:rPr>
      <w:rFonts w:ascii="Times New Roman" w:hAnsi="Times New Roman" w:eastAsia="Times New Roman" w:cs="Latha"/>
      <w:sz w:val="24"/>
      <w:szCs w:val="24"/>
      <w:lang w:val="en-US" w:eastAsia="en-US" w:bidi="ar-SA"/>
    </w:rPr>
  </w:style>
  <w:style w:type="paragraph" w:customStyle="1" w:styleId="276">
    <w:name w:val="List Level 4"/>
    <w:qFormat/>
    <w:uiPriority w:val="0"/>
    <w:pPr>
      <w:spacing w:after="200" w:line="480" w:lineRule="auto"/>
      <w:ind w:left="1728"/>
    </w:pPr>
    <w:rPr>
      <w:rFonts w:ascii="Times New Roman" w:hAnsi="Times New Roman" w:eastAsia="Times New Roman" w:cs="Latha"/>
      <w:sz w:val="24"/>
      <w:szCs w:val="24"/>
      <w:lang w:val="en-US" w:eastAsia="en-US" w:bidi="ar-SA"/>
    </w:rPr>
  </w:style>
  <w:style w:type="paragraph" w:customStyle="1" w:styleId="277">
    <w:name w:val="List Level 5"/>
    <w:qFormat/>
    <w:uiPriority w:val="0"/>
    <w:pPr>
      <w:spacing w:after="200" w:line="480" w:lineRule="auto"/>
      <w:ind w:left="2160"/>
    </w:pPr>
    <w:rPr>
      <w:rFonts w:ascii="Times New Roman" w:hAnsi="Times New Roman" w:eastAsia="Times New Roman" w:cs="Latha"/>
      <w:sz w:val="24"/>
      <w:szCs w:val="24"/>
      <w:lang w:val="en-US" w:eastAsia="en-US" w:bidi="ar-SA"/>
    </w:rPr>
  </w:style>
  <w:style w:type="paragraph" w:customStyle="1" w:styleId="278">
    <w:name w:val="List Level 6"/>
    <w:qFormat/>
    <w:uiPriority w:val="0"/>
    <w:pPr>
      <w:spacing w:after="200" w:line="480" w:lineRule="auto"/>
      <w:ind w:left="2592"/>
    </w:pPr>
    <w:rPr>
      <w:rFonts w:ascii="Times New Roman" w:hAnsi="Times New Roman" w:eastAsia="Times New Roman" w:cs="Latha"/>
      <w:sz w:val="24"/>
      <w:szCs w:val="24"/>
      <w:lang w:val="en-US" w:eastAsia="en-US" w:bidi="ar-SA"/>
    </w:rPr>
  </w:style>
  <w:style w:type="paragraph" w:customStyle="1" w:styleId="279">
    <w:name w:val="List Level 7"/>
    <w:autoRedefine/>
    <w:qFormat/>
    <w:uiPriority w:val="0"/>
    <w:pPr>
      <w:spacing w:after="200" w:line="480" w:lineRule="auto"/>
      <w:ind w:left="3024"/>
    </w:pPr>
    <w:rPr>
      <w:rFonts w:ascii="Times New Roman" w:hAnsi="Times New Roman" w:eastAsia="Times New Roman" w:cs="Latha"/>
      <w:sz w:val="24"/>
      <w:szCs w:val="24"/>
      <w:lang w:val="en-US" w:eastAsia="en-US" w:bidi="ar-SA"/>
    </w:rPr>
  </w:style>
  <w:style w:type="paragraph" w:customStyle="1" w:styleId="280">
    <w:name w:val="Recto"/>
    <w:qFormat/>
    <w:uiPriority w:val="0"/>
    <w:pPr>
      <w:shd w:val="clear" w:color="auto" w:fill="CCC0D9"/>
    </w:pPr>
    <w:rPr>
      <w:rFonts w:ascii="Times New Roman" w:hAnsi="Times New Roman" w:eastAsia="Times New Roman" w:cs="Latha"/>
      <w:sz w:val="24"/>
      <w:szCs w:val="24"/>
      <w:lang w:val="en-US" w:eastAsia="en-US" w:bidi="ar-SA"/>
    </w:rPr>
  </w:style>
  <w:style w:type="paragraph" w:customStyle="1" w:styleId="281">
    <w:name w:val="Affiliation footnote"/>
    <w:autoRedefine/>
    <w:qFormat/>
    <w:uiPriority w:val="0"/>
    <w:pPr>
      <w:spacing w:after="200" w:line="480" w:lineRule="auto"/>
    </w:pPr>
    <w:rPr>
      <w:rFonts w:ascii="Times New Roman" w:hAnsi="Times New Roman" w:eastAsia="Times New Roman" w:cs="Latha"/>
      <w:sz w:val="24"/>
      <w:szCs w:val="24"/>
      <w:lang w:val="en-US" w:eastAsia="en-US" w:bidi="ar-SA"/>
    </w:rPr>
  </w:style>
  <w:style w:type="paragraph" w:customStyle="1" w:styleId="282">
    <w:name w:val="ContinuedBio"/>
    <w:autoRedefine/>
    <w:qFormat/>
    <w:uiPriority w:val="0"/>
    <w:pPr>
      <w:spacing w:after="200" w:line="480" w:lineRule="auto"/>
    </w:pPr>
    <w:rPr>
      <w:rFonts w:ascii="Times New Roman" w:hAnsi="Times New Roman" w:eastAsia="Times New Roman" w:cs="Latha"/>
      <w:sz w:val="24"/>
      <w:szCs w:val="24"/>
      <w:lang w:val="en-US" w:eastAsia="en-US" w:bidi="ar-SA"/>
    </w:rPr>
  </w:style>
  <w:style w:type="paragraph" w:customStyle="1" w:styleId="283">
    <w:name w:val="ContinuedAppText"/>
    <w:qFormat/>
    <w:uiPriority w:val="0"/>
    <w:pPr>
      <w:spacing w:after="200" w:line="480" w:lineRule="auto"/>
    </w:pPr>
    <w:rPr>
      <w:rFonts w:ascii="Times New Roman" w:hAnsi="Times New Roman" w:eastAsia="Times New Roman" w:cs="Latha"/>
      <w:sz w:val="24"/>
      <w:szCs w:val="24"/>
      <w:lang w:val="en-US" w:eastAsia="en-US" w:bidi="ar-SA"/>
    </w:rPr>
  </w:style>
  <w:style w:type="paragraph" w:customStyle="1" w:styleId="284">
    <w:name w:val="FundingStatement"/>
    <w:basedOn w:val="1"/>
    <w:qFormat/>
    <w:uiPriority w:val="0"/>
  </w:style>
  <w:style w:type="paragraph" w:customStyle="1" w:styleId="285">
    <w:name w:val="Verso"/>
    <w:autoRedefine/>
    <w:qFormat/>
    <w:uiPriority w:val="0"/>
    <w:pPr>
      <w:shd w:val="clear" w:color="auto" w:fill="D6E3BC"/>
    </w:pPr>
    <w:rPr>
      <w:rFonts w:ascii="Times New Roman" w:hAnsi="Times New Roman" w:eastAsia="Times New Roman" w:cs="Latha"/>
      <w:sz w:val="24"/>
      <w:szCs w:val="24"/>
      <w:lang w:val="en-US" w:eastAsia="en-US" w:bidi="ar-SA"/>
    </w:rPr>
  </w:style>
  <w:style w:type="character" w:customStyle="1" w:styleId="286">
    <w:name w:val="称呼 Char"/>
    <w:link w:val="30"/>
    <w:qFormat/>
    <w:uiPriority w:val="0"/>
    <w:rPr>
      <w:rFonts w:cs="Latha"/>
      <w:sz w:val="24"/>
      <w:szCs w:val="24"/>
    </w:rPr>
  </w:style>
  <w:style w:type="paragraph" w:customStyle="1" w:styleId="287">
    <w:name w:val="修订1"/>
    <w:hidden/>
    <w:semiHidden/>
    <w:qFormat/>
    <w:uiPriority w:val="99"/>
    <w:rPr>
      <w:rFonts w:ascii="Times New Roman" w:hAnsi="Times New Roman" w:eastAsia="Times New Roman" w:cs="Times New Roman"/>
      <w:lang w:val="en-US" w:eastAsia="en-US" w:bidi="ar-SA"/>
    </w:rPr>
  </w:style>
  <w:style w:type="paragraph" w:customStyle="1" w:styleId="288">
    <w:name w:val="AbstractAHead"/>
    <w:basedOn w:val="235"/>
    <w:qFormat/>
    <w:uiPriority w:val="0"/>
    <w:rPr>
      <w:iCs/>
      <w:lang w:val="en-GB"/>
    </w:rPr>
  </w:style>
  <w:style w:type="paragraph" w:customStyle="1" w:styleId="289">
    <w:name w:val="AbstractBHead"/>
    <w:basedOn w:val="235"/>
    <w:autoRedefine/>
    <w:qFormat/>
    <w:uiPriority w:val="0"/>
    <w:rPr>
      <w:iCs/>
      <w:lang w:val="en-GB"/>
    </w:rPr>
  </w:style>
  <w:style w:type="paragraph" w:customStyle="1" w:styleId="290">
    <w:name w:val="DispCompCode"/>
    <w:basedOn w:val="33"/>
    <w:qFormat/>
    <w:uiPriority w:val="0"/>
    <w:pPr>
      <w:ind w:firstLine="0"/>
    </w:pPr>
    <w:rPr>
      <w:rFonts w:ascii="Courier New" w:hAnsi="Courier New"/>
      <w:b/>
      <w:bCs/>
    </w:rPr>
  </w:style>
  <w:style w:type="paragraph" w:customStyle="1" w:styleId="291">
    <w:name w:val="AlgorithmTitle"/>
    <w:basedOn w:val="1"/>
    <w:qFormat/>
    <w:uiPriority w:val="0"/>
  </w:style>
  <w:style w:type="paragraph" w:customStyle="1" w:styleId="292">
    <w:name w:val="BioImage"/>
    <w:basedOn w:val="1"/>
    <w:qFormat/>
    <w:uiPriority w:val="0"/>
  </w:style>
  <w:style w:type="paragraph" w:customStyle="1" w:styleId="293">
    <w:name w:val="HistoryDate"/>
    <w:basedOn w:val="1"/>
    <w:next w:val="1"/>
    <w:qFormat/>
    <w:uiPriority w:val="0"/>
  </w:style>
  <w:style w:type="character" w:customStyle="1" w:styleId="294">
    <w:name w:val="信息标题 Char"/>
    <w:basedOn w:val="209"/>
    <w:link w:val="77"/>
    <w:autoRedefine/>
    <w:semiHidden/>
    <w:qFormat/>
    <w:uiPriority w:val="0"/>
    <w:rPr>
      <w:rFonts w:asciiTheme="majorHAnsi" w:hAnsiTheme="majorHAnsi" w:eastAsiaTheme="majorEastAsia" w:cstheme="majorBidi"/>
      <w:sz w:val="24"/>
      <w:szCs w:val="24"/>
      <w:shd w:val="pct20" w:color="auto" w:fill="auto"/>
      <w:lang w:bidi="ta-IN"/>
    </w:rPr>
  </w:style>
  <w:style w:type="character" w:customStyle="1" w:styleId="295">
    <w:name w:val="标题 Char"/>
    <w:link w:val="82"/>
    <w:autoRedefine/>
    <w:qFormat/>
    <w:uiPriority w:val="10"/>
    <w:rPr>
      <w:rFonts w:ascii="Cambria" w:hAnsi="Cambria"/>
      <w:color w:val="343434"/>
      <w:spacing w:val="5"/>
      <w:kern w:val="28"/>
      <w:sz w:val="52"/>
      <w:szCs w:val="52"/>
    </w:rPr>
  </w:style>
  <w:style w:type="character" w:styleId="296">
    <w:name w:val="Placeholder Text"/>
    <w:autoRedefine/>
    <w:semiHidden/>
    <w:qFormat/>
    <w:uiPriority w:val="99"/>
    <w:rPr>
      <w:color w:val="808080"/>
    </w:rPr>
  </w:style>
  <w:style w:type="character" w:customStyle="1" w:styleId="297">
    <w:name w:val="明显参考1"/>
    <w:autoRedefine/>
    <w:qFormat/>
    <w:uiPriority w:val="32"/>
    <w:rPr>
      <w:b/>
      <w:bCs/>
      <w:smallCaps/>
      <w:color w:val="DA1F28"/>
      <w:spacing w:val="5"/>
      <w:u w:val="single"/>
    </w:rPr>
  </w:style>
  <w:style w:type="character" w:customStyle="1" w:styleId="298">
    <w:name w:val="明显强调1"/>
    <w:qFormat/>
    <w:uiPriority w:val="21"/>
    <w:rPr>
      <w:b/>
      <w:bCs/>
      <w:i/>
      <w:iCs/>
      <w:color w:val="2DA2BF"/>
    </w:rPr>
  </w:style>
  <w:style w:type="character" w:customStyle="1" w:styleId="299">
    <w:name w:val="签名 Char"/>
    <w:link w:val="57"/>
    <w:qFormat/>
    <w:uiPriority w:val="0"/>
    <w:rPr>
      <w:rFonts w:cs="Latha"/>
      <w:sz w:val="24"/>
      <w:szCs w:val="24"/>
    </w:rPr>
  </w:style>
  <w:style w:type="paragraph" w:styleId="300">
    <w:name w:val="Quote"/>
    <w:basedOn w:val="1"/>
    <w:next w:val="1"/>
    <w:link w:val="301"/>
    <w:qFormat/>
    <w:uiPriority w:val="29"/>
    <w:rPr>
      <w:rFonts w:cs="Times New Roman"/>
      <w:i/>
      <w:iCs/>
      <w:color w:val="000000"/>
      <w:szCs w:val="20"/>
      <w:lang w:bidi="ar-SA"/>
    </w:rPr>
  </w:style>
  <w:style w:type="character" w:customStyle="1" w:styleId="301">
    <w:name w:val="引用 Char"/>
    <w:link w:val="300"/>
    <w:qFormat/>
    <w:uiPriority w:val="29"/>
    <w:rPr>
      <w:rFonts w:ascii="Times New Roman" w:hAnsi="Times New Roman"/>
      <w:i/>
      <w:iCs/>
      <w:color w:val="000000"/>
      <w:sz w:val="24"/>
    </w:rPr>
  </w:style>
  <w:style w:type="character" w:customStyle="1" w:styleId="302">
    <w:name w:val="纯文本 Char"/>
    <w:basedOn w:val="209"/>
    <w:link w:val="44"/>
    <w:qFormat/>
    <w:uiPriority w:val="0"/>
    <w:rPr>
      <w:rFonts w:ascii="Times New Roman" w:hAnsi="Times New Roman" w:cs="Latha"/>
      <w:sz w:val="24"/>
      <w:szCs w:val="22"/>
      <w:lang w:bidi="ta-IN"/>
    </w:rPr>
  </w:style>
  <w:style w:type="character" w:customStyle="1" w:styleId="303">
    <w:name w:val="注释标题 Char"/>
    <w:link w:val="16"/>
    <w:qFormat/>
    <w:uiPriority w:val="0"/>
    <w:rPr>
      <w:rFonts w:cs="Latha"/>
      <w:sz w:val="24"/>
      <w:szCs w:val="24"/>
    </w:rPr>
  </w:style>
  <w:style w:type="paragraph" w:styleId="304">
    <w:name w:val="No Spacing"/>
    <w:qFormat/>
    <w:uiPriority w:val="1"/>
    <w:rPr>
      <w:rFonts w:ascii="Times New Roman" w:hAnsi="Times New Roman" w:eastAsia="Times New Roman" w:cs="Latha"/>
      <w:sz w:val="24"/>
      <w:szCs w:val="22"/>
      <w:lang w:val="en-US" w:eastAsia="en-US" w:bidi="ta-IN"/>
    </w:rPr>
  </w:style>
  <w:style w:type="character" w:customStyle="1" w:styleId="305">
    <w:name w:val="书籍标题1"/>
    <w:qFormat/>
    <w:uiPriority w:val="33"/>
    <w:rPr>
      <w:b/>
      <w:bCs/>
      <w:smallCaps/>
      <w:spacing w:val="5"/>
    </w:rPr>
  </w:style>
  <w:style w:type="character" w:customStyle="1" w:styleId="306">
    <w:name w:val="宏文本 Char"/>
    <w:link w:val="2"/>
    <w:qFormat/>
    <w:uiPriority w:val="0"/>
    <w:rPr>
      <w:rFonts w:ascii="Times New Roman" w:hAnsi="Times New Roman" w:cs="Courier New"/>
      <w:sz w:val="24"/>
    </w:rPr>
  </w:style>
  <w:style w:type="paragraph" w:customStyle="1" w:styleId="307">
    <w:name w:val="Assumption"/>
    <w:qFormat/>
    <w:uiPriority w:val="0"/>
    <w:pPr>
      <w:spacing w:after="200" w:line="480" w:lineRule="auto"/>
    </w:pPr>
    <w:rPr>
      <w:rFonts w:ascii="Times New Roman" w:hAnsi="Times New Roman" w:eastAsia="Times New Roman" w:cs="Latha"/>
      <w:sz w:val="24"/>
      <w:szCs w:val="24"/>
      <w:lang w:val="en-US" w:eastAsia="en-US" w:bidi="ar-SA"/>
    </w:rPr>
  </w:style>
  <w:style w:type="paragraph" w:styleId="308">
    <w:name w:val="List Paragraph"/>
    <w:basedOn w:val="1"/>
    <w:qFormat/>
    <w:uiPriority w:val="34"/>
    <w:pPr>
      <w:ind w:left="720"/>
      <w:contextualSpacing/>
    </w:pPr>
  </w:style>
  <w:style w:type="paragraph" w:styleId="309">
    <w:name w:val="Intense Quote"/>
    <w:basedOn w:val="1"/>
    <w:next w:val="1"/>
    <w:link w:val="310"/>
    <w:qFormat/>
    <w:uiPriority w:val="30"/>
    <w:pPr>
      <w:pBdr>
        <w:bottom w:val="single" w:color="2DA2BF" w:sz="4" w:space="4"/>
      </w:pBdr>
      <w:spacing w:before="200" w:after="280"/>
      <w:ind w:left="936" w:right="936"/>
    </w:pPr>
    <w:rPr>
      <w:rFonts w:cs="Times New Roman"/>
      <w:b/>
      <w:bCs/>
      <w:i/>
      <w:iCs/>
      <w:color w:val="2DA2BF"/>
      <w:sz w:val="20"/>
      <w:szCs w:val="20"/>
      <w:lang w:bidi="ar-SA"/>
    </w:rPr>
  </w:style>
  <w:style w:type="character" w:customStyle="1" w:styleId="310">
    <w:name w:val="明显引用 Char"/>
    <w:link w:val="309"/>
    <w:qFormat/>
    <w:uiPriority w:val="30"/>
    <w:rPr>
      <w:b/>
      <w:bCs/>
      <w:i/>
      <w:iCs/>
      <w:color w:val="2DA2BF"/>
    </w:rPr>
  </w:style>
  <w:style w:type="paragraph" w:customStyle="1" w:styleId="311">
    <w:name w:val="Endnotes"/>
    <w:qFormat/>
    <w:uiPriority w:val="0"/>
    <w:pPr>
      <w:spacing w:after="200" w:line="480" w:lineRule="auto"/>
    </w:pPr>
    <w:rPr>
      <w:rFonts w:ascii="Times New Roman" w:hAnsi="Times New Roman" w:eastAsia="Times New Roman" w:cs="Latha"/>
      <w:sz w:val="24"/>
      <w:szCs w:val="24"/>
      <w:lang w:val="en-US" w:eastAsia="en-US" w:bidi="ar-SA"/>
    </w:rPr>
  </w:style>
  <w:style w:type="character" w:customStyle="1" w:styleId="312">
    <w:name w:val="页眉 Char"/>
    <w:link w:val="56"/>
    <w:qFormat/>
    <w:uiPriority w:val="0"/>
    <w:rPr>
      <w:rFonts w:cs="Latha"/>
      <w:sz w:val="24"/>
      <w:szCs w:val="24"/>
    </w:rPr>
  </w:style>
  <w:style w:type="character" w:customStyle="1" w:styleId="313">
    <w:name w:val="脚注文本 Char"/>
    <w:link w:val="65"/>
    <w:qFormat/>
    <w:uiPriority w:val="0"/>
    <w:rPr>
      <w:rFonts w:ascii="Times New Roman" w:hAnsi="Times New Roman" w:cs="Latha"/>
      <w:sz w:val="24"/>
    </w:rPr>
  </w:style>
  <w:style w:type="character" w:customStyle="1" w:styleId="314">
    <w:name w:val="页脚 Char"/>
    <w:link w:val="54"/>
    <w:qFormat/>
    <w:uiPriority w:val="99"/>
    <w:rPr>
      <w:rFonts w:cs="Latha"/>
      <w:sz w:val="24"/>
      <w:szCs w:val="24"/>
    </w:rPr>
  </w:style>
  <w:style w:type="character" w:customStyle="1" w:styleId="315">
    <w:name w:val="尾注文本 Char"/>
    <w:link w:val="51"/>
    <w:qFormat/>
    <w:uiPriority w:val="0"/>
    <w:rPr>
      <w:rFonts w:ascii="Times New Roman" w:hAnsi="Times New Roman" w:cs="Latha"/>
      <w:sz w:val="24"/>
    </w:rPr>
  </w:style>
  <w:style w:type="character" w:customStyle="1" w:styleId="316">
    <w:name w:val="电子邮件签名 Char"/>
    <w:link w:val="19"/>
    <w:qFormat/>
    <w:uiPriority w:val="0"/>
    <w:rPr>
      <w:rFonts w:cs="Latha"/>
      <w:sz w:val="24"/>
      <w:szCs w:val="24"/>
    </w:rPr>
  </w:style>
  <w:style w:type="character" w:customStyle="1" w:styleId="317">
    <w:name w:val="文档结构图 Char"/>
    <w:link w:val="26"/>
    <w:qFormat/>
    <w:uiPriority w:val="0"/>
    <w:rPr>
      <w:rFonts w:ascii="Tahoma" w:hAnsi="Tahoma" w:cs="Tahoma"/>
      <w:sz w:val="16"/>
      <w:szCs w:val="16"/>
    </w:rPr>
  </w:style>
  <w:style w:type="character" w:customStyle="1" w:styleId="318">
    <w:name w:val="日期 Char"/>
    <w:link w:val="49"/>
    <w:qFormat/>
    <w:uiPriority w:val="0"/>
    <w:rPr>
      <w:rFonts w:cs="Latha"/>
      <w:sz w:val="24"/>
      <w:szCs w:val="24"/>
    </w:rPr>
  </w:style>
  <w:style w:type="character" w:customStyle="1" w:styleId="319">
    <w:name w:val="批注主题 Char"/>
    <w:link w:val="83"/>
    <w:qFormat/>
    <w:uiPriority w:val="0"/>
    <w:rPr>
      <w:rFonts w:ascii="Times New Roman" w:hAnsi="Times New Roman" w:cs="Cambria"/>
      <w:b/>
      <w:bCs/>
      <w:sz w:val="24"/>
      <w:lang w:val="en-NZ"/>
    </w:rPr>
  </w:style>
  <w:style w:type="paragraph" w:customStyle="1" w:styleId="320">
    <w:name w:val="书目1"/>
    <w:basedOn w:val="1"/>
    <w:next w:val="1"/>
    <w:semiHidden/>
    <w:unhideWhenUsed/>
    <w:qFormat/>
    <w:uiPriority w:val="37"/>
  </w:style>
  <w:style w:type="character" w:customStyle="1" w:styleId="321">
    <w:name w:val="批注框文本 Char"/>
    <w:basedOn w:val="209"/>
    <w:link w:val="53"/>
    <w:semiHidden/>
    <w:qFormat/>
    <w:uiPriority w:val="0"/>
    <w:rPr>
      <w:rFonts w:ascii="Tahoma" w:hAnsi="Tahoma" w:cs="Tahoma"/>
      <w:sz w:val="16"/>
      <w:szCs w:val="16"/>
      <w:lang w:bidi="ta-IN"/>
    </w:rPr>
  </w:style>
  <w:style w:type="paragraph" w:customStyle="1" w:styleId="322">
    <w:name w:val="FigFootnote"/>
    <w:basedOn w:val="247"/>
    <w:qFormat/>
    <w:uiPriority w:val="0"/>
  </w:style>
  <w:style w:type="character" w:customStyle="1" w:styleId="323">
    <w:name w:val="正文文本 Char"/>
    <w:link w:val="33"/>
    <w:qFormat/>
    <w:locked/>
    <w:uiPriority w:val="0"/>
    <w:rPr>
      <w:rFonts w:cs="Latha"/>
      <w:sz w:val="24"/>
    </w:rPr>
  </w:style>
  <w:style w:type="paragraph" w:customStyle="1" w:styleId="324">
    <w:name w:val="Deflist"/>
    <w:qFormat/>
    <w:uiPriority w:val="0"/>
    <w:pPr>
      <w:spacing w:after="200" w:line="480" w:lineRule="auto"/>
      <w:ind w:left="432"/>
    </w:pPr>
    <w:rPr>
      <w:rFonts w:ascii="Times New Roman" w:hAnsi="Times New Roman" w:eastAsia="Times New Roman" w:cs="Latha"/>
      <w:sz w:val="24"/>
      <w:szCs w:val="24"/>
      <w:lang w:val="en-US" w:eastAsia="en-US" w:bidi="ar-SA"/>
    </w:rPr>
  </w:style>
  <w:style w:type="paragraph" w:customStyle="1" w:styleId="325">
    <w:name w:val="pStyle1"/>
    <w:basedOn w:val="1"/>
    <w:qFormat/>
    <w:uiPriority w:val="0"/>
  </w:style>
  <w:style w:type="paragraph" w:customStyle="1" w:styleId="326">
    <w:name w:val="pStyle2"/>
    <w:basedOn w:val="1"/>
    <w:qFormat/>
    <w:uiPriority w:val="0"/>
  </w:style>
  <w:style w:type="paragraph" w:customStyle="1" w:styleId="327">
    <w:name w:val="pStyle3"/>
    <w:basedOn w:val="1"/>
    <w:qFormat/>
    <w:uiPriority w:val="0"/>
  </w:style>
  <w:style w:type="table" w:customStyle="1" w:styleId="328">
    <w:name w:val="Medium Shading 2 - Accent 11"/>
    <w:basedOn w:val="86"/>
    <w:qFormat/>
    <w:uiPriority w:val="64"/>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480" w:lineRule="auto"/>
      </w:pPr>
      <w:rPr>
        <w:b/>
        <w:bCs/>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shd w:val="clear" w:color="auto" w:fill="4472C4" w:themeFill="accent1"/>
      </w:tcPr>
    </w:tblStylePr>
    <w:tblStylePr w:type="lastRow">
      <w:pPr>
        <w:spacing w:before="0" w:after="0" w:line="480" w:lineRule="auto"/>
      </w:pPr>
      <w:rPr>
        <w:color w:val="auto"/>
      </w:r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cPr>
        <w:tcBorders>
          <w:top w:val="nil"/>
          <w:left w:val="nil"/>
          <w:bottom w:val="single" w:color="auto" w:sz="18" w:space="0"/>
          <w:right w:val="nil"/>
          <w:insideH w:val="nil"/>
          <w:insideV w:val="nil"/>
        </w:tcBorders>
        <w:shd w:val="clear" w:color="auto" w:fill="4472C4" w:themeFill="accent1"/>
      </w:tcPr>
    </w:tblStylePr>
    <w:tblStylePr w:type="lastCol">
      <w:rPr>
        <w:b/>
        <w:bCs/>
        <w:color w:val="FFFFFF" w:themeColor="background1"/>
        <w14:textFill>
          <w14:solidFill>
            <w14:schemeClr w14:val="bg1"/>
          </w14:solidFill>
        </w14:textFill>
      </w:rPr>
      <w:tcPr>
        <w:tcBorders>
          <w:left w:val="nil"/>
          <w:right w:val="nil"/>
          <w:insideH w:val="nil"/>
          <w:insideV w:val="nil"/>
        </w:tcBorders>
        <w:shd w:val="clear" w:color="auto" w:fill="4472C4" w:themeFill="accent1"/>
      </w:tcPr>
    </w:tblStylePr>
    <w:tblStylePr w:type="band1Vert">
      <w:tcPr>
        <w:tcBorders>
          <w:left w:val="nil"/>
          <w:right w:val="nil"/>
          <w:insideH w:val="nil"/>
          <w:insideV w:val="nil"/>
        </w:tcBorders>
        <w:shd w:val="clear" w:color="auto" w:fill="D7D7D7" w:themeFill="background1" w:themeFillShade="D8"/>
      </w:tcPr>
    </w:tblStylePr>
    <w:tblStylePr w:type="band1Horz">
      <w:tcPr>
        <w:shd w:val="clear" w:color="auto" w:fill="D7D7D7" w:themeFill="background1" w:themeFillShade="D8"/>
      </w:tcPr>
    </w:tblStylePr>
    <w:tblStylePr w:type="neCell">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tcPr>
    </w:tblStylePr>
  </w:style>
  <w:style w:type="table" w:customStyle="1" w:styleId="329">
    <w:name w:val="Medium Shading 21"/>
    <w:basedOn w:val="86"/>
    <w:qFormat/>
    <w:uiPriority w:val="64"/>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480" w:lineRule="auto"/>
      </w:pPr>
      <w:rPr>
        <w:b/>
        <w:bCs/>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480" w:lineRule="auto"/>
      </w:pPr>
      <w:rPr>
        <w:color w:val="auto"/>
      </w:r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cPr>
        <w:tcBorders>
          <w:left w:val="nil"/>
          <w:right w:val="nil"/>
          <w:insideH w:val="nil"/>
          <w:insideV w:val="nil"/>
        </w:tcBorders>
        <w:shd w:val="clear" w:color="auto" w:fill="000000" w:themeFill="text1"/>
      </w:tcPr>
    </w:tblStylePr>
    <w:tblStylePr w:type="band1Vert">
      <w:tcPr>
        <w:tcBorders>
          <w:left w:val="nil"/>
          <w:right w:val="nil"/>
          <w:insideH w:val="nil"/>
          <w:insideV w:val="nil"/>
        </w:tcBorders>
        <w:shd w:val="clear" w:color="auto" w:fill="D7D7D7" w:themeFill="background1" w:themeFillShade="D8"/>
      </w:tcPr>
    </w:tblStylePr>
    <w:tblStylePr w:type="band1Horz">
      <w:tcPr>
        <w:shd w:val="clear" w:color="auto" w:fill="D7D7D7" w:themeFill="background1" w:themeFillShade="D8"/>
      </w:tcPr>
    </w:tblStylePr>
    <w:tblStylePr w:type="neCell">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tcPr>
    </w:tblStylePr>
  </w:style>
  <w:style w:type="table" w:customStyle="1" w:styleId="330">
    <w:name w:val="Medium Shading 1 - Accent 11"/>
    <w:basedOn w:val="86"/>
    <w:qFormat/>
    <w:uiPriority w:val="63"/>
    <w:tblPr>
      <w:tblBorders>
        <w:top w:val="single" w:color="7295D2" w:themeColor="accent1" w:themeTint="BF" w:sz="8" w:space="0"/>
        <w:left w:val="single" w:color="7295D2" w:themeColor="accent1" w:themeTint="BF" w:sz="8" w:space="0"/>
        <w:bottom w:val="single" w:color="7295D2" w:themeColor="accent1" w:themeTint="BF" w:sz="8" w:space="0"/>
        <w:right w:val="single" w:color="7295D2" w:themeColor="accent1" w:themeTint="BF" w:sz="8" w:space="0"/>
        <w:insideH w:val="single" w:color="7295D2" w:themeColor="accent1" w:themeTint="BF" w:sz="8" w:space="0"/>
      </w:tblBorders>
      <w:tblCellMar>
        <w:top w:w="0" w:type="dxa"/>
        <w:left w:w="108" w:type="dxa"/>
        <w:bottom w:w="0" w:type="dxa"/>
        <w:right w:w="108" w:type="dxa"/>
      </w:tblCellMar>
    </w:tblPr>
    <w:tblStylePr w:type="firstRow">
      <w:pPr>
        <w:spacing w:before="0" w:after="0" w:line="480" w:lineRule="auto"/>
      </w:pPr>
      <w:rPr>
        <w:b/>
        <w:bCs/>
        <w:color w:val="FFFFFF" w:themeColor="background1"/>
        <w14:textFill>
          <w14:solidFill>
            <w14:schemeClr w14:val="bg1"/>
          </w14:solidFill>
        </w14:textFill>
      </w:rPr>
      <w:tcPr>
        <w:tcBorders>
          <w:top w:val="single" w:color="7295D2" w:themeColor="accent1" w:themeTint="BF" w:sz="8" w:space="0"/>
          <w:left w:val="single" w:color="7295D2" w:themeColor="accent1" w:themeTint="BF" w:sz="8" w:space="0"/>
          <w:bottom w:val="single" w:color="7295D2" w:themeColor="accent1" w:themeTint="BF" w:sz="8" w:space="0"/>
          <w:right w:val="single" w:color="7295D2" w:themeColor="accent1" w:themeTint="BF" w:sz="8" w:space="0"/>
          <w:insideH w:val="nil"/>
          <w:insideV w:val="nil"/>
        </w:tcBorders>
        <w:shd w:val="clear" w:color="auto" w:fill="4472C4" w:themeFill="accent1"/>
      </w:tcPr>
    </w:tblStylePr>
    <w:tblStylePr w:type="lastRow">
      <w:pPr>
        <w:spacing w:before="0" w:after="0" w:line="480" w:lineRule="auto"/>
      </w:pPr>
      <w:rPr>
        <w:b/>
        <w:bCs/>
      </w:rPr>
      <w:tcPr>
        <w:tcBorders>
          <w:top w:val="double" w:color="7295D2" w:themeColor="accent1" w:themeTint="BF" w:sz="6" w:space="0"/>
          <w:left w:val="single" w:color="7295D2" w:themeColor="accent1" w:themeTint="BF" w:sz="8" w:space="0"/>
          <w:bottom w:val="single" w:color="7295D2" w:themeColor="accent1" w:themeTint="BF" w:sz="8" w:space="0"/>
          <w:right w:val="single" w:color="7295D2" w:themeColor="accent1" w:themeTint="BF" w:sz="8" w:space="0"/>
          <w:insideH w:val="nil"/>
          <w:insideV w:val="nil"/>
        </w:tcBorders>
      </w:tcPr>
    </w:tblStylePr>
    <w:tblStylePr w:type="firstCol">
      <w:rPr>
        <w:b/>
        <w:bCs/>
      </w:rPr>
    </w:tblStylePr>
    <w:tblStylePr w:type="lastCol">
      <w:rPr>
        <w:b/>
        <w:bCs/>
      </w:rPr>
    </w:tblStylePr>
    <w:tblStylePr w:type="band1Vert">
      <w:tcPr>
        <w:shd w:val="clear" w:color="auto" w:fill="D0DCF0" w:themeFill="accent1" w:themeFillTint="3F"/>
      </w:tcPr>
    </w:tblStylePr>
    <w:tblStylePr w:type="band1Horz">
      <w:tcPr>
        <w:tcBorders>
          <w:insideH w:val="nil"/>
          <w:insideV w:val="nil"/>
        </w:tcBorders>
        <w:shd w:val="clear" w:color="auto" w:fill="D0DCF0" w:themeFill="accent1" w:themeFillTint="3F"/>
      </w:tcPr>
    </w:tblStylePr>
    <w:tblStylePr w:type="band2Horz">
      <w:tcPr>
        <w:tcBorders>
          <w:insideH w:val="nil"/>
          <w:insideV w:val="nil"/>
        </w:tcBorders>
      </w:tcPr>
    </w:tblStylePr>
  </w:style>
  <w:style w:type="table" w:customStyle="1" w:styleId="331">
    <w:name w:val="Medium Shading 11"/>
    <w:basedOn w:val="86"/>
    <w:qFormat/>
    <w:uiPriority w:val="63"/>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480" w:lineRule="auto"/>
      </w:pPr>
      <w:rPr>
        <w:b/>
        <w:bCs/>
        <w:color w:val="FFFFFF" w:themeColor="background1"/>
        <w14:textFill>
          <w14:solidFill>
            <w14:schemeClr w14:val="bg1"/>
          </w14:solidFill>
        </w14:textFill>
      </w:r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480" w:lineRule="auto"/>
      </w:pPr>
      <w:rPr>
        <w:b/>
        <w:bCs/>
      </w:r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cPr>
        <w:shd w:val="clear" w:color="auto" w:fill="BFBFBF" w:themeFill="text1" w:themeFillTint="3F"/>
      </w:tcPr>
    </w:tblStylePr>
    <w:tblStylePr w:type="band1Horz">
      <w:tcPr>
        <w:tcBorders>
          <w:insideH w:val="nil"/>
          <w:insideV w:val="nil"/>
        </w:tcBorders>
        <w:shd w:val="clear" w:color="auto" w:fill="BFBFBF" w:themeFill="text1" w:themeFillTint="3F"/>
      </w:tcPr>
    </w:tblStylePr>
    <w:tblStylePr w:type="band2Horz">
      <w:tcPr>
        <w:tcBorders>
          <w:insideH w:val="nil"/>
          <w:insideV w:val="nil"/>
        </w:tcBorders>
      </w:tcPr>
    </w:tblStylePr>
  </w:style>
  <w:style w:type="table" w:customStyle="1" w:styleId="332">
    <w:name w:val="Medium List 21"/>
    <w:basedOn w:val="86"/>
    <w:qFormat/>
    <w:uiPriority w:val="66"/>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cPr>
        <w:tcBorders>
          <w:top w:val="nil"/>
          <w:left w:val="nil"/>
          <w:bottom w:val="single" w:color="000000" w:themeColor="text1" w:sz="24" w:space="0"/>
          <w:right w:val="nil"/>
          <w:insideH w:val="nil"/>
          <w:insideV w:val="nil"/>
        </w:tcBorders>
        <w:shd w:val="clear" w:color="auto" w:fill="FFFFFF" w:themeFill="background1"/>
      </w:tcPr>
    </w:tblStylePr>
    <w:tblStylePr w:type="lastRow">
      <w:tcPr>
        <w:tcBorders>
          <w:top w:val="single" w:color="000000" w:themeColor="text1" w:sz="8" w:space="0"/>
          <w:left w:val="nil"/>
          <w:bottom w:val="nil"/>
          <w:right w:val="nil"/>
          <w:insideH w:val="nil"/>
          <w:insideV w:val="nil"/>
        </w:tcBorders>
        <w:shd w:val="clear" w:color="auto" w:fill="FFFFFF" w:themeFill="background1"/>
      </w:tcPr>
    </w:tblStylePr>
    <w:tblStylePr w:type="firstCol">
      <w:tcPr>
        <w:tcBorders>
          <w:top w:val="nil"/>
          <w:left w:val="nil"/>
          <w:bottom w:val="nil"/>
          <w:right w:val="single" w:color="000000" w:themeColor="text1" w:sz="8" w:space="0"/>
          <w:insideH w:val="nil"/>
          <w:insideV w:val="nil"/>
        </w:tcBorders>
        <w:shd w:val="clear" w:color="auto" w:fill="FFFFFF" w:themeFill="background1"/>
      </w:tcPr>
    </w:tblStylePr>
    <w:tblStylePr w:type="lastCol">
      <w:tcPr>
        <w:tcBorders>
          <w:top w:val="nil"/>
          <w:left w:val="single" w:color="000000" w:themeColor="text1" w:sz="8" w:space="0"/>
          <w:bottom w:val="nil"/>
          <w:right w:val="nil"/>
          <w:insideH w:val="nil"/>
          <w:insideV w:val="nil"/>
        </w:tcBorders>
        <w:shd w:val="clear" w:color="auto" w:fill="FFFFFF" w:themeFill="background1"/>
      </w:tcPr>
    </w:tblStylePr>
    <w:tblStylePr w:type="band1Vert">
      <w:tcPr>
        <w:tcBorders>
          <w:left w:val="nil"/>
          <w:right w:val="nil"/>
          <w:insideH w:val="nil"/>
          <w:insideV w:val="nil"/>
        </w:tcBorders>
        <w:shd w:val="clear" w:color="auto" w:fill="BFBFBF" w:themeFill="text1" w:themeFillTint="3F"/>
      </w:tcPr>
    </w:tblStylePr>
    <w:tblStylePr w:type="band1Horz">
      <w:tcPr>
        <w:tcBorders>
          <w:top w:val="nil"/>
          <w:bottom w:val="nil"/>
          <w:insideH w:val="nil"/>
          <w:insideV w:val="nil"/>
        </w:tcBorders>
        <w:shd w:val="clear" w:color="auto" w:fill="BFBFBF" w:themeFill="text1" w:themeFillTint="3F"/>
      </w:tcPr>
    </w:tblStylePr>
    <w:tblStylePr w:type="nwCell">
      <w:tcPr>
        <w:shd w:val="clear" w:color="auto" w:fill="FFFFFF" w:themeFill="background1"/>
      </w:tcPr>
    </w:tblStylePr>
    <w:tblStylePr w:type="swCell">
      <w:tcPr>
        <w:tcBorders>
          <w:top w:val="nil"/>
        </w:tcBorders>
      </w:tcPr>
    </w:tblStylePr>
  </w:style>
  <w:style w:type="table" w:customStyle="1" w:styleId="333">
    <w:name w:val="Medium List 1 - Accent 11"/>
    <w:basedOn w:val="86"/>
    <w:qFormat/>
    <w:uiPriority w:val="65"/>
    <w:rPr>
      <w:color w:val="000000" w:themeColor="text1"/>
      <w14:textFill>
        <w14:solidFill>
          <w14:schemeClr w14:val="tx1"/>
        </w14:solidFill>
      </w14:textFill>
    </w:rPr>
    <w:tblPr>
      <w:tblBorders>
        <w:top w:val="single" w:color="4472C4" w:themeColor="accent1" w:sz="8" w:space="0"/>
        <w:bottom w:val="single" w:color="4472C4"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cPr>
        <w:tcBorders>
          <w:top w:val="nil"/>
          <w:bottom w:val="single" w:color="4472C4" w:themeColor="accent1" w:sz="8" w:space="0"/>
        </w:tcBorders>
      </w:tcPr>
    </w:tblStylePr>
    <w:tblStylePr w:type="lastRow">
      <w:rPr>
        <w:b/>
        <w:bCs/>
        <w:color w:val="44546A" w:themeColor="text2"/>
        <w14:textFill>
          <w14:solidFill>
            <w14:schemeClr w14:val="tx2"/>
          </w14:solidFill>
        </w14:textFill>
      </w:rPr>
      <w:tcPr>
        <w:tcBorders>
          <w:top w:val="single" w:color="4472C4" w:themeColor="accent1" w:sz="8" w:space="0"/>
          <w:bottom w:val="single" w:color="4472C4" w:themeColor="accent1" w:sz="8" w:space="0"/>
        </w:tcBorders>
      </w:tcPr>
    </w:tblStylePr>
    <w:tblStylePr w:type="firstCol">
      <w:rPr>
        <w:b/>
        <w:bCs/>
      </w:rPr>
    </w:tblStylePr>
    <w:tblStylePr w:type="lastCol">
      <w:rPr>
        <w:b/>
        <w:bCs/>
      </w:rPr>
      <w:tcPr>
        <w:tcBorders>
          <w:top w:val="single" w:color="4472C4" w:themeColor="accent1" w:sz="8" w:space="0"/>
          <w:bottom w:val="single" w:color="4472C4" w:themeColor="accent1" w:sz="8" w:space="0"/>
        </w:tcBorders>
      </w:tcPr>
    </w:tblStylePr>
    <w:tblStylePr w:type="band1Vert">
      <w:tcPr>
        <w:shd w:val="clear" w:color="auto" w:fill="D0DCF0" w:themeFill="accent1" w:themeFillTint="3F"/>
      </w:tcPr>
    </w:tblStylePr>
    <w:tblStylePr w:type="band1Horz">
      <w:tcPr>
        <w:shd w:val="clear" w:color="auto" w:fill="D0DCF0" w:themeFill="accent1" w:themeFillTint="3F"/>
      </w:tcPr>
    </w:tblStylePr>
  </w:style>
  <w:style w:type="table" w:customStyle="1" w:styleId="334">
    <w:name w:val="Medium List 11"/>
    <w:basedOn w:val="86"/>
    <w:qFormat/>
    <w:uiPriority w:val="65"/>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cPr>
        <w:tcBorders>
          <w:top w:val="nil"/>
          <w:bottom w:val="single" w:color="000000" w:themeColor="text1" w:sz="8" w:space="0"/>
        </w:tcBorders>
      </w:tcPr>
    </w:tblStylePr>
    <w:tblStylePr w:type="lastRow">
      <w:rPr>
        <w:b/>
        <w:bCs/>
        <w:color w:val="44546A" w:themeColor="text2"/>
        <w14:textFill>
          <w14:solidFill>
            <w14:schemeClr w14:val="tx2"/>
          </w14:solidFill>
        </w14:textFill>
      </w:rPr>
      <w:tcPr>
        <w:tcBorders>
          <w:top w:val="single" w:color="000000" w:themeColor="text1" w:sz="8" w:space="0"/>
          <w:bottom w:val="single" w:color="000000" w:themeColor="text1" w:sz="8" w:space="0"/>
        </w:tcBorders>
      </w:tcPr>
    </w:tblStylePr>
    <w:tblStylePr w:type="firstCol">
      <w:rPr>
        <w:b/>
        <w:bCs/>
      </w:rPr>
    </w:tblStylePr>
    <w:tblStylePr w:type="lastCol">
      <w:rPr>
        <w:b/>
        <w:bCs/>
      </w:rPr>
      <w:tcPr>
        <w:tcBorders>
          <w:top w:val="single" w:color="000000" w:themeColor="text1" w:sz="8" w:space="0"/>
          <w:bottom w:val="single" w:color="000000" w:themeColor="text1" w:sz="8" w:space="0"/>
        </w:tcBorders>
      </w:tcPr>
    </w:tblStylePr>
    <w:tblStylePr w:type="band1Vert">
      <w:tcPr>
        <w:shd w:val="clear" w:color="auto" w:fill="BFBFBF" w:themeFill="text1" w:themeFillTint="3F"/>
      </w:tcPr>
    </w:tblStylePr>
    <w:tblStylePr w:type="band1Horz">
      <w:tcPr>
        <w:shd w:val="clear" w:color="auto" w:fill="BFBFBF" w:themeFill="text1" w:themeFillTint="3F"/>
      </w:tcPr>
    </w:tblStylePr>
  </w:style>
  <w:style w:type="table" w:customStyle="1" w:styleId="335">
    <w:name w:val="Medium Grid 31"/>
    <w:basedOn w:val="86"/>
    <w:qFormat/>
    <w:uiPriority w:val="69"/>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cPr>
        <w:tcBorders>
          <w:top w:val="nil"/>
          <w:left w:val="single" w:color="FFFFFF" w:themeColor="background1" w:sz="24" w:space="0"/>
          <w:bottom w:val="nil"/>
          <w:right w:val="nil"/>
          <w:insideH w:val="nil"/>
          <w:insideV w:val="nil"/>
        </w:tcBorders>
        <w:shd w:val="clear" w:color="auto" w:fill="000000" w:themeFill="text1"/>
      </w:tcPr>
    </w:tblStylePr>
    <w:tblStylePr w:type="band1Vert">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customStyle="1" w:styleId="336">
    <w:name w:val="Medium Grid 21"/>
    <w:basedOn w:val="86"/>
    <w:qFormat/>
    <w:uiPriority w:val="68"/>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cPr>
        <w:shd w:val="clear" w:color="auto" w:fill="E5E5E5" w:themeFill="text1" w:themeFillTint="19"/>
      </w:tcPr>
    </w:tblStylePr>
    <w:tblStylePr w:type="lastRow">
      <w:rPr>
        <w:b/>
        <w:bCs/>
        <w:color w:val="000000" w:themeColor="text1"/>
        <w14:textFill>
          <w14:solidFill>
            <w14:schemeClr w14:val="tx1"/>
          </w14:solidFill>
        </w14:textFill>
      </w:r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cPr>
        <w:tcBorders>
          <w:top w:val="nil"/>
          <w:left w:val="nil"/>
          <w:bottom w:val="nil"/>
          <w:right w:val="nil"/>
          <w:insideH w:val="nil"/>
          <w:insideV w:val="nil"/>
        </w:tcBorders>
        <w:shd w:val="clear" w:color="auto" w:fill="CCCCCC" w:themeFill="text1" w:themeFillTint="33"/>
      </w:tcPr>
    </w:tblStylePr>
    <w:tblStylePr w:type="band1Vert">
      <w:tcPr>
        <w:shd w:val="clear" w:color="auto" w:fill="7F7F7F" w:themeFill="text1" w:themeFillTint="7F"/>
      </w:tcPr>
    </w:tblStylePr>
    <w:tblStylePr w:type="band1Horz">
      <w:tcPr>
        <w:tcBorders>
          <w:insideH w:val="single" w:sz="6" w:space="0"/>
          <w:insideV w:val="single" w:sz="6" w:space="0"/>
        </w:tcBorders>
        <w:shd w:val="clear" w:color="auto" w:fill="7F7F7F" w:themeFill="text1" w:themeFillTint="7F"/>
      </w:tcPr>
    </w:tblStylePr>
    <w:tblStylePr w:type="nwCell">
      <w:tcPr>
        <w:shd w:val="clear" w:color="auto" w:fill="FFFFFF" w:themeFill="background1"/>
      </w:tcPr>
    </w:tblStylePr>
  </w:style>
  <w:style w:type="table" w:customStyle="1" w:styleId="337">
    <w:name w:val="Medium Grid 11"/>
    <w:basedOn w:val="86"/>
    <w:qFormat/>
    <w:uiPriority w:val="67"/>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cPr>
        <w:tcBorders>
          <w:top w:val="single" w:color="3F3F3F" w:themeColor="text1" w:themeTint="BF" w:sz="18" w:space="0"/>
        </w:tcBorders>
      </w:tcPr>
    </w:tblStylePr>
    <w:tblStylePr w:type="firstCol">
      <w:rPr>
        <w:b/>
        <w:bCs/>
      </w:rPr>
    </w:tblStylePr>
    <w:tblStylePr w:type="lastCol">
      <w:rPr>
        <w:b/>
        <w:bCs/>
      </w:rPr>
    </w:tblStylePr>
    <w:tblStylePr w:type="band1Vert">
      <w:tcPr>
        <w:shd w:val="clear" w:color="auto" w:fill="7F7F7F" w:themeFill="text1" w:themeFillTint="7F"/>
      </w:tcPr>
    </w:tblStylePr>
    <w:tblStylePr w:type="band1Horz">
      <w:tcPr>
        <w:shd w:val="clear" w:color="auto" w:fill="7F7F7F" w:themeFill="text1" w:themeFillTint="7F"/>
      </w:tcPr>
    </w:tblStylePr>
  </w:style>
  <w:style w:type="table" w:customStyle="1" w:styleId="338">
    <w:name w:val="Light Shading - Accent 11"/>
    <w:basedOn w:val="86"/>
    <w:qFormat/>
    <w:uiPriority w:val="60"/>
    <w:rPr>
      <w:color w:val="2F5597" w:themeColor="accent1" w:themeShade="BF"/>
    </w:rPr>
    <w:tblPr>
      <w:tblBorders>
        <w:top w:val="single" w:color="4472C4" w:themeColor="accent1" w:sz="8" w:space="0"/>
        <w:bottom w:val="single" w:color="4472C4" w:themeColor="accent1" w:sz="8" w:space="0"/>
      </w:tblBorders>
      <w:tblCellMar>
        <w:top w:w="0" w:type="dxa"/>
        <w:left w:w="108" w:type="dxa"/>
        <w:bottom w:w="0" w:type="dxa"/>
        <w:right w:w="108" w:type="dxa"/>
      </w:tblCellMar>
    </w:tblPr>
    <w:tblStylePr w:type="firstRow">
      <w:pPr>
        <w:spacing w:before="0" w:after="0" w:line="480" w:lineRule="auto"/>
      </w:pPr>
      <w:rPr>
        <w:b/>
        <w:bCs/>
      </w:rPr>
      <w:tcPr>
        <w:tcBorders>
          <w:top w:val="single" w:color="4472C4" w:themeColor="accent1" w:sz="8" w:space="0"/>
          <w:left w:val="nil"/>
          <w:bottom w:val="single" w:color="4472C4" w:themeColor="accent1" w:sz="8" w:space="0"/>
          <w:right w:val="nil"/>
          <w:insideH w:val="nil"/>
          <w:insideV w:val="nil"/>
        </w:tcBorders>
      </w:tcPr>
    </w:tblStylePr>
    <w:tblStylePr w:type="lastRow">
      <w:pPr>
        <w:spacing w:before="0" w:after="0" w:line="480" w:lineRule="auto"/>
      </w:pPr>
      <w:rPr>
        <w:b/>
        <w:bCs/>
      </w:rPr>
      <w:tcPr>
        <w:tcBorders>
          <w:top w:val="single" w:color="4472C4" w:themeColor="accent1" w:sz="8" w:space="0"/>
          <w:left w:val="nil"/>
          <w:bottom w:val="single" w:color="4472C4" w:themeColor="accent1"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D0DCF0" w:themeFill="accent1" w:themeFillTint="3F"/>
      </w:tcPr>
    </w:tblStylePr>
    <w:tblStylePr w:type="band1Horz">
      <w:tcPr>
        <w:tcBorders>
          <w:left w:val="nil"/>
          <w:right w:val="nil"/>
          <w:insideH w:val="nil"/>
          <w:insideV w:val="nil"/>
        </w:tcBorders>
        <w:shd w:val="clear" w:color="auto" w:fill="D0DCF0" w:themeFill="accent1" w:themeFillTint="3F"/>
      </w:tcPr>
    </w:tblStylePr>
  </w:style>
  <w:style w:type="table" w:customStyle="1" w:styleId="339">
    <w:name w:val="Light Shading1"/>
    <w:basedOn w:val="86"/>
    <w:qFormat/>
    <w:uiPriority w:val="60"/>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480" w:lineRule="auto"/>
      </w:pPr>
      <w:rPr>
        <w:b/>
        <w:bCs/>
      </w:r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480" w:lineRule="auto"/>
      </w:pPr>
      <w:rPr>
        <w:b/>
        <w:bCs/>
      </w:r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BFBFBF" w:themeFill="text1" w:themeFillTint="3F"/>
      </w:tcPr>
    </w:tblStylePr>
    <w:tblStylePr w:type="band1Horz">
      <w:tcPr>
        <w:tcBorders>
          <w:left w:val="nil"/>
          <w:right w:val="nil"/>
          <w:insideH w:val="nil"/>
          <w:insideV w:val="nil"/>
        </w:tcBorders>
        <w:shd w:val="clear" w:color="auto" w:fill="BFBFBF" w:themeFill="text1" w:themeFillTint="3F"/>
      </w:tcPr>
    </w:tblStylePr>
  </w:style>
  <w:style w:type="table" w:customStyle="1" w:styleId="340">
    <w:name w:val="Light List - Accent 11"/>
    <w:basedOn w:val="86"/>
    <w:qFormat/>
    <w:uiPriority w:val="61"/>
    <w:tblPr>
      <w:tblBorders>
        <w:top w:val="single" w:color="4472C4" w:themeColor="accent1" w:sz="8" w:space="0"/>
        <w:left w:val="single" w:color="4472C4" w:themeColor="accent1" w:sz="8" w:space="0"/>
        <w:bottom w:val="single" w:color="4472C4" w:themeColor="accent1" w:sz="8" w:space="0"/>
        <w:right w:val="single" w:color="4472C4" w:themeColor="accent1" w:sz="8" w:space="0"/>
      </w:tblBorders>
      <w:tblCellMar>
        <w:top w:w="0" w:type="dxa"/>
        <w:left w:w="108" w:type="dxa"/>
        <w:bottom w:w="0" w:type="dxa"/>
        <w:right w:w="108" w:type="dxa"/>
      </w:tblCellMar>
    </w:tblPr>
    <w:tblStylePr w:type="firstRow">
      <w:pPr>
        <w:spacing w:before="0" w:after="0" w:line="480" w:lineRule="auto"/>
      </w:pPr>
      <w:rPr>
        <w:b/>
        <w:bCs/>
        <w:color w:val="FFFFFF" w:themeColor="background1"/>
        <w14:textFill>
          <w14:solidFill>
            <w14:schemeClr w14:val="bg1"/>
          </w14:solidFill>
        </w14:textFill>
      </w:rPr>
      <w:tcPr>
        <w:shd w:val="clear" w:color="auto" w:fill="4472C4" w:themeFill="accent1"/>
      </w:tcPr>
    </w:tblStylePr>
    <w:tblStylePr w:type="lastRow">
      <w:pPr>
        <w:spacing w:before="0" w:after="0" w:line="480" w:lineRule="auto"/>
      </w:pPr>
      <w:rPr>
        <w:b/>
        <w:bCs/>
      </w:rPr>
      <w:tcPr>
        <w:tcBorders>
          <w:top w:val="double" w:color="4472C4" w:themeColor="accent1" w:sz="6" w:space="0"/>
          <w:left w:val="single" w:color="4472C4" w:themeColor="accent1" w:sz="8" w:space="0"/>
          <w:bottom w:val="single" w:color="4472C4" w:themeColor="accent1" w:sz="8" w:space="0"/>
          <w:right w:val="single" w:color="4472C4" w:themeColor="accent1" w:sz="8" w:space="0"/>
        </w:tcBorders>
      </w:tcPr>
    </w:tblStylePr>
    <w:tblStylePr w:type="firstCol">
      <w:rPr>
        <w:b/>
        <w:bCs/>
      </w:rPr>
    </w:tblStylePr>
    <w:tblStylePr w:type="lastCol">
      <w:rPr>
        <w:b/>
        <w:bCs/>
      </w:rPr>
    </w:tblStylePr>
    <w:tblStylePr w:type="band1Vert">
      <w:tcPr>
        <w:tcBorders>
          <w:top w:val="single" w:color="4472C4" w:themeColor="accent1" w:sz="8" w:space="0"/>
          <w:left w:val="single" w:color="4472C4" w:themeColor="accent1" w:sz="8" w:space="0"/>
          <w:bottom w:val="single" w:color="4472C4" w:themeColor="accent1" w:sz="8" w:space="0"/>
          <w:right w:val="single" w:color="4472C4" w:themeColor="accent1" w:sz="8" w:space="0"/>
        </w:tcBorders>
      </w:tcPr>
    </w:tblStylePr>
    <w:tblStylePr w:type="band1Horz">
      <w:tcPr>
        <w:tcBorders>
          <w:top w:val="single" w:color="4472C4" w:themeColor="accent1" w:sz="8" w:space="0"/>
          <w:left w:val="single" w:color="4472C4" w:themeColor="accent1" w:sz="8" w:space="0"/>
          <w:bottom w:val="single" w:color="4472C4" w:themeColor="accent1" w:sz="8" w:space="0"/>
          <w:right w:val="single" w:color="4472C4" w:themeColor="accent1" w:sz="8" w:space="0"/>
        </w:tcBorders>
      </w:tcPr>
    </w:tblStylePr>
  </w:style>
  <w:style w:type="table" w:customStyle="1" w:styleId="341">
    <w:name w:val="Light List1"/>
    <w:basedOn w:val="86"/>
    <w:qFormat/>
    <w:uiPriority w:val="61"/>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480" w:lineRule="auto"/>
      </w:pPr>
      <w:rPr>
        <w:b/>
        <w:bCs/>
        <w:color w:val="FFFFFF" w:themeColor="background1"/>
        <w14:textFill>
          <w14:solidFill>
            <w14:schemeClr w14:val="bg1"/>
          </w14:solidFill>
        </w14:textFill>
      </w:rPr>
      <w:tcPr>
        <w:shd w:val="clear" w:color="auto" w:fill="000000" w:themeFill="text1"/>
      </w:tcPr>
    </w:tblStylePr>
    <w:tblStylePr w:type="lastRow">
      <w:pPr>
        <w:spacing w:before="0" w:after="0" w:line="480" w:lineRule="auto"/>
      </w:pPr>
      <w:rPr>
        <w:b/>
        <w:bCs/>
      </w:r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customStyle="1" w:styleId="342">
    <w:name w:val="Light Grid - Accent 11"/>
    <w:basedOn w:val="86"/>
    <w:qFormat/>
    <w:uiPriority w:val="62"/>
    <w:tblPr>
      <w:tblBorders>
        <w:top w:val="single" w:color="4472C4" w:themeColor="accent1" w:sz="8" w:space="0"/>
        <w:left w:val="single" w:color="4472C4" w:themeColor="accent1" w:sz="8" w:space="0"/>
        <w:bottom w:val="single" w:color="4472C4" w:themeColor="accent1" w:sz="8" w:space="0"/>
        <w:right w:val="single" w:color="4472C4" w:themeColor="accent1" w:sz="8" w:space="0"/>
        <w:insideH w:val="single" w:color="4472C4" w:themeColor="accent1" w:sz="8" w:space="0"/>
        <w:insideV w:val="single" w:color="4472C4" w:themeColor="accent1" w:sz="8" w:space="0"/>
      </w:tblBorders>
      <w:tblCellMar>
        <w:top w:w="0" w:type="dxa"/>
        <w:left w:w="108" w:type="dxa"/>
        <w:bottom w:w="0" w:type="dxa"/>
        <w:right w:w="108" w:type="dxa"/>
      </w:tblCellMar>
    </w:tblPr>
    <w:tblStylePr w:type="firstRow">
      <w:pPr>
        <w:spacing w:before="0" w:after="0" w:line="480" w:lineRule="auto"/>
      </w:pPr>
      <w:rPr>
        <w:rFonts w:asciiTheme="majorHAnsi" w:hAnsiTheme="majorHAnsi" w:eastAsiaTheme="majorEastAsia" w:cstheme="majorBidi"/>
        <w:b/>
        <w:bCs/>
      </w:rPr>
      <w:tcPr>
        <w:tcBorders>
          <w:top w:val="single" w:color="4472C4" w:themeColor="accent1" w:sz="8" w:space="0"/>
          <w:left w:val="single" w:color="4472C4" w:themeColor="accent1" w:sz="8" w:space="0"/>
          <w:bottom w:val="single" w:color="4472C4" w:themeColor="accent1" w:sz="18" w:space="0"/>
          <w:right w:val="single" w:color="4472C4" w:themeColor="accent1" w:sz="8" w:space="0"/>
          <w:insideH w:val="nil"/>
          <w:insideV w:val="single" w:sz="8" w:space="0"/>
        </w:tcBorders>
      </w:tcPr>
    </w:tblStylePr>
    <w:tblStylePr w:type="lastRow">
      <w:pPr>
        <w:spacing w:before="0" w:after="0" w:line="480" w:lineRule="auto"/>
      </w:pPr>
      <w:rPr>
        <w:rFonts w:asciiTheme="majorHAnsi" w:hAnsiTheme="majorHAnsi" w:eastAsiaTheme="majorEastAsia" w:cstheme="majorBidi"/>
        <w:b/>
        <w:bCs/>
      </w:rPr>
      <w:tcPr>
        <w:tcBorders>
          <w:top w:val="double" w:color="4472C4" w:themeColor="accent1" w:sz="6" w:space="0"/>
          <w:left w:val="single" w:color="4472C4" w:themeColor="accent1" w:sz="8" w:space="0"/>
          <w:bottom w:val="single" w:color="4472C4" w:themeColor="accent1" w:sz="8" w:space="0"/>
          <w:right w:val="single" w:color="4472C4"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cPr>
        <w:tcBorders>
          <w:top w:val="single" w:color="4472C4" w:themeColor="accent1" w:sz="8" w:space="0"/>
          <w:left w:val="single" w:color="4472C4" w:themeColor="accent1" w:sz="8" w:space="0"/>
          <w:bottom w:val="single" w:color="4472C4" w:themeColor="accent1" w:sz="8" w:space="0"/>
          <w:right w:val="single" w:color="4472C4" w:themeColor="accent1" w:sz="8" w:space="0"/>
        </w:tcBorders>
      </w:tcPr>
    </w:tblStylePr>
    <w:tblStylePr w:type="band1Vert">
      <w:tcPr>
        <w:tcBorders>
          <w:top w:val="single" w:color="4472C4" w:themeColor="accent1" w:sz="8" w:space="0"/>
          <w:left w:val="single" w:color="4472C4" w:themeColor="accent1" w:sz="8" w:space="0"/>
          <w:bottom w:val="single" w:color="4472C4" w:themeColor="accent1" w:sz="8" w:space="0"/>
          <w:right w:val="single" w:color="4472C4" w:themeColor="accent1" w:sz="8" w:space="0"/>
        </w:tcBorders>
        <w:shd w:val="clear" w:color="auto" w:fill="D0DCF0" w:themeFill="accent1" w:themeFillTint="3F"/>
      </w:tcPr>
    </w:tblStylePr>
    <w:tblStylePr w:type="band1Horz">
      <w:tcPr>
        <w:tcBorders>
          <w:top w:val="single" w:color="4472C4" w:themeColor="accent1" w:sz="8" w:space="0"/>
          <w:left w:val="single" w:color="4472C4" w:themeColor="accent1" w:sz="8" w:space="0"/>
          <w:bottom w:val="single" w:color="4472C4" w:themeColor="accent1" w:sz="8" w:space="0"/>
          <w:right w:val="single" w:color="4472C4" w:themeColor="accent1" w:sz="8" w:space="0"/>
          <w:insideV w:val="single" w:sz="8" w:space="0"/>
        </w:tcBorders>
        <w:shd w:val="clear" w:color="auto" w:fill="D0DCF0" w:themeFill="accent1" w:themeFillTint="3F"/>
      </w:tcPr>
    </w:tblStylePr>
    <w:tblStylePr w:type="band2Horz">
      <w:tcPr>
        <w:tcBorders>
          <w:top w:val="single" w:color="4472C4" w:themeColor="accent1" w:sz="8" w:space="0"/>
          <w:left w:val="single" w:color="4472C4" w:themeColor="accent1" w:sz="8" w:space="0"/>
          <w:bottom w:val="single" w:color="4472C4" w:themeColor="accent1" w:sz="8" w:space="0"/>
          <w:right w:val="single" w:color="4472C4" w:themeColor="accent1" w:sz="8" w:space="0"/>
          <w:insideV w:val="single" w:sz="8" w:space="0"/>
        </w:tcBorders>
      </w:tcPr>
    </w:tblStylePr>
  </w:style>
  <w:style w:type="table" w:customStyle="1" w:styleId="343">
    <w:name w:val="Light Grid1"/>
    <w:basedOn w:val="86"/>
    <w:qFormat/>
    <w:uiPriority w:val="62"/>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480" w:lineRule="auto"/>
      </w:pPr>
      <w:rPr>
        <w:rFonts w:asciiTheme="majorHAnsi" w:hAnsiTheme="majorHAnsi" w:eastAsiaTheme="majorEastAsia" w:cstheme="majorBidi"/>
        <w:b/>
        <w:bCs/>
      </w:r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480" w:lineRule="auto"/>
      </w:pPr>
      <w:rPr>
        <w:rFonts w:asciiTheme="majorHAnsi" w:hAnsiTheme="majorHAnsi" w:eastAsiaTheme="majorEastAsia" w:cstheme="majorBidi"/>
        <w:b/>
        <w:bCs/>
      </w:r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character" w:customStyle="1" w:styleId="344">
    <w:name w:val="HTML 预设格式 Char"/>
    <w:basedOn w:val="209"/>
    <w:link w:val="78"/>
    <w:semiHidden/>
    <w:qFormat/>
    <w:uiPriority w:val="0"/>
    <w:rPr>
      <w:rFonts w:ascii="Consolas" w:hAnsi="Consolas" w:cs="Latha"/>
      <w:lang w:bidi="ta-IN"/>
    </w:rPr>
  </w:style>
  <w:style w:type="character" w:customStyle="1" w:styleId="345">
    <w:name w:val="HTML 地址 Char"/>
    <w:basedOn w:val="209"/>
    <w:link w:val="40"/>
    <w:semiHidden/>
    <w:qFormat/>
    <w:uiPriority w:val="0"/>
    <w:rPr>
      <w:rFonts w:cs="Latha"/>
      <w:i/>
      <w:iCs/>
      <w:sz w:val="22"/>
      <w:szCs w:val="22"/>
      <w:lang w:bidi="ta-IN"/>
    </w:rPr>
  </w:style>
  <w:style w:type="table" w:customStyle="1" w:styleId="346">
    <w:name w:val="Dark List1"/>
    <w:basedOn w:val="86"/>
    <w:qFormat/>
    <w:uiPriority w:val="70"/>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cPr>
        <w:tcBorders>
          <w:top w:val="nil"/>
          <w:left w:val="nil"/>
          <w:bottom w:val="single" w:color="FFFFFF" w:themeColor="background1" w:sz="18" w:space="0"/>
          <w:right w:val="nil"/>
          <w:insideH w:val="nil"/>
          <w:insideV w:val="nil"/>
        </w:tcBorders>
        <w:shd w:val="clear" w:color="auto" w:fill="000000" w:themeFill="text1"/>
      </w:tcPr>
    </w:tblStylePr>
    <w:tblStylePr w:type="lastRow">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cPr>
        <w:tcBorders>
          <w:top w:val="nil"/>
          <w:left w:val="nil"/>
          <w:bottom w:val="nil"/>
          <w:right w:val="nil"/>
          <w:insideH w:val="nil"/>
          <w:insideV w:val="nil"/>
        </w:tcBorders>
        <w:shd w:val="clear" w:color="auto" w:fill="000000" w:themeFill="text1" w:themeFillShade="BF"/>
      </w:tcPr>
    </w:tblStylePr>
    <w:tblStylePr w:type="band1Horz">
      <w:tcPr>
        <w:tcBorders>
          <w:top w:val="nil"/>
          <w:left w:val="nil"/>
          <w:bottom w:val="nil"/>
          <w:right w:val="nil"/>
          <w:insideH w:val="nil"/>
          <w:insideV w:val="nil"/>
        </w:tcBorders>
        <w:shd w:val="clear" w:color="auto" w:fill="000000" w:themeFill="text1" w:themeFillShade="BF"/>
      </w:tcPr>
    </w:tblStylePr>
  </w:style>
  <w:style w:type="table" w:customStyle="1" w:styleId="347">
    <w:name w:val="Colorful Shading1"/>
    <w:basedOn w:val="86"/>
    <w:qFormat/>
    <w:uiPriority w:val="71"/>
    <w:rPr>
      <w:color w:val="000000" w:themeColor="text1"/>
      <w14:textFill>
        <w14:solidFill>
          <w14:schemeClr w14:val="tx1"/>
        </w14:solidFill>
      </w14:textFill>
    </w:rPr>
    <w:tblPr>
      <w:tblBorders>
        <w:top w:val="single" w:color="ED7D31"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cPr>
        <w:tcBorders>
          <w:top w:val="nil"/>
          <w:left w:val="nil"/>
          <w:bottom w:val="single" w:color="ED7D31"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cPr>
        <w:tcBorders>
          <w:top w:val="nil"/>
          <w:left w:val="nil"/>
          <w:bottom w:val="nil"/>
          <w:right w:val="nil"/>
          <w:insideH w:val="nil"/>
          <w:insideV w:val="nil"/>
        </w:tcBorders>
        <w:shd w:val="clear" w:color="auto" w:fill="000000" w:themeFill="text1" w:themeFillShade="BF"/>
      </w:tcPr>
    </w:tblStylePr>
    <w:tblStylePr w:type="band1Vert">
      <w:tcPr>
        <w:shd w:val="clear" w:color="auto" w:fill="999999" w:themeFill="text1" w:themeFillTint="66"/>
      </w:tcPr>
    </w:tblStylePr>
    <w:tblStylePr w:type="band1Horz">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customStyle="1" w:styleId="348">
    <w:name w:val="Colorful List1"/>
    <w:basedOn w:val="86"/>
    <w:qFormat/>
    <w:uiPriority w:val="72"/>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cPr>
        <w:tcBorders>
          <w:bottom w:val="single" w:color="FFFFFF" w:themeColor="background1" w:sz="12" w:space="0"/>
        </w:tcBorders>
        <w:shd w:val="clear" w:color="auto" w:fill="D26012" w:themeFill="accent2" w:themeFillShade="CC"/>
      </w:tcPr>
    </w:tblStylePr>
    <w:tblStylePr w:type="lastRow">
      <w:rPr>
        <w:b/>
        <w:bCs/>
        <w:color w:val="D26012" w:themeColor="accent2" w:themeShade="CC"/>
      </w:r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cPr>
        <w:tcBorders>
          <w:top w:val="nil"/>
          <w:left w:val="nil"/>
          <w:bottom w:val="nil"/>
          <w:right w:val="nil"/>
          <w:insideH w:val="nil"/>
          <w:insideV w:val="nil"/>
        </w:tcBorders>
        <w:shd w:val="clear" w:color="auto" w:fill="BFBFBF" w:themeFill="text1" w:themeFillTint="3F"/>
      </w:tcPr>
    </w:tblStylePr>
    <w:tblStylePr w:type="band1Horz">
      <w:tcPr>
        <w:shd w:val="clear" w:color="auto" w:fill="CCCCCC" w:themeFill="text1" w:themeFillTint="33"/>
      </w:tcPr>
    </w:tblStylePr>
  </w:style>
  <w:style w:type="table" w:customStyle="1" w:styleId="349">
    <w:name w:val="Colorful Grid1"/>
    <w:basedOn w:val="86"/>
    <w:qFormat/>
    <w:uiPriority w:val="73"/>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cPr>
        <w:shd w:val="clear" w:color="auto" w:fill="999999" w:themeFill="text1" w:themeFillTint="66"/>
      </w:tcPr>
    </w:tblStylePr>
    <w:tblStylePr w:type="lastRow">
      <w:rPr>
        <w:b/>
        <w:bCs/>
        <w:color w:val="000000" w:themeColor="text1"/>
        <w14:textFill>
          <w14:solidFill>
            <w14:schemeClr w14:val="tx1"/>
          </w14:solidFill>
        </w14:textFill>
      </w:rPr>
      <w:tcPr>
        <w:shd w:val="clear" w:color="auto" w:fill="999999" w:themeFill="text1" w:themeFillTint="66"/>
      </w:tcPr>
    </w:tblStylePr>
    <w:tblStylePr w:type="firstCol">
      <w:rPr>
        <w:color w:val="FFFFFF" w:themeColor="background1"/>
        <w14:textFill>
          <w14:solidFill>
            <w14:schemeClr w14:val="bg1"/>
          </w14:solidFill>
        </w14:textFill>
      </w:rPr>
      <w:tcPr>
        <w:shd w:val="clear" w:color="auto" w:fill="000000" w:themeFill="text1" w:themeFillShade="BF"/>
      </w:tcPr>
    </w:tblStylePr>
    <w:tblStylePr w:type="lastCol">
      <w:rPr>
        <w:color w:val="FFFFFF" w:themeColor="background1"/>
        <w14:textFill>
          <w14:solidFill>
            <w14:schemeClr w14:val="bg1"/>
          </w14:solidFill>
        </w14:textFill>
      </w:rPr>
      <w:tcPr>
        <w:shd w:val="clear" w:color="auto" w:fill="000000" w:themeFill="text1" w:themeFillShade="BF"/>
      </w:tcPr>
    </w:tblStylePr>
    <w:tblStylePr w:type="band1Vert">
      <w:tcPr>
        <w:shd w:val="clear" w:color="auto" w:fill="7F7F7F" w:themeFill="text1" w:themeFillTint="7F"/>
      </w:tcPr>
    </w:tblStylePr>
    <w:tblStylePr w:type="band1Horz">
      <w:tcPr>
        <w:shd w:val="clear" w:color="auto" w:fill="7F7F7F" w:themeFill="text1" w:themeFillTint="7F"/>
      </w:tcPr>
    </w:tblStylePr>
  </w:style>
  <w:style w:type="character" w:customStyle="1" w:styleId="350">
    <w:name w:val="正文文本缩进 3 Char"/>
    <w:basedOn w:val="209"/>
    <w:link w:val="68"/>
    <w:semiHidden/>
    <w:qFormat/>
    <w:uiPriority w:val="0"/>
    <w:rPr>
      <w:rFonts w:cs="Latha"/>
      <w:sz w:val="16"/>
      <w:szCs w:val="16"/>
      <w:lang w:bidi="ta-IN"/>
    </w:rPr>
  </w:style>
  <w:style w:type="character" w:customStyle="1" w:styleId="351">
    <w:name w:val="正文文本缩进 2 Char"/>
    <w:basedOn w:val="209"/>
    <w:link w:val="50"/>
    <w:semiHidden/>
    <w:qFormat/>
    <w:uiPriority w:val="0"/>
    <w:rPr>
      <w:rFonts w:cs="Latha"/>
      <w:sz w:val="22"/>
      <w:szCs w:val="22"/>
      <w:lang w:bidi="ta-IN"/>
    </w:rPr>
  </w:style>
  <w:style w:type="character" w:customStyle="1" w:styleId="352">
    <w:name w:val="正文文本缩进 Char"/>
    <w:basedOn w:val="209"/>
    <w:link w:val="34"/>
    <w:semiHidden/>
    <w:qFormat/>
    <w:uiPriority w:val="0"/>
    <w:rPr>
      <w:rFonts w:cs="Latha"/>
      <w:sz w:val="22"/>
      <w:szCs w:val="22"/>
      <w:lang w:bidi="ta-IN"/>
    </w:rPr>
  </w:style>
  <w:style w:type="character" w:customStyle="1" w:styleId="353">
    <w:name w:val="正文首行缩进 2 Char"/>
    <w:basedOn w:val="352"/>
    <w:link w:val="85"/>
    <w:semiHidden/>
    <w:qFormat/>
    <w:uiPriority w:val="0"/>
    <w:rPr>
      <w:rFonts w:cs="Latha"/>
      <w:sz w:val="22"/>
      <w:szCs w:val="22"/>
      <w:lang w:bidi="ta-IN"/>
    </w:rPr>
  </w:style>
  <w:style w:type="character" w:customStyle="1" w:styleId="354">
    <w:name w:val="正文首行缩进 Char"/>
    <w:basedOn w:val="323"/>
    <w:link w:val="84"/>
    <w:semiHidden/>
    <w:qFormat/>
    <w:uiPriority w:val="0"/>
    <w:rPr>
      <w:rFonts w:ascii="Times New Roman" w:hAnsi="Times New Roman" w:cs="Latha"/>
      <w:sz w:val="22"/>
      <w:szCs w:val="22"/>
      <w:lang w:bidi="ta-IN"/>
    </w:rPr>
  </w:style>
  <w:style w:type="character" w:customStyle="1" w:styleId="355">
    <w:name w:val="正文文本 3 Char"/>
    <w:basedOn w:val="209"/>
    <w:link w:val="31"/>
    <w:semiHidden/>
    <w:qFormat/>
    <w:uiPriority w:val="0"/>
    <w:rPr>
      <w:rFonts w:cs="Latha"/>
      <w:sz w:val="16"/>
      <w:szCs w:val="16"/>
      <w:lang w:bidi="ta-IN"/>
    </w:rPr>
  </w:style>
  <w:style w:type="character" w:customStyle="1" w:styleId="356">
    <w:name w:val="正文文本 2 Char"/>
    <w:basedOn w:val="209"/>
    <w:link w:val="74"/>
    <w:semiHidden/>
    <w:qFormat/>
    <w:uiPriority w:val="0"/>
    <w:rPr>
      <w:rFonts w:cs="Latha"/>
      <w:sz w:val="22"/>
      <w:szCs w:val="22"/>
      <w:lang w:bidi="ta-IN"/>
    </w:rPr>
  </w:style>
  <w:style w:type="paragraph" w:customStyle="1" w:styleId="357">
    <w:name w:val="Source"/>
    <w:basedOn w:val="1"/>
    <w:qFormat/>
    <w:uiPriority w:val="0"/>
    <w:rPr>
      <w:rFonts w:eastAsiaTheme="minorHAnsi" w:cstheme="minorBidi"/>
      <w:color w:val="222A35" w:themeColor="text2" w:themeShade="80"/>
      <w:sz w:val="20"/>
      <w:lang w:bidi="ar-SA"/>
    </w:rPr>
  </w:style>
  <w:style w:type="paragraph" w:customStyle="1" w:styleId="358">
    <w:name w:val="ArticleType"/>
    <w:basedOn w:val="1"/>
    <w:qFormat/>
    <w:uiPriority w:val="0"/>
    <w:rPr>
      <w:color w:val="E26C0A"/>
    </w:rPr>
  </w:style>
  <w:style w:type="paragraph" w:customStyle="1" w:styleId="359">
    <w:name w:val="NewPara"/>
    <w:basedOn w:val="1"/>
    <w:qFormat/>
    <w:uiPriority w:val="0"/>
  </w:style>
  <w:style w:type="paragraph" w:customStyle="1" w:styleId="360">
    <w:name w:val="SchemeTitle"/>
    <w:basedOn w:val="231"/>
    <w:qFormat/>
    <w:uiPriority w:val="0"/>
  </w:style>
  <w:style w:type="paragraph" w:customStyle="1" w:styleId="361">
    <w:name w:val="RefWorkingPaper"/>
    <w:basedOn w:val="1"/>
    <w:qFormat/>
    <w:uiPriority w:val="0"/>
  </w:style>
  <w:style w:type="paragraph" w:customStyle="1" w:styleId="362">
    <w:name w:val="SuperTitle"/>
    <w:basedOn w:val="1"/>
    <w:qFormat/>
    <w:uiPriority w:val="0"/>
  </w:style>
  <w:style w:type="paragraph" w:customStyle="1" w:styleId="363">
    <w:name w:val="Product"/>
    <w:basedOn w:val="1"/>
    <w:qFormat/>
    <w:uiPriority w:val="0"/>
    <w:pPr>
      <w:shd w:val="clear" w:color="auto" w:fill="66FF99"/>
    </w:pPr>
  </w:style>
  <w:style w:type="paragraph" w:customStyle="1" w:styleId="364">
    <w:name w:val="Related-Article"/>
    <w:basedOn w:val="363"/>
    <w:qFormat/>
    <w:uiPriority w:val="0"/>
    <w:pPr>
      <w:shd w:val="clear" w:color="auto" w:fill="33CCFF"/>
    </w:pPr>
  </w:style>
  <w:style w:type="paragraph" w:customStyle="1" w:styleId="365">
    <w:name w:val="Speech"/>
    <w:basedOn w:val="1"/>
    <w:qFormat/>
    <w:uiPriority w:val="0"/>
    <w:pPr>
      <w:shd w:val="clear" w:color="auto" w:fill="99CC00"/>
    </w:pPr>
  </w:style>
  <w:style w:type="paragraph" w:customStyle="1" w:styleId="366">
    <w:name w:val="BoxTitle"/>
    <w:basedOn w:val="1"/>
    <w:qFormat/>
    <w:uiPriority w:val="0"/>
    <w:pPr>
      <w:shd w:val="clear" w:color="auto" w:fill="99CCFF"/>
    </w:pPr>
  </w:style>
  <w:style w:type="paragraph" w:customStyle="1" w:styleId="367">
    <w:name w:val="BoxText"/>
    <w:basedOn w:val="1"/>
    <w:qFormat/>
    <w:uiPriority w:val="0"/>
    <w:pPr>
      <w:shd w:val="clear" w:color="auto" w:fill="99FF66"/>
    </w:pPr>
  </w:style>
  <w:style w:type="paragraph" w:customStyle="1" w:styleId="368">
    <w:name w:val="step"/>
    <w:basedOn w:val="248"/>
    <w:qFormat/>
    <w:uiPriority w:val="0"/>
  </w:style>
  <w:style w:type="paragraph" w:customStyle="1" w:styleId="369">
    <w:name w:val="conference"/>
    <w:basedOn w:val="1"/>
    <w:qFormat/>
    <w:uiPriority w:val="0"/>
  </w:style>
  <w:style w:type="paragraph" w:customStyle="1" w:styleId="370">
    <w:name w:val="GraphCaption"/>
    <w:basedOn w:val="231"/>
    <w:qFormat/>
    <w:uiPriority w:val="0"/>
  </w:style>
  <w:style w:type="paragraph" w:customStyle="1" w:styleId="371">
    <w:name w:val="BoxCaption"/>
    <w:basedOn w:val="231"/>
    <w:qFormat/>
    <w:uiPriority w:val="0"/>
  </w:style>
  <w:style w:type="paragraph" w:customStyle="1" w:styleId="372">
    <w:name w:val="ChartCaption"/>
    <w:basedOn w:val="231"/>
    <w:next w:val="231"/>
    <w:qFormat/>
    <w:uiPriority w:val="0"/>
  </w:style>
  <w:style w:type="paragraph" w:customStyle="1" w:styleId="373">
    <w:name w:val="PlateCaption"/>
    <w:basedOn w:val="231"/>
    <w:next w:val="231"/>
    <w:qFormat/>
    <w:uiPriority w:val="0"/>
  </w:style>
  <w:style w:type="paragraph" w:customStyle="1" w:styleId="374">
    <w:name w:val="MapCaption"/>
    <w:basedOn w:val="231"/>
    <w:next w:val="231"/>
    <w:qFormat/>
    <w:uiPriority w:val="0"/>
  </w:style>
  <w:style w:type="paragraph" w:customStyle="1" w:styleId="375">
    <w:name w:val="TableContinued"/>
    <w:basedOn w:val="374"/>
    <w:qFormat/>
    <w:uiPriority w:val="0"/>
  </w:style>
  <w:style w:type="paragraph" w:customStyle="1" w:styleId="376">
    <w:name w:val="ExhibitCaption"/>
    <w:basedOn w:val="231"/>
    <w:next w:val="231"/>
    <w:qFormat/>
    <w:uiPriority w:val="0"/>
  </w:style>
  <w:style w:type="paragraph" w:customStyle="1" w:styleId="377">
    <w:name w:val="ManuscriptSubTitle"/>
    <w:basedOn w:val="233"/>
    <w:qFormat/>
    <w:uiPriority w:val="0"/>
    <w:rPr>
      <w:sz w:val="36"/>
      <w:shd w:val="clear" w:color="auto" w:fill="3399FF"/>
    </w:rPr>
  </w:style>
  <w:style w:type="paragraph" w:customStyle="1" w:styleId="378">
    <w:name w:val="Copyright"/>
    <w:basedOn w:val="377"/>
    <w:qFormat/>
    <w:uiPriority w:val="0"/>
    <w:rPr>
      <w:sz w:val="24"/>
    </w:rPr>
  </w:style>
  <w:style w:type="character" w:customStyle="1" w:styleId="379">
    <w:name w:val="Equation Char"/>
    <w:basedOn w:val="209"/>
    <w:link w:val="236"/>
    <w:qFormat/>
    <w:uiPriority w:val="0"/>
    <w:rPr>
      <w:rFonts w:cs="Latha"/>
      <w:sz w:val="24"/>
      <w:szCs w:val="22"/>
    </w:rPr>
  </w:style>
  <w:style w:type="table" w:customStyle="1" w:styleId="380">
    <w:name w:val="Plain Table 51"/>
    <w:basedOn w:val="86"/>
    <w:qFormat/>
    <w:uiPriority w:val="45"/>
    <w:rPr>
      <w:rFonts w:asciiTheme="minorHAnsi" w:hAnsiTheme="minorHAnsi" w:cstheme="minorBidi"/>
      <w:kern w:val="2"/>
      <w:sz w:val="21"/>
      <w:szCs w:val="22"/>
    </w:rPr>
    <w:tblPr>
      <w:tblCellMar>
        <w:top w:w="0" w:type="dxa"/>
        <w:left w:w="108" w:type="dxa"/>
        <w:bottom w:w="0" w:type="dxa"/>
        <w:right w:w="108" w:type="dxa"/>
      </w:tblCellMar>
    </w:tblPr>
    <w:tblStylePr w:type="firstRow">
      <w:rPr>
        <w:rFonts w:asciiTheme="majorHAnsi" w:hAnsiTheme="majorHAnsi" w:eastAsiaTheme="majorEastAsia" w:cstheme="majorBidi"/>
        <w:i/>
        <w:iCs/>
        <w:sz w:val="26"/>
      </w:rPr>
      <w:tcPr>
        <w:tcBorders>
          <w:bottom w:val="single" w:color="7E7E7E" w:themeColor="text1" w:themeTint="80" w:sz="4" w:space="0"/>
        </w:tcBorders>
        <w:shd w:val="clear" w:color="auto" w:fill="FFFFFF" w:themeFill="background1"/>
      </w:tcPr>
    </w:tblStylePr>
    <w:tblStylePr w:type="lastRow">
      <w:rPr>
        <w:rFonts w:asciiTheme="majorHAnsi" w:hAnsiTheme="majorHAnsi" w:eastAsiaTheme="majorEastAsia" w:cstheme="majorBidi"/>
        <w:i/>
        <w:iCs/>
        <w:sz w:val="26"/>
      </w:rPr>
      <w:tcPr>
        <w:tcBorders>
          <w:top w:val="single" w:color="7E7E7E" w:themeColor="text1" w:themeTint="80" w:sz="4" w:space="0"/>
        </w:tcBorders>
        <w:shd w:val="clear" w:color="auto" w:fill="FFFFFF" w:themeFill="background1"/>
      </w:tcPr>
    </w:tblStylePr>
    <w:tblStylePr w:type="firstCol">
      <w:pPr>
        <w:jc w:val="right"/>
      </w:pPr>
      <w:rPr>
        <w:rFonts w:asciiTheme="majorHAnsi" w:hAnsiTheme="majorHAnsi" w:eastAsiaTheme="majorEastAsia" w:cstheme="majorBidi"/>
        <w:i/>
        <w:iCs/>
        <w:sz w:val="26"/>
      </w:rPr>
      <w:tcPr>
        <w:tcBorders>
          <w:right w:val="single" w:color="7E7E7E" w:themeColor="text1" w:themeTint="80" w:sz="4" w:space="0"/>
        </w:tcBorders>
        <w:shd w:val="clear" w:color="auto" w:fill="FFFFFF" w:themeFill="background1"/>
      </w:tcPr>
    </w:tblStylePr>
    <w:tblStylePr w:type="lastCol">
      <w:rPr>
        <w:rFonts w:asciiTheme="majorHAnsi" w:hAnsiTheme="majorHAnsi" w:eastAsiaTheme="majorEastAsia" w:cstheme="majorBidi"/>
        <w:i/>
        <w:iCs/>
        <w:sz w:val="26"/>
      </w:rPr>
      <w:tcPr>
        <w:tcBorders>
          <w:left w:val="single" w:color="7E7E7E" w:themeColor="text1" w:themeTint="80" w:sz="4" w:space="0"/>
        </w:tcBorders>
        <w:shd w:val="clear" w:color="auto" w:fill="FFFFFF" w:themeFill="background1"/>
      </w:tcPr>
    </w:tblStylePr>
    <w:tblStylePr w:type="band1Vert">
      <w:tcPr>
        <w:shd w:val="clear" w:color="auto" w:fill="F1F1F1" w:themeFill="background1" w:themeFillShade="F2"/>
      </w:tcPr>
    </w:tblStylePr>
    <w:tblStylePr w:type="band1Horz">
      <w:tcPr>
        <w:shd w:val="clear" w:color="auto" w:fill="F1F1F1" w:themeFill="background1" w:themeFillShade="F2"/>
      </w:tcPr>
    </w:tblStylePr>
    <w:tblStylePr w:type="neCell">
      <w:tcPr>
        <w:tcBorders>
          <w:left w:val="nil"/>
        </w:tcBorders>
      </w:tcPr>
    </w:tblStylePr>
    <w:tblStylePr w:type="nwCell">
      <w:tcPr>
        <w:tcBorders>
          <w:right w:val="nil"/>
        </w:tcBorders>
      </w:tcPr>
    </w:tblStylePr>
    <w:tblStylePr w:type="seCell">
      <w:tcPr>
        <w:tcBorders>
          <w:left w:val="nil"/>
        </w:tcBorders>
      </w:tcPr>
    </w:tblStylePr>
    <w:tblStylePr w:type="swCell">
      <w:tcPr>
        <w:tcBorders>
          <w:right w:val="nil"/>
        </w:tcBorders>
      </w:tcPr>
    </w:tblStylePr>
  </w:style>
  <w:style w:type="table" w:customStyle="1" w:styleId="381">
    <w:name w:val="Table Grid Light1"/>
    <w:basedOn w:val="86"/>
    <w:qFormat/>
    <w:uiPriority w:val="40"/>
    <w:tblPr>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
  </w:style>
  <w:style w:type="paragraph" w:customStyle="1" w:styleId="382">
    <w:name w:val="table col head"/>
    <w:basedOn w:val="1"/>
    <w:qFormat/>
    <w:uiPriority w:val="0"/>
    <w:pPr>
      <w:spacing w:after="0"/>
      <w:jc w:val="center"/>
    </w:pPr>
    <w:rPr>
      <w:rFonts w:eastAsia="宋体" w:cs="Times New Roman"/>
      <w:b/>
      <w:bCs/>
      <w:sz w:val="16"/>
      <w:szCs w:val="16"/>
      <w:lang w:bidi="ar-SA"/>
    </w:rPr>
  </w:style>
  <w:style w:type="paragraph" w:customStyle="1" w:styleId="383">
    <w:name w:val="table col subhead"/>
    <w:basedOn w:val="382"/>
    <w:qFormat/>
    <w:uiPriority w:val="0"/>
    <w:rPr>
      <w:i/>
      <w:iCs/>
      <w:sz w:val="15"/>
      <w:szCs w:val="15"/>
    </w:rPr>
  </w:style>
  <w:style w:type="paragraph" w:customStyle="1" w:styleId="384">
    <w:name w:val="table body"/>
    <w:qFormat/>
    <w:uiPriority w:val="0"/>
    <w:pPr>
      <w:jc w:val="both"/>
    </w:pPr>
    <w:rPr>
      <w:rFonts w:ascii="Times New Roman" w:hAnsi="Times New Roman" w:eastAsia="宋体" w:cs="Times New Roman"/>
      <w:sz w:val="16"/>
      <w:szCs w:val="16"/>
      <w:lang w:val="en-US" w:eastAsia="en-US" w:bidi="ar-SA"/>
    </w:rPr>
  </w:style>
  <w:style w:type="paragraph" w:customStyle="1" w:styleId="385">
    <w:name w:val="paper title"/>
    <w:qFormat/>
    <w:uiPriority w:val="0"/>
    <w:pPr>
      <w:spacing w:after="120"/>
      <w:jc w:val="center"/>
    </w:pPr>
    <w:rPr>
      <w:rFonts w:ascii="Times New Roman" w:hAnsi="Times New Roman" w:eastAsia="MS Mincho" w:cs="Times New Roman"/>
      <w:sz w:val="48"/>
      <w:szCs w:val="48"/>
      <w:lang w:val="en-US" w:eastAsia="en-US" w:bidi="ar-SA"/>
    </w:rPr>
  </w:style>
  <w:style w:type="paragraph" w:customStyle="1" w:styleId="386">
    <w:name w:val="Author"/>
    <w:qFormat/>
    <w:uiPriority w:val="0"/>
    <w:pPr>
      <w:spacing w:before="360" w:after="40"/>
      <w:jc w:val="center"/>
    </w:pPr>
    <w:rPr>
      <w:rFonts w:ascii="Times New Roman" w:hAnsi="Times New Roman" w:eastAsia="宋体" w:cs="Times New Roman"/>
      <w:sz w:val="22"/>
      <w:szCs w:val="22"/>
      <w:lang w:val="en-US" w:eastAsia="en-US" w:bidi="ar-SA"/>
    </w:rPr>
  </w:style>
  <w:style w:type="paragraph" w:customStyle="1" w:styleId="387">
    <w:name w:val="Affiliation"/>
    <w:qFormat/>
    <w:uiPriority w:val="0"/>
    <w:pPr>
      <w:jc w:val="center"/>
    </w:pPr>
    <w:rPr>
      <w:rFonts w:ascii="Times New Roman" w:hAnsi="Times New Roman" w:eastAsia="宋体" w:cs="Times New Roman"/>
      <w:lang w:val="en-US" w:eastAsia="en-US" w:bidi="ar-SA"/>
    </w:rPr>
  </w:style>
  <w:style w:type="paragraph" w:customStyle="1" w:styleId="388">
    <w:name w:val="references"/>
    <w:qFormat/>
    <w:uiPriority w:val="0"/>
    <w:pPr>
      <w:numPr>
        <w:ilvl w:val="0"/>
        <w:numId w:val="3"/>
      </w:numPr>
      <w:spacing w:after="50" w:line="180" w:lineRule="exact"/>
      <w:jc w:val="both"/>
    </w:pPr>
    <w:rPr>
      <w:rFonts w:ascii="Times New Roman" w:hAnsi="Times New Roman" w:eastAsia="MS Mincho" w:cs="Times New Roman"/>
      <w:sz w:val="18"/>
      <w:szCs w:val="16"/>
      <w:lang w:val="en-US" w:eastAsia="en-US" w:bidi="ar-SA"/>
    </w:rPr>
  </w:style>
  <w:style w:type="paragraph" w:customStyle="1" w:styleId="389">
    <w:name w:val="table head"/>
    <w:qFormat/>
    <w:uiPriority w:val="0"/>
    <w:pPr>
      <w:numPr>
        <w:ilvl w:val="0"/>
        <w:numId w:val="4"/>
      </w:numPr>
      <w:spacing w:before="240" w:after="120" w:line="216" w:lineRule="auto"/>
      <w:jc w:val="center"/>
    </w:pPr>
    <w:rPr>
      <w:rFonts w:ascii="Times New Roman" w:hAnsi="Times New Roman" w:eastAsia="宋体" w:cs="Times New Roman"/>
      <w:smallCaps/>
      <w:sz w:val="16"/>
      <w:szCs w:val="16"/>
      <w:lang w:val="en-US" w:eastAsia="en-US" w:bidi="ar-SA"/>
    </w:rPr>
  </w:style>
  <w:style w:type="character" w:customStyle="1" w:styleId="390">
    <w:name w:val="未处理的提及1"/>
    <w:basedOn w:val="209"/>
    <w:semiHidden/>
    <w:unhideWhenUsed/>
    <w:qFormat/>
    <w:uiPriority w:val="99"/>
    <w:rPr>
      <w:color w:val="605E5C"/>
      <w:shd w:val="clear" w:color="auto" w:fill="E1DFDD"/>
    </w:rPr>
  </w:style>
  <w:style w:type="paragraph" w:customStyle="1" w:styleId="391">
    <w:name w:val="Default"/>
    <w:qFormat/>
    <w:uiPriority w:val="0"/>
    <w:pPr>
      <w:widowControl w:val="0"/>
      <w:autoSpaceDE w:val="0"/>
      <w:autoSpaceDN w:val="0"/>
      <w:adjustRightInd w:val="0"/>
    </w:pPr>
    <w:rPr>
      <w:rFonts w:ascii="DMAIH O+ Adv T T 140f 2bdb" w:hAnsi="DMAIH O+ Adv T T 140f 2bdb" w:cs="DMAIH O+ Adv T T 140f 2bdb" w:eastAsiaTheme="minorEastAsia"/>
      <w:color w:val="000000"/>
      <w:sz w:val="24"/>
      <w:szCs w:val="24"/>
      <w:lang w:val="en-US" w:eastAsia="en-US" w:bidi="ar-SA"/>
    </w:rPr>
  </w:style>
</w:styles>
</file>

<file path=word/_rels/document.xml.rels><?xml version='1.0' encoding='UTF-8' standalone='yes'?>
<Relationships xmlns="http://schemas.openxmlformats.org/package/2006/relationships"><Relationship Id="rId9" Type="http://schemas.openxmlformats.org/officeDocument/2006/relationships/image" Target="media/image2.emf"/><Relationship Id="rId8" Type="http://schemas.openxmlformats.org/officeDocument/2006/relationships/image" Target="media/image1.png"/><Relationship Id="rId7" Type="http://schemas.openxmlformats.org/officeDocument/2006/relationships/theme" Target="theme/theme1.xml"/><Relationship Id="rId6" Type="http://schemas.openxmlformats.org/officeDocument/2006/relationships/footer" Target="footer2.xml"/><Relationship Id="rId5" Type="http://schemas.openxmlformats.org/officeDocument/2006/relationships/footer" Target="footer1.xml"/><Relationship Id="rId4" Type="http://schemas.openxmlformats.org/officeDocument/2006/relationships/header" Target="header1.xml"/><Relationship Id="rId3" Type="http://schemas.openxmlformats.org/officeDocument/2006/relationships/footnotes" Target="footnotes.xml"/><Relationship Id="rId2" Type="http://schemas.openxmlformats.org/officeDocument/2006/relationships/settings" Target="settings.xml"/><Relationship Id="rId14" Type="http://schemas.openxmlformats.org/officeDocument/2006/relationships/fontTable" Target="fontTable.xml"/><Relationship Id="rId13" Type="http://schemas.openxmlformats.org/officeDocument/2006/relationships/customXml" Target="../customXml/item2.xml"/><Relationship Id="rId12" Type="http://schemas.openxmlformats.org/officeDocument/2006/relationships/numbering" Target="numbering.xml"/><Relationship Id="rId11" Type="http://schemas.openxmlformats.org/officeDocument/2006/relationships/customXml" Target="../customXml/item1.xml"/><Relationship Id="rId10" Type="http://schemas.openxmlformats.org/officeDocument/2006/relationships/image" Target="media/image3.emf"/><Relationship Id="rId1" Type="http://schemas.openxmlformats.org/officeDocument/2006/relationships/styles" Target="styles.xml"/><Relationship Id="rId15" Type="http://schemas.openxmlformats.org/officeDocument/2006/relationships/image" Target="media/image4.png"/><Relationship Id="rId16" Type="http://schemas.openxmlformats.org/officeDocument/2006/relationships/image" Target="media/image5.png"/><Relationship Id="rId17" Type="http://schemas.openxmlformats.org/officeDocument/2006/relationships/image" Target="media/image6.png"/><Relationship Id="rId18" Type="http://schemas.openxmlformats.org/officeDocument/2006/relationships/image" Target="media/image7.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dministrator\Desktop\JCCE_Template%20--OTH%20(1).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CA8E5A79-3D00-40C5-9DEB-F2AFD4306492}">
  <ds:schemaRefs/>
</ds:datastoreItem>
</file>

<file path=docProps/app.xml><?xml version="1.0" encoding="utf-8"?>
<Properties xmlns="http://schemas.openxmlformats.org/officeDocument/2006/extended-properties" xmlns:vt="http://schemas.openxmlformats.org/officeDocument/2006/docPropsVTypes">
  <Template>JCCE_Template --OTH (1)</Template>
  <Company>微软中国</Company>
  <Pages>4</Pages>
  <Words>2036</Words>
  <Characters>11891</Characters>
  <Lines>104</Lines>
  <Paragraphs>29</Paragraphs>
  <TotalTime>0</TotalTime>
  <ScaleCrop>false</ScaleCrop>
  <LinksUpToDate>false</LinksUpToDate>
  <CharactersWithSpaces>13858</CharactersWithSpaces>
  <Application>WPS Office_12.1.0.24034_F1E327BC-269C-435d-A152-05C5408002CA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2022-04-18T03:25:00Z</dcterms:created>
  <dc:creator>司丢比森蝶</dc:creator>
  <cp:lastModifiedBy>AIA</cp:lastModifiedBy>
  <dcterms:modified xsi:type="dcterms:W3CDTF">2026-01-04T01:16:37Z</dcterms:modified>
  <cp:revision>358</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y fmtid="{D5CDD505-2E9C-101B-9397-08002B2CF9AE}" pid="3" name="ICV">
    <vt:lpwstr>DD4377B029CC4B2B949AC2135F2D06F1_13</vt:lpwstr>
  </property>
  <property fmtid="{D5CDD505-2E9C-101B-9397-08002B2CF9AE}" pid="4" name="KSOProductBuildVer">
    <vt:lpwstr>2052-12.1.0.24034</vt:lpwstr>
  </property>
  <property fmtid="{D5CDD505-2E9C-101B-9397-08002B2CF9AE}" pid="5" name="KSOTemplateDocerSaveRecord">
    <vt:lpwstr>eyJoZGlkIjoiMzFkYjU5M2M5ZGM2ZmVjY2Q3ZTFjZGViNmZjYzIxYTAiLCJ1c2VySWQiOiI1MDAzNzQ5NzcifQ==</vt:lpwstr>
  </property>
</Properties>
</file>