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Highlights</w:t>
      </w:r>
    </w:p>
    <w:p>
      <w:pPr>
        <w:pStyle w:val="ListBullet"/>
      </w:pPr>
      <w:r>
        <w:t>Exact robust best responses for carriers under probability-box travel times</w:t>
      </w:r>
    </w:p>
    <w:p>
      <w:pPr>
        <w:pStyle w:val="ListBullet"/>
      </w:pPr>
      <w:r>
        <w:t>City charges from best-response cuts, without a grid of equilibrium solves</w:t>
      </w:r>
    </w:p>
    <w:p>
      <w:pPr>
        <w:pStyle w:val="ListBullet"/>
      </w:pPr>
      <w:r>
        <w:t>Aggregate-response pricing sets charges from observed zone totals alone</w:t>
      </w:r>
    </w:p>
    <w:p>
      <w:pPr>
        <w:pStyle w:val="ListBullet"/>
      </w:pPr>
      <w:r>
        <w:t>Pure equilibria exist under exposure congestion; existence is NP-complete otherwise</w:t>
      </w:r>
    </w:p>
    <w:p>
      <w:pPr>
        <w:pStyle w:val="ListBullet"/>
      </w:pPr>
      <w:r>
        <w:t>Policy directions hold across carrier criteria; levels of gains and PoA do not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