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30"/>
        </w:rPr>
        <w:t>City charges for competing delivery carriers: exact best responses under probability-box travel times and leader pricing without equilibrium search</w:t>
      </w:r>
    </w:p>
    <w:p>
      <w:r>
        <w:rPr>
          <w:b/>
          <w:i w:val="0"/>
        </w:rPr>
        <w:t>Quang-Vinh Dang</w:t>
      </w:r>
    </w:p>
    <w:p>
      <w:r>
        <w:rPr>
          <w:b w:val="0"/>
          <w:i w:val="0"/>
        </w:rPr>
        <w:t>British University Vietnam, Hung Yen, Vietnam</w:t>
      </w:r>
    </w:p>
    <w:p>
      <w:r>
        <w:rPr>
          <w:b w:val="0"/>
          <w:i w:val="0"/>
        </w:rPr>
        <w:t>Corresponding author: Quang-Vinh Dang, vinh.dq4@buv.edu.vn</w:t>
      </w:r>
    </w:p>
    <w:p>
      <w:r>
        <w:rPr>
          <w:b w:val="0"/>
          <w:i w:val="0"/>
        </w:rPr>
        <w:t>ORCID: 0000-0002-3877-8024</w:t>
      </w:r>
    </w:p>
    <w:p>
      <w:r>
        <w:rPr>
          <w:b w:val="0"/>
          <w:i/>
        </w:rPr>
        <w:t>Article type: VSI: Omega55: Smart Cities</w:t>
      </w:r>
    </w:p>
    <w:p>
      <w:r>
        <w:rPr>
          <w:b/>
          <w:i w:val="0"/>
        </w:rPr>
        <w:t>Abstract</w:t>
      </w:r>
    </w:p>
    <w:p>
      <w:r>
        <w:rPr>
          <w:b w:val="0"/>
          <w:i w:val="0"/>
        </w:rPr>
        <w:t>A city that charges delivery carriers faces a bilevel problem with three stacked difficulties. Each carrier solves an NP-hard routing problem under probability-box travel times with unknown dependence; the carriers play a Cournot-type congestion game; and the usual search over charges solves one equilibrium per grid point, about two thousand routing solves per city. We give an algorithm for each layer. Budget-resource labelling prices routes exactly, and branch-and-price makes each carrier's integer plan exact; it proves optimality with 22 customer zones in all nine cities and 30 to 40 customers in London and New York, with far fewer labels than scenario labelling, and probability boxes buy a guaranteed upper bound and a lower overtime risk at a higher expected cost than sample averages. Dual implementation pricing makes a social target an equilibrium through best-response cuts. Aggregate-response pricing sets charges from observed zone totals alone and contracts at a rate independent of instance size. On nine metropolitan areas built from OpenStreetMap and gridded population, with ten seeds in three cities, dual implementation pricing reached 1.07–1.23 times the best grid point's gain with 5.7–8.3% of its calls, and 1.00–1.02 of the social optimum's gain (grid: 0.815–0.938); aggregate-response pricing reached 0.933–0.995. Pure equilibria exist under exposure-based congestion, and deciding their existence is strongly NP-complete under vehicle-count congestion; the belief-width result builds on earlier work on approximate equilibria. Levels of the price of anarchy, service and gains depend on the criterion the carriers use, whereas orderings and policy directions do not. Instances and code are released.</w:t>
      </w:r>
    </w:p>
    <w:p>
      <w:r>
        <w:rPr>
          <w:b/>
          <w:i w:val="0"/>
        </w:rPr>
        <w:t>Keywords</w:t>
      </w:r>
    </w:p>
    <w:p>
      <w:r>
        <w:rPr>
          <w:b w:val="0"/>
          <w:i w:val="0"/>
        </w:rPr>
        <w:t>urban logistics; bilevel optimization; vehicle routing; imprecise probabilities; congestion games; city charges</w:t>
      </w:r>
    </w:p>
    <w:p>
      <w:r>
        <w:rPr>
          <w:b/>
          <w:i w:val="0"/>
        </w:rPr>
        <w:t>Word count</w:t>
      </w:r>
    </w:p>
    <w:p>
      <w:r>
        <w:rPr>
          <w:b w:val="0"/>
          <w:i w:val="0"/>
        </w:rPr>
        <w:t>About 19,900 words of main text (title page to the end of the conclusion, including abstract, headings, equations and table text; excluding references and appendices).</w:t>
      </w:r>
    </w:p>
    <w:p>
      <w:r>
        <w:rPr>
          <w:b/>
          <w:i w:val="0"/>
        </w:rPr>
        <w:t>Data and code availability</w:t>
      </w:r>
    </w:p>
    <w:p>
      <w:r>
        <w:rPr>
          <w:b w:val="0"/>
          <w:i w:val="0"/>
        </w:rPr>
        <w:t>Code, processed data, parameter sources, result files, figures and the table-generating scripts are available at https://github.com/vinhqdang/Competing-Carriers-under-Uncertainty.</w:t>
      </w:r>
    </w:p>
    <w:p>
      <w:r>
        <w:rPr>
          <w:b/>
          <w:i w:val="0"/>
        </w:rPr>
        <w:t>Declaration of competing interest</w:t>
      </w:r>
    </w:p>
    <w:p>
      <w:r>
        <w:rPr>
          <w:b w:val="0"/>
          <w:i w:val="0"/>
        </w:rPr>
        <w:t>The author declares that he has no known competing financial interests or personal relationships that could have appeared to influence the work reported in this paper.</w:t>
      </w:r>
    </w:p>
    <w:p>
      <w:r>
        <w:rPr>
          <w:b/>
          <w:i w:val="0"/>
        </w:rPr>
        <w:t>Funding</w:t>
      </w:r>
    </w:p>
    <w:p>
      <w:r>
        <w:rPr>
          <w:b w:val="0"/>
          <w:i w:val="0"/>
        </w:rPr>
        <w:t>This research received no specific grant from any funding agency in the public, commercial, or not-for-profit sectors.</w:t>
      </w:r>
    </w:p>
    <w:p>
      <w:r>
        <w:rPr>
          <w:b/>
          <w:i w:val="0"/>
        </w:rPr>
        <w:t>CRediT authorship contribution statement</w:t>
      </w:r>
    </w:p>
    <w:p>
      <w:r>
        <w:rPr>
          <w:b w:val="0"/>
          <w:i w:val="0"/>
        </w:rPr>
        <w:t>Quang-Vinh Dang: Conceptualization, Methodology, Software, Validation, Formal analysis, Investigation, Resources, Data curation, Writing - original draft, Writing - review &amp; editing, Visualization, Project administration.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