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When audiences turn: how publics collectively mobilise around technology-mediated events, and detecting the turn as it happens</w:t>
      </w:r>
    </w:p>
    <w:p>
      <w:pPr>
        <w:jc w:val="center"/>
      </w:pPr>
      <w:r>
        <w:rPr>
          <w:i/>
          <w:color w:val="808080"/>
          <w:sz w:val="20"/>
        </w:rPr>
        <w:t>[Author details removed for anonymous review — see title page]</w:t>
      </w:r>
    </w:p>
    <w:p>
      <w:pPr>
        <w:spacing w:before="240" w:after="120"/>
      </w:pPr>
      <w:r>
        <w:rPr>
          <w:b/>
          <w:sz w:val="26"/>
        </w:rPr>
        <w:t>Abstract</w:t>
      </w:r>
    </w:p>
    <w:p>
      <w:pPr>
        <w:jc w:val="both"/>
      </w:pPr>
      <w:r>
        <w:rPr>
          <w:b/>
        </w:rPr>
        <w:t xml:space="preserve">Purpose – </w:t>
      </w:r>
      <w:r>
        <w:t>When a much-anticipated event arrives, online audiences do not warm to it gradually; a public forms, tips and mobilises, often in a matter of days. This paper studies how audiences collectively turn toward a technology-mediated event — how they organise into interpretive communities and when they mobilise — and asks whether that turn can be recognised as it happens rather than only in hindsight. It compares how differently publics assemble around a technologically-framed cultural event and a non-technological one, and whether a technological attribute shapes how people engage.</w:t>
      </w:r>
    </w:p>
    <w:p>
      <w:pPr>
        <w:jc w:val="both"/>
      </w:pPr>
      <w:r>
        <w:rPr>
          <w:b/>
        </w:rPr>
        <w:t xml:space="preserve">Design/methodology/approach – </w:t>
      </w:r>
      <w:r>
        <w:t>The study observes the publics that formed around two contemporaneous 2026 events through the traces they left on YouTube — the IMAX/70mm release of Nolan's The Odyssey and the FIFA World Cup 2026 — comprising 113,887 anonymised comments from roughly 90,000 people across 140 videos. It contrasts the audiences' co-participation networks, monitors their collective mobilisation with an anytime-valid, e-process test that stays reliable under the continuous observation platform data invite (benchmarked against the usual fixed-window practice through a 2,000-replication study), and uses propensity-score matching to ask whether format-innovation framing changes how audiences engage.</w:t>
      </w:r>
    </w:p>
    <w:p>
      <w:pPr>
        <w:jc w:val="both"/>
      </w:pPr>
      <w:r>
        <w:rPr>
          <w:b/>
        </w:rPr>
        <w:t xml:space="preserve">Findings – </w:t>
      </w:r>
      <w:r>
        <w:t>The film audience organised into a markedly more modular, community-structured public than the flatter, broadcast-centred sporting audience, revealing two distinct modes of collective sensemaking. Their mobilisation could be detected days ahead of each event: the e-process held false alarms at 0.01-0.08 under continuous monitoring where the conventional approach inflated to 0.59-1.00, and stayed powerful where the latter failed. Contrary to a naive novelty-equals-virality expectation, foregrounding the technological format won broadcast reach but did not deepen — and modestly narrowed — the networked conversation once reach was held constant.</w:t>
      </w:r>
    </w:p>
    <w:p>
      <w:pPr>
        <w:jc w:val="both"/>
      </w:pPr>
      <w:r>
        <w:rPr>
          <w:b/>
        </w:rPr>
        <w:t xml:space="preserve">Originality – </w:t>
      </w:r>
      <w:r>
        <w:t>The paper treats the temporal onset and the network shape of an online public as coupled, jointly observable facets of collective behaviour, and introduces anytime-valid inference as a way to study live audience dynamics with error guarantees that survive continuous looking — a perspective new to internet research on collective attention — within a fully reproducible, ethics-preserving design.</w:t>
      </w:r>
    </w:p>
    <w:p>
      <w:r>
        <w:rPr>
          <w:b/>
        </w:rPr>
        <w:t xml:space="preserve">Keywords </w:t>
      </w:r>
      <w:r>
        <w:t>Online audiences, Collective attention, Collective behaviour, Anytime-valid inference, Change-point detection, Social media, YouTube, Diffusion of innovations, Interpretive communities, Network structure, Propensity score matching</w:t>
      </w:r>
    </w:p>
    <w:p>
      <w:r>
        <w:rPr>
          <w:b/>
        </w:rPr>
        <w:t xml:space="preserve">Paper type </w:t>
      </w:r>
      <w:r>
        <w:t>Research paper</w:t>
      </w:r>
    </w:p>
    <w:p>
      <w:pPr>
        <w:spacing w:before="240" w:after="120"/>
      </w:pPr>
      <w:r>
        <w:rPr>
          <w:b/>
          <w:sz w:val="26"/>
        </w:rPr>
        <w:t>1. Introduction</w:t>
      </w:r>
    </w:p>
    <w:p>
      <w:pPr>
        <w:jc w:val="both"/>
      </w:pPr>
      <w:r>
        <w:t>On a single day in July 2026, more than nine thousand people left a comment under videos about one film. Six weeks earlier the same conversation had amounted to a few dozen remarks a day. Somewhere in between, collective attention had turned — quietly at first, then all at once. Anyone charged with responding to that turn faces a deceptively simple question: not whether people care, but when the caring began to move. This paper is about answering that question while it still matters, and about what the answer reveals when the event in question is defined by a piece of technology.</w:t>
      </w:r>
    </w:p>
    <w:p>
      <w:pPr>
        <w:jc w:val="both"/>
      </w:pPr>
      <w:r>
        <w:t>When a much-anticipated film arrives or a global tournament kicks off, the response online does not build gently. Attention gathers, tips and cascades, often compressing weeks of anticipation into a handful of decisive days. For the people and organisations who live with these events — studios, broadcasters, platform teams, community managers — the question that matters is rarely whether interest existed, but when it began to move. Yet the dominant analytical habit in both practice and research is retrospective: we wait until the window has closed, draw a boundary around a 'before' and an 'after', and compare the two. By the time such a comparison is possible, the moment to act has usually passed.</w:t>
      </w:r>
    </w:p>
    <w:p>
      <w:pPr>
        <w:jc w:val="both"/>
      </w:pPr>
      <w:r>
        <w:t>This retrospective habit is not merely a matter of timing; it is a matter of statistical validity. The natural temptation, once data arrive continuously, is to re-run a comparison every day and react the first time it turns significant. This practice — repeatedly peeking at an accumulating series with a test designed to be looked at once — silently destroys the error guarantee the test was meant to provide (Ramdas et al., 2023; Shafer, 2021). Under continuous monitoring, a nominal five-per-cent test can raise a false alarm most of the time. Detecting genuine acceleration in collective attention therefore poses a problem that is at once substantive and methodological: how to know, as the data arrive, that a real shift has begun — and to know it with an error rate that survives continuous looking.</w:t>
      </w:r>
    </w:p>
    <w:p>
      <w:pPr>
        <w:jc w:val="both"/>
      </w:pPr>
      <w:r>
        <w:t>At heart this is a question about people, not about technology. What forms around an event is a public: many individuals encountering the same object at once and making sense of it in relation to one another. Internet research has shown that such publics behave in patterned ways — the lifecycles of collective attention are accelerating (Lorenz-Spreen et al., 2019), audiences respond in distinctive ways to what platforms and influencers put before them (Elhajjar and Itani, 2025; Olfat et al., 2025), and social signals from peers shape whether people engage at all (Yin et al., 2025). Yet how a public assembles and when it collectively mobilises are usually reconstructed after the fact. What has been missing is a principled way to watch people turn toward an event as it happens, and to compare how differently they turn when the event is defined by a technology.</w:t>
      </w:r>
    </w:p>
    <w:p>
      <w:pPr>
        <w:jc w:val="both"/>
      </w:pPr>
      <w:r>
        <w:t>We pursue this through ECHO, an observatory of the publics that formed around two contemporaneous 2026 events chosen to isolate the role of technology in how people engage. The first is the theatrical release of Christopher Nolan's The Odyssey, promoted heavily on its IMAX and 70mm format — an event in which a technical attribute is itself something audiences must make sense of. The second is the FIFA World Cup 2026, a mega-event of comparable scale whose draw is not technological. Observing the people who gathered around both through the same trace — the commentary they left on YouTube — lets us ask what, if anything, the technology dimension changes about how a public organises itself and moves.</w:t>
      </w:r>
    </w:p>
    <w:p>
      <w:pPr>
        <w:jc w:val="both"/>
      </w:pPr>
      <w:r>
        <w:t>The paper makes three contributions, all about collective human behaviour. First, it shows that audiences assembling around a technology-mediated cultural event organise into a more differentiated, community-structured public — many interpretive sub-audiences around a shared core — than those around a sporting mega-event, who cohere into a flatter, broadcast-centred crowd; two distinct modes of collective sensemaking. Second, it shows that the moment a public collectively mobilises can be identified in real time with guarantees, by treating mobilisation as a sequential test and bringing anytime-valid e-process methods (Grünwald et al., 2024; Vovk and Wang, 2021; Shin et al., 2023) to audience data — where the fixed-window habit both cries wolf and misses the turn. Third, it shows that a technological attribute people are invited to care about can win their attention without deepening their conversation: format-innovation framing does not, once reach is held constant, amplify the networked exchange among audience members. Throughout, the observatory is transparent, quota-aware, ethics-preserving and fully reproducible (Nosek et al., 2015; Berente et al., 2019).</w:t>
      </w:r>
    </w:p>
    <w:p>
      <w:pPr>
        <w:spacing w:before="240" w:after="120"/>
      </w:pPr>
      <w:r>
        <w:rPr>
          <w:b/>
          <w:sz w:val="26"/>
        </w:rPr>
        <w:t>2. Theoretical background and related work</w:t>
      </w:r>
    </w:p>
    <w:p>
      <w:pPr>
        <w:spacing w:before="160" w:after="80"/>
      </w:pPr>
      <w:r>
        <w:rPr>
          <w:i/>
          <w:sz w:val="24"/>
        </w:rPr>
        <w:t>2.1 Collective attention and diffusion on platforms</w:t>
      </w:r>
    </w:p>
    <w:p>
      <w:pPr>
        <w:jc w:val="both"/>
      </w:pPr>
      <w:r>
        <w:t>Collective attention — the shared, transient focus of many people on the same object — is a foundational construct for understanding online behaviour. Its dynamics have measurably accelerated over time, with popular topics rising and fading faster than they once did (Lorenz-Spreen et al., 2019), and its quality is shaped by the informational environment in which it forms (Mocanu et al., 2015). How attention translates into diffusion has been studied through the lens of cascades and virality: Goel et al. (2016) distinguish genuinely viral, person-to-person spread from broadcast-driven reach, while Vosoughi et al. (2018) show that different kinds of content diffuse at different speeds and depths. Recent work continues to unpack the structural and temporal mechanisms behind popularity and success (Mariani et al., 2024; Wu et al., 2026) and the drivers of commenting and virality specifically (Peng and Bainbridge, 2026).</w:t>
      </w:r>
    </w:p>
    <w:p>
      <w:pPr>
        <w:jc w:val="both"/>
      </w:pPr>
      <w:r>
        <w:t>For information systems, these dynamics are not merely descriptive curiosities but instances of how people collectively adopt and adapt to technology. Classical diffusion-of-innovations and technology-acceptance theory (Rogers, 2003; Davis, 1989; Venkatesh et al., 2003) frame adoption as a social process; platform commentary offers a fine-grained, behavioural trace of that process as it happens. YouTube comments in particular have become a productive site for observing how audiences collectively interpret and react (Ji et al., 2023; Sari et al., 2025), and the field has increasingly embraced data-driven theory development from such behavioural traces (Berente et al., 2019). A vigorous stream of internet research examines how online audiences engage and mobilise: how they respond to platform and influencer signals (Elhajjar and Itani, 2025; Olfat et al., 2025), how peer cues drive participation (Yin et al., 2025), how they resist manipulative design (Kelly and Burkell, 2025), and how the attributes of information they encounter shape their reactions (Pan et al., 2026). The present study joins this stream, foregrounding the human scale of these processes — who talks near whom, and when a public collectively moves.</w:t>
      </w:r>
    </w:p>
    <w:p>
      <w:pPr>
        <w:spacing w:before="160" w:after="80"/>
      </w:pPr>
      <w:r>
        <w:rPr>
          <w:i/>
          <w:sz w:val="24"/>
        </w:rPr>
        <w:t>2.2 Online publics as a collective accomplishment</w:t>
      </w:r>
    </w:p>
    <w:p>
      <w:pPr>
        <w:jc w:val="both"/>
      </w:pPr>
      <w:r>
        <w:t>It helps to be explicit that the object of study here is people, not the platform or the film. Collective attention online is a vivid case of collective behaviour: what looks like a spike in a metric is, underneath, tens of thousands of individuals encountering the same object at once and making sense of it in relation to one another. The structure of that sense-making — whether a public fragments into interpretive communities or coheres around a broadcast — is an achievement of the audience, conditioned but not determined by how the platform surfaces content and by the nature of the event that draws people in (Meng et al., 2025). Audiences are also shaped and constrained by what is placed before them, engaging or resisting depending on peer signals and platform design (Yin et al., 2025; Kelly and Burkell, 2025). Our contribution to this understanding is to treat the temporal onset and the network shape of an online public as coupled, jointly observable facets of collective behaviour, and to insist that claims about when a public moves be held to a standard of validity appropriate to watching it in real time.</w:t>
      </w:r>
    </w:p>
    <w:p>
      <w:pPr>
        <w:spacing w:before="160" w:after="80"/>
      </w:pPr>
      <w:r>
        <w:rPr>
          <w:i/>
          <w:sz w:val="24"/>
        </w:rPr>
        <w:t>2.3 How people engage with a technological attribute</w:t>
      </w:r>
    </w:p>
    <w:p>
      <w:pPr>
        <w:jc w:val="both"/>
      </w:pPr>
      <w:r>
        <w:t>Some cultural events ask their audiences to care about a technological attribute. The IMAX/70mm presentation of The Odyssey is a clear case: the format is offered as a reason to attend, and so becomes something people must interpret, discuss and decide how much to value — a small act of collective adaptation to a technology. Whether audiences respond to that invitation with deeper engagement is an open question. Electronic word-of-mouth is known to move entertainment outcomes (Li et al., 2026), but the naive expectation that technological novelty automatically breeds a lively public sits uneasily with evidence that reach and networked engagement are distinct (Goel et al., 2016) and that being noticed is not the same as being talked about (Zhang et al., 2026). We therefore treat how people engage with the format-innovation framing as an empirical, causal question about audience behaviour rather than an assumption about the technology.</w:t>
      </w:r>
    </w:p>
    <w:p>
      <w:pPr>
        <w:spacing w:before="160" w:after="80"/>
      </w:pPr>
      <w:r>
        <w:rPr>
          <w:i/>
          <w:sz w:val="24"/>
        </w:rPr>
        <w:t>2.4 Anytime-valid inference and sequential change detection</w:t>
      </w:r>
    </w:p>
    <w:p>
      <w:pPr>
        <w:jc w:val="both"/>
      </w:pPr>
      <w:r>
        <w:t>The methodological core of the paper draws on a rapidly maturing body of work on game-theoretic statistics and safe, anytime-valid inference (Ramdas et al., 2023; Grünwald et al., 2024). The central objects are e-values and their sequential counterparts, test martingales, which quantify evidence against a null in a way that remains valid under optional stopping and continuous monitoring (Vovk and Wang, 2021; Shafer, 2021; Waudby-Smith and Ramdas, 2024). Time-uniform confidence sequences (Howard et al., 2021) and e-value-based multiple-testing procedures (Wang and Ramdas, 2022) extend the same logic, and the framework is being actively developed for the unknown-variance, regression and Monte-Carlo settings (Wang and Ramdas, 2025; Lindon et al., 2026; Fischer et al., 2026; Martin, 2026). For change detection specifically, e-detectors provide a nonparametric route to sequential change-point identification with time-uniform guarantees (Shin et al., 2023), connecting classical Shiryaev-Roberts procedures to the e-process view. Despite this momentum in statistics, anytime-valid methods remain almost unknown in internet and social-media research on audience behaviour, where fixed-window comparisons still dominate. Bringing them to bear on how publics collectively mobilise is the paper's principal methodological move.</w:t>
      </w:r>
    </w:p>
    <w:p>
      <w:pPr>
        <w:jc w:val="both"/>
      </w:pPr>
      <w:r>
        <w:t>Two further tools support robustness. Conformal prediction offers distribution-free predictive intervals (Angelopoulos and Bates, 2023; Vovk et al., 2022), with adaptive variants that maintain coverage under the distribution shift endemic to event series (Gibbs et al., 2025; Angelopoulos et al., 2023; Jun and Ohn, 2026; Sousa et al., 2024). For structural comparison we draw on community detection (Newman, 2006; Blondel et al., 2008; Traag et al., 2019) and graph representation learning (Wu et al., 2021; Zhou et al., 2020), including recent work bridging graph learning and conformal guarantees (Akansha, 2026).</w:t>
      </w:r>
    </w:p>
    <w:p>
      <w:pPr>
        <w:spacing w:before="240" w:after="120"/>
      </w:pPr>
      <w:r>
        <w:rPr>
          <w:b/>
          <w:sz w:val="26"/>
        </w:rPr>
        <w:t>3. Research questions</w:t>
      </w:r>
    </w:p>
    <w:p>
      <w:pPr>
        <w:jc w:val="both"/>
      </w:pPr>
      <w:r>
        <w:t>Bringing the substantive and methodological strands together, the study addresses three questions:</w:t>
      </w:r>
    </w:p>
    <w:p>
      <w:pPr>
        <w:jc w:val="both"/>
      </w:pPr>
      <w:r>
        <w:t>RQ1 (how publics organise). Do audiences assembling around a technology-mediated cultural event organise into a systematically different kind of public — more or less fragmented into interpretive communities, more or less centralised — than those gathering around a non-technological mega-event?</w:t>
      </w:r>
    </w:p>
    <w:p>
      <w:pPr>
        <w:jc w:val="both"/>
      </w:pPr>
      <w:r>
        <w:t>RQ2 (when publics mobilise). Can the moment a public collectively mobilises be identified in real time, with error guarantees that survive continuous observation, faster and more reliably than the fixed-window comparisons analysts habitually use?</w:t>
      </w:r>
    </w:p>
    <w:p>
      <w:pPr>
        <w:jc w:val="both"/>
      </w:pPr>
      <w:r>
        <w:t>RQ3 (how a technological attribute shapes engagement). Controlling for the reach an item would attract anyway, does inviting audiences to care about the format innovation deepen the networked conversation among them?</w:t>
      </w:r>
    </w:p>
    <w:p>
      <w:pPr>
        <w:spacing w:before="240" w:after="120"/>
      </w:pPr>
      <w:r>
        <w:rPr>
          <w:b/>
          <w:sz w:val="26"/>
        </w:rPr>
        <w:t>4. Methodology</w:t>
      </w:r>
    </w:p>
    <w:p>
      <w:pPr>
        <w:spacing w:before="160" w:after="80"/>
      </w:pPr>
      <w:r>
        <w:rPr>
          <w:i/>
          <w:sz w:val="24"/>
        </w:rPr>
        <w:t>4.1 Research design and cases</w:t>
      </w:r>
    </w:p>
    <w:p>
      <w:pPr>
        <w:jc w:val="both"/>
      </w:pPr>
      <w:r>
        <w:t>The design is a comparative, observational study of two contemporaneous events observed through the same instrument. The Odyssey (theatrical release 17 July 2026) represents a technology-mediated cultural event; the FIFA World Cup 2026 (opening 11 June 2026) represents a non-technological mega-event of comparable global scale. For each event we observe a six-week window centred on the anchor date and analyse the public commentary it generates on YouTube. The paired design holds constant the platform, the observation instrument and the calendar period, isolating the events' differing natures as the object of comparison.</w:t>
      </w:r>
    </w:p>
    <w:p>
      <w:pPr>
        <w:spacing w:before="160" w:after="80"/>
      </w:pPr>
      <w:r>
        <w:rPr>
          <w:i/>
          <w:sz w:val="24"/>
        </w:rPr>
        <w:t>4.2 Data collection, ethics and reproducibility</w:t>
      </w:r>
    </w:p>
    <w:p>
      <w:pPr>
        <w:jc w:val="both"/>
      </w:pPr>
      <w:r>
        <w:t>Data were collected through the YouTube Data API v3 using a seed-driven, quota-aware procedure. Because broad recurring keyword search is expensive against the daily quota, collection seeds from a curated set of queries per event, freezes the resolved video identifiers into a reproducible sampling frame, and then expands only through low-cost endpoints; every call is metered against a documented per-endpoint budget and collection halts explicitly rather than truncating silently. The resulting corpus comprises 113,887 comments across 140 videos and two events (Table I). All parameters defining the sampling frame and analysis are held in a single version-controlled configuration, consistent with open-science expectations (Nosek et al., 2015).</w:t>
      </w:r>
    </w:p>
    <w:p>
      <w:pPr>
        <w:jc w:val="both"/>
      </w:pPr>
      <w:r>
        <w:t>Ethical handling follows the principle that public availability does not by itself confer consent to scrutiny of identifiable individuals (Zimmer, 2010). Commenter identities are anonymised at the moment of writing using a salted cryptographic digest whose salt is ephemeral and never stored, so the retained dataset contains only anonymised network nodes; no verbatim comments are stored or reported, and analysis proceeds entirely at the level of aggregate network and time-series statistics. This netnographic stance (Kozinets, 2002) preserves analytical value while minimising re-identification risk.</w:t>
      </w:r>
    </w:p>
    <w:p>
      <w:pPr>
        <w:spacing w:before="160" w:after="80"/>
      </w:pPr>
      <w:r>
        <w:rPr>
          <w:i/>
          <w:sz w:val="24"/>
        </w:rPr>
        <w:t>4.3 Network construction</w:t>
      </w:r>
    </w:p>
    <w:p>
      <w:pPr>
        <w:jc w:val="both"/>
      </w:pPr>
      <w:r>
        <w:t>For each event we build a co-commenter (co-participation) network in which nodes are anonymised commenters and an undirected edge links two commenters who both commented on at least two shared videos within the window, weighted by the number of shared videos. Requiring two shared videos isolates a meaningful cross-video engagement backbone from the single-video majority and is computed exactly from the sparse commenter-by-video incidence matrix, scaling to tens of thousands of commenters. In parallel we construct a sequence of daily snapshots and derive graph-level time series — engagement velocity (comments per day), new-commenter arrival and daily modularity — that feed the sequential monitor.</w:t>
      </w:r>
    </w:p>
    <w:p>
      <w:pPr>
        <w:spacing w:before="160" w:after="80"/>
      </w:pPr>
      <w:r>
        <w:rPr>
          <w:i/>
          <w:sz w:val="24"/>
        </w:rPr>
        <w:t>4.4 Structural comparison (RQ1)</w:t>
      </w:r>
    </w:p>
    <w:p>
      <w:pPr>
        <w:jc w:val="both"/>
      </w:pPr>
      <w:r>
        <w:t>Networks are profiled with interpretable descriptors: modularity and the number of communities from greedy modularity optimisation (Newman, 2006; Blondel et al., 2008; Traag et al., 2019), a core-periphery coefficient (the association between degree and k-core number), degree assortativity, clustering and bridge prevalence. To complement these we compute a compact graph-level embedding via an untrained graph-convolutional encoder — node structural features propagated through the symmetric-normalised adjacency operator and pooled — an established, label-free structural summariser consistent with the graph-representation-learning literature (Wu et al., 2021; Zhou et al., 2020), together with the Laplacian spectrum as a permutation-free graph distance.</w:t>
      </w:r>
    </w:p>
    <w:p>
      <w:pPr>
        <w:spacing w:before="160" w:after="80"/>
      </w:pPr>
      <w:r>
        <w:rPr>
          <w:i/>
          <w:sz w:val="24"/>
        </w:rPr>
        <w:t>4.5 Anytime-valid detection (RQ2)</w:t>
      </w:r>
    </w:p>
    <w:p>
      <w:pPr>
        <w:jc w:val="both"/>
      </w:pPr>
      <w:r>
        <w:t>The monitored signal is daily engagement velocity. We treat detection as a sequential test of the null that the rate has not increased since a burn-in baseline. For a grid of rate multipliers theta &gt; 1, the per-day likelihood ratio of an elevated- against baseline-rate model is an e-value with unit expectation under the null; the running product over days is a non-negative test martingale, and averaging over the grid (the method of mixtures) covers an unknown effect size while preserving the martingale property. By Ville's inequality the probability that this mixture ever exceeds 1/alpha under the null is at most alpha, so raising an alarm the first time it does gives anytime-valid Type-I control under arbitrary continuous monitoring (Ramdas et al., 2023; Vovk and Wang, 2021). We complement the martingale with a Shiryaev-Roberts e-detector, computed in log-space for numerical stability, which sums evidence over all candidate change points for fast detection (Shin et al., 2023).</w:t>
      </w:r>
    </w:p>
    <w:p>
      <w:pPr>
        <w:jc w:val="both"/>
      </w:pPr>
      <w:r>
        <w:t>Social-media counts are heavily overdispersed, which violates the Poisson model underlying the simplest e-value. We therefore derive an overdispersion-robust variant using negative-binomial e-values, with the dispersion estimated from the burn-in and shrunk conservatively to guard against under-estimation from a short baseline; as the dispersion grows the variant reduces to the Poisson e-process. The benchmark is the naive practice the paper argues against: a two-sample rate test recomputed every day, raising an alarm the first time p &lt; alpha — continuous peeking without correction. Because a single real series cannot establish error control, we quantify Type-I error and power through a 2,000-replication Monte-Carlo study under Poisson and overdispersed nulls and under genuine shifts of varying size, using a baseline rate calibrated to the observed data.</w:t>
      </w:r>
    </w:p>
    <w:p>
      <w:pPr>
        <w:spacing w:before="160" w:after="80"/>
      </w:pPr>
      <w:r>
        <w:rPr>
          <w:i/>
          <w:sz w:val="24"/>
        </w:rPr>
        <w:t>4.6 Causal estimation (RQ3)</w:t>
      </w:r>
    </w:p>
    <w:p>
      <w:pPr>
        <w:jc w:val="both"/>
      </w:pPr>
      <w:r>
        <w:t>To ask whether format-innovation framing amplifies diffusion we treat each Odyssey video as a unit, with treatment indicating that its title or description foregrounds the format narrative (IMAX, 70mm, large-format projection). Outcomes are cascade breadth (distinct commenters), volume (total comments) and reply ratio; reply-chain depth is excluded because YouTube's flat reply model caps it structurally. Confounding by channel size, reach and timing is addressed by propensity-score matching (Rosenbaum and Rubin, 1983; Stuart, 2010; Austin, 2011): a logistic propensity model on log subscribers, channel size, upload hour, days from the anchor and prior views, followed by one-to-one nearest-neighbour matching on the logit propensity within a caliper, with the average treatment effect on the treated reported alongside a paired bootstrap interval and standardised-mean-difference balance checks.</w:t>
      </w:r>
    </w:p>
    <w:p>
      <w:pPr>
        <w:spacing w:before="160" w:after="80"/>
      </w:pPr>
      <w:r>
        <w:rPr>
          <w:i/>
          <w:sz w:val="24"/>
        </w:rPr>
        <w:t>4.7 Uncertainty quantification</w:t>
      </w:r>
    </w:p>
    <w:p>
      <w:pPr>
        <w:jc w:val="both"/>
      </w:pPr>
      <w:r>
        <w:t>As a robustness layer we quantify forecast uncertainty for engagement velocity using conformal prediction (Angelopoulos and Bates, 2023). We report both split-conformal intervals and adaptive conformal inference, the latter adjusting the effective miscoverage level online to maintain coverage under the distribution shift that event series exhibit (Gibbs et al., 2025; Jun and Ohn, 2026).</w:t>
      </w:r>
    </w:p>
    <w:p>
      <w:pPr>
        <w:spacing w:before="240" w:after="120"/>
      </w:pPr>
      <w:r>
        <w:rPr>
          <w:b/>
          <w:sz w:val="26"/>
        </w:rPr>
        <w:t>5. Results</w:t>
      </w:r>
    </w:p>
    <w:p>
      <w:pPr>
        <w:spacing w:before="160" w:after="80"/>
      </w:pPr>
      <w:r>
        <w:rPr>
          <w:i/>
          <w:sz w:val="24"/>
        </w:rPr>
        <w:t>5.1 The two attention landscapes</w:t>
      </w:r>
    </w:p>
    <w:p>
      <w:pPr>
        <w:jc w:val="both"/>
      </w:pPr>
      <w:r>
        <w:t>The corpus contains 113,887 anonymised comments: 71,020 from 53,505 distinct commenters across 70 Odyssey videos, and 42,867 from 36,900 commenters across 70 World Cup videos (Table I). Both events generated substantial daily commentary, but their temporal shapes differ. The Odyssey series rises through a protracted pre-release build-up as successive trailers circulate, cresting at over nine thousand comments a day at release; the World Cup series stays flat through the group stage before erupting into the knockout rounds (Figure 1).</w:t>
      </w:r>
    </w:p>
    <w:p>
      <w:pPr>
        <w:spacing w:before="160" w:after="80"/>
      </w:pPr>
      <w:r>
        <w:rPr>
          <w:i/>
          <w:sz w:val="24"/>
        </w:rPr>
        <w:t>5.2 Structural signatures differ sharply (RQ1)</w:t>
      </w:r>
    </w:p>
    <w:p>
      <w:pPr>
        <w:jc w:val="both"/>
      </w:pPr>
      <w:r>
        <w:t>The two networks are organised very differently (Table II). The Odyssey backbone is larger and far more modular (modularity 0.71 across 41 communities) than the World Cup backbone (modularity 0.51, 20 communities), and markedly more core-peripheral (core-periphery coefficient 0.87 versus 0.66). Their degree assortativity has opposite sign: the film network is assortative (0.23), with engaged commenters connecting to one another across a rich ecology of trailers, reactions and language-specific releases, whereas the sporting network is disassortative (-0.10), closer to a broadcast-driven hub-and-spoke shape organised around a few dominant match videos. The graph-level embedding and Laplacian spectra register the same gap (embedding distance 0.23, spectral distance 0.42). Substantively, the technology-mediated event fosters a more differentiated, community-structured public — many overlapping interpretive sub-audiences around a common core — while the sporting mega-event mobilises a broader but flatter, more centralised one.</w:t>
      </w:r>
    </w:p>
    <w:p>
      <w:pPr>
        <w:jc w:val="center"/>
      </w:pPr>
      <w:r>
        <w:drawing>
          <wp:inline xmlns:a="http://schemas.openxmlformats.org/drawingml/2006/main" xmlns:pic="http://schemas.openxmlformats.org/drawingml/2006/picture">
            <wp:extent cx="5486400" cy="2430684"/>
            <wp:docPr id="1" name="Picture 1"/>
            <wp:cNvGraphicFramePr>
              <a:graphicFrameLocks noChangeAspect="1"/>
            </wp:cNvGraphicFramePr>
            <a:graphic>
              <a:graphicData uri="http://schemas.openxmlformats.org/drawingml/2006/picture">
                <pic:pic>
                  <pic:nvPicPr>
                    <pic:cNvPr id="0" name="fig3_structure.png"/>
                    <pic:cNvPicPr/>
                  </pic:nvPicPr>
                  <pic:blipFill>
                    <a:blip r:embed="rId9"/>
                    <a:stretch>
                      <a:fillRect/>
                    </a:stretch>
                  </pic:blipFill>
                  <pic:spPr>
                    <a:xfrm>
                      <a:off x="0" y="0"/>
                      <a:ext cx="5486400" cy="2430684"/>
                    </a:xfrm>
                    <a:prstGeom prst="rect"/>
                  </pic:spPr>
                </pic:pic>
              </a:graphicData>
            </a:graphic>
          </wp:inline>
        </w:drawing>
      </w:r>
    </w:p>
    <w:p>
      <w:pPr>
        <w:jc w:val="center"/>
      </w:pPr>
      <w:r>
        <w:rPr>
          <w:i/>
          <w:sz w:val="20"/>
        </w:rPr>
        <w:t>Figure 1. Structural comparison of the two co-commenter networks. The film-release network is more modular, more core-peripheral and assortative; the sporting network is flatter and disassortative.</w:t>
      </w:r>
    </w:p>
    <w:p>
      <w:pPr>
        <w:spacing w:before="160" w:after="80"/>
      </w:pPr>
      <w:r>
        <w:rPr>
          <w:i/>
          <w:sz w:val="24"/>
        </w:rPr>
        <w:t>5.3 Detecting acceleration: anytime-valid versus fixed-window (RQ2)</w:t>
      </w:r>
    </w:p>
    <w:p>
      <w:pPr>
        <w:jc w:val="both"/>
      </w:pPr>
      <w:r>
        <w:t>On the real series, the overdispersion-robust e-process raised its alarm for The Odyssey on 2026-07-03, fully 14 days before the release anchor — catching the pre-release build-up as it began — and for the World Cup on 2026-06-06, ahead of the knockout surge (Figure 2). The value of the robust variant is visible in the raw data: the naive Poisson e-process, mis-specified for the heavy-tailed Odyssey series (estimated dispersion r = 2.0), fired on the very first day, an obvious artefact, while the fixed-window monitor raised an alarm for the World Cup three weeks early, during the flat group stage — a textbook false positive.</w:t>
      </w:r>
    </w:p>
    <w:p>
      <w:pPr>
        <w:jc w:val="both"/>
      </w:pPr>
      <w:r>
        <w:t>That single-series intuition is confirmed decisively by the Monte-Carlo study (Table III; Figure 3). Under a clean null with no change, the mixture e-process falsely alarms with probability 0.01 (Poisson) and 0.00 (robust), at or below the nominal 0.05, whereas the repeatedly-peeked fixed-window test alarms with probability 0.59 — more than a tenfold inflation. Under an overdispersed null the naive Poisson e-process itself breaks down (0.24), but the negative-binomial variant restores control (0.08) while the fixed-window test alarms essentially always (1.00). Crucially, this validity does not come at the price of sensitivity. Against a genuine 2.5-fold shift the robust e-process detects with power 1.00 versus 0.71 for the fixed window; even against a harder overdispersed two-fold shift it retains power 0.55 while the fixed window collapses to 0.07. The fixed-window test is thus worse on both counts — it both cries wolf and misses the wolf — whereas the e-process is simultaneously valid and powerful.</w:t>
      </w:r>
    </w:p>
    <w:p>
      <w:pPr>
        <w:jc w:val="both"/>
      </w:pPr>
      <w:r>
        <w:t>The advantage also shows in how quickly genuine change is caught. Averaged over replications, against a clean 2.5-fold shift the robust e-process signals within about 1.8 days of the true change point and the Shiryaev-Roberts e-detector almost immediately, both while holding pre-change false alarms near zero; the fixed-window test, by contrast, buys any apparent speed with a pre-change false-alarm rate near 0.29. Speed that comes from crying wolf is not detection. The e-process is the only monitor here that is fast, sensitive and valid at once — the combination that makes real-time action defensible rather than reckless.</w:t>
      </w:r>
    </w:p>
    <w:p>
      <w:pPr>
        <w:jc w:val="center"/>
      </w:pPr>
      <w:r>
        <w:drawing>
          <wp:inline xmlns:a="http://schemas.openxmlformats.org/drawingml/2006/main" xmlns:pic="http://schemas.openxmlformats.org/drawingml/2006/picture">
            <wp:extent cx="5486400" cy="2034283"/>
            <wp:docPr id="2" name="Picture 2"/>
            <wp:cNvGraphicFramePr>
              <a:graphicFrameLocks noChangeAspect="1"/>
            </wp:cNvGraphicFramePr>
            <a:graphic>
              <a:graphicData uri="http://schemas.openxmlformats.org/drawingml/2006/picture">
                <pic:pic>
                  <pic:nvPicPr>
                    <pic:cNvPr id="0" name="fig1_velocity.png"/>
                    <pic:cNvPicPr/>
                  </pic:nvPicPr>
                  <pic:blipFill>
                    <a:blip r:embed="rId10"/>
                    <a:stretch>
                      <a:fillRect/>
                    </a:stretch>
                  </pic:blipFill>
                  <pic:spPr>
                    <a:xfrm>
                      <a:off x="0" y="0"/>
                      <a:ext cx="5486400" cy="2034283"/>
                    </a:xfrm>
                    <a:prstGeom prst="rect"/>
                  </pic:spPr>
                </pic:pic>
              </a:graphicData>
            </a:graphic>
          </wp:inline>
        </w:drawing>
      </w:r>
    </w:p>
    <w:p>
      <w:pPr>
        <w:jc w:val="center"/>
      </w:pPr>
      <w:r>
        <w:rPr>
          <w:i/>
          <w:sz w:val="20"/>
        </w:rPr>
        <w:t>Figure 2. Daily engagement velocity with detection markers. The e-process flags genuine acceleration ahead of each event anchor; for the World Cup the fixed-window monitor false-alarms weeks early during the flat baseline.</w:t>
      </w:r>
    </w:p>
    <w:p>
      <w:pPr>
        <w:jc w:val="center"/>
      </w:pPr>
      <w:r>
        <w:drawing>
          <wp:inline xmlns:a="http://schemas.openxmlformats.org/drawingml/2006/main" xmlns:pic="http://schemas.openxmlformats.org/drawingml/2006/picture">
            <wp:extent cx="5486400" cy="2159540"/>
            <wp:docPr id="3" name="Picture 3"/>
            <wp:cNvGraphicFramePr>
              <a:graphicFrameLocks noChangeAspect="1"/>
            </wp:cNvGraphicFramePr>
            <a:graphic>
              <a:graphicData uri="http://schemas.openxmlformats.org/drawingml/2006/picture">
                <pic:pic>
                  <pic:nvPicPr>
                    <pic:cNvPr id="0" name="fig2_error_control.png"/>
                    <pic:cNvPicPr/>
                  </pic:nvPicPr>
                  <pic:blipFill>
                    <a:blip r:embed="rId11"/>
                    <a:stretch>
                      <a:fillRect/>
                    </a:stretch>
                  </pic:blipFill>
                  <pic:spPr>
                    <a:xfrm>
                      <a:off x="0" y="0"/>
                      <a:ext cx="5486400" cy="2159540"/>
                    </a:xfrm>
                    <a:prstGeom prst="rect"/>
                  </pic:spPr>
                </pic:pic>
              </a:graphicData>
            </a:graphic>
          </wp:inline>
        </w:drawing>
      </w:r>
    </w:p>
    <w:p>
      <w:pPr>
        <w:jc w:val="center"/>
      </w:pPr>
      <w:r>
        <w:rPr>
          <w:i/>
          <w:sz w:val="20"/>
        </w:rPr>
        <w:t>Figure 3. Monte-Carlo validation (2,000 replications). (a) False-alarm probability under continuous monitoring: the NB-robust e-process hugs the nominal 0.05 line even under overdispersion, while the fixed-window test reaches 1.0. (b) Detection power under genuine shifts: the e-processes dominate the fixed-window test.</w:t>
      </w:r>
    </w:p>
    <w:p>
      <w:pPr>
        <w:spacing w:before="160" w:after="80"/>
      </w:pPr>
      <w:r>
        <w:rPr>
          <w:i/>
          <w:sz w:val="24"/>
        </w:rPr>
        <w:t>5.4 Does format-innovation framing amplify diffusion? (RQ3)</w:t>
      </w:r>
    </w:p>
    <w:p>
      <w:pPr>
        <w:jc w:val="both"/>
      </w:pPr>
      <w:r>
        <w:t>Of the 70 Odyssey videos, 34 foreground the format-innovation narrative. Contrary to the intuition that technological novelty breeds engagement, matching on channel size, reach and timing yields a negative average treatment effect on cascade breadth (ATT = -300 distinct commenters, 95% CI [-562, -44]), with volume also negative though not statistically distinguishable from zero and reply ratio slightly positive (Table IV). In other words, once reach is held constant, format-framed videos — largely official promotional uploads — attract somewhat narrower networked participation than comparable non-framed content, much of which is reaction and commentary that invites conversation. The technology attribute drives broadcast reach without a matching gain in cross-commenter diffusion, echoing the broader distinction between reach and virality (Goel et al., 2016) and between attention and engagement (Zhang et al., 2026).</w:t>
      </w:r>
    </w:p>
    <w:p>
      <w:pPr>
        <w:spacing w:before="160" w:after="80"/>
      </w:pPr>
      <w:r>
        <w:rPr>
          <w:i/>
          <w:sz w:val="24"/>
        </w:rPr>
        <w:t>5.5 Robustness: calibrated forecast uncertainty</w:t>
      </w:r>
    </w:p>
    <w:p>
      <w:pPr>
        <w:jc w:val="both"/>
      </w:pPr>
      <w:r>
        <w:t>Conformal intervals for engagement velocity behave as their theory predicts. On the smoothly accelerating Odyssey series both split and adaptive conformal achieve coverage of 0.88 against a 0.90 target. On the World Cup series, whose abrupt knockout-stage break violates exchangeability, split conformal under-covers badly (0.25) while adaptive conformal recovers much of the shortfall (0.61). That even adaptive coverage falls short over so abrupt a break is itself instructive: it is precisely the regime change that defeats smoothness-based prediction that the change-point layer is designed to detect, underscoring why the two methods are complementary.</w:t>
      </w:r>
    </w:p>
    <w:p>
      <w:pPr>
        <w:jc w:val="center"/>
      </w:pPr>
      <w:r>
        <w:drawing>
          <wp:inline xmlns:a="http://schemas.openxmlformats.org/drawingml/2006/main" xmlns:pic="http://schemas.openxmlformats.org/drawingml/2006/picture">
            <wp:extent cx="5486400" cy="2034283"/>
            <wp:docPr id="4" name="Picture 4"/>
            <wp:cNvGraphicFramePr>
              <a:graphicFrameLocks noChangeAspect="1"/>
            </wp:cNvGraphicFramePr>
            <a:graphic>
              <a:graphicData uri="http://schemas.openxmlformats.org/drawingml/2006/picture">
                <pic:pic>
                  <pic:nvPicPr>
                    <pic:cNvPr id="0" name="fig4_causal_conformal.png"/>
                    <pic:cNvPicPr/>
                  </pic:nvPicPr>
                  <pic:blipFill>
                    <a:blip r:embed="rId12"/>
                    <a:stretch>
                      <a:fillRect/>
                    </a:stretch>
                  </pic:blipFill>
                  <pic:spPr>
                    <a:xfrm>
                      <a:off x="0" y="0"/>
                      <a:ext cx="5486400" cy="2034283"/>
                    </a:xfrm>
                    <a:prstGeom prst="rect"/>
                  </pic:spPr>
                </pic:pic>
              </a:graphicData>
            </a:graphic>
          </wp:inline>
        </w:drawing>
      </w:r>
    </w:p>
    <w:p>
      <w:pPr>
        <w:jc w:val="center"/>
      </w:pPr>
      <w:r>
        <w:rPr>
          <w:i/>
          <w:sz w:val="20"/>
        </w:rPr>
        <w:t>Figure 4. (a) Average treatment effect of format-innovation framing on diffusion outcomes (propensity-score matched, with bootstrap intervals); breadth is significantly negative. (b) Conformal coverage against the 0.90 target; adaptive conformal recovers coverage on the abrupt World Cup break.</w:t>
      </w:r>
    </w:p>
    <w:p>
      <w:pPr>
        <w:spacing w:before="240" w:after="120"/>
      </w:pPr>
      <w:r>
        <w:rPr>
          <w:b/>
          <w:sz w:val="26"/>
        </w:rPr>
        <w:t>6. Discussion</w:t>
      </w:r>
    </w:p>
    <w:p>
      <w:pPr>
        <w:spacing w:before="160" w:after="80"/>
      </w:pPr>
      <w:r>
        <w:rPr>
          <w:i/>
          <w:sz w:val="24"/>
        </w:rPr>
        <w:t>6.1 Two ways a public comes together</w:t>
      </w:r>
    </w:p>
    <w:p>
      <w:pPr>
        <w:jc w:val="both"/>
      </w:pPr>
      <w:r>
        <w:t>Read together, the results describe two contrasting ways that people come together around an event. The audience for the technology-mediated film assembled as a differentiated public: many interpretive communities — fans, sceptics, format enthusiasts, language-specific audiences — orbiting a shared core, a configuration well suited to sustained, cross-referential sensemaking, where participants read and answer one another. The sporting audience came together as a flatter, more centralised crowd organised around broadcast moments, reacting in parallel more than to each other. This is a finding about collective human behaviour: the same platform hosts qualitatively different publics depending on what has drawn people in. Yet the technological attribute that ostensibly distinguishes the film — its format — did not, on our evidence, lead audiences into a denser conversation. Inviting people to care about the technology attracted their eyes; it did not by itself knit them into a richer exchange. For a field concerned with how people collectively conceptualise and adapt to technology, this gap between being reached and choosing to converse is the substantive payoff: a technological hook functioned here as a broadcast signal more than as a social multiplier.</w:t>
      </w:r>
    </w:p>
    <w:p>
      <w:pPr>
        <w:spacing w:before="160" w:after="80"/>
      </w:pPr>
      <w:r>
        <w:rPr>
          <w:i/>
          <w:sz w:val="24"/>
        </w:rPr>
        <w:t>6.2 Watching, not reconstructing</w:t>
      </w:r>
    </w:p>
    <w:p>
      <w:pPr>
        <w:jc w:val="both"/>
      </w:pPr>
      <w:r>
        <w:t>The methodological contribution is to make attention acceleration observable as it happens, with guarantees. Recasting 'when did the hype begin?' as a sequential test lets us monitor continuously and still control error — the very thing fixed-window practice cannot do. The Monte-Carlo evidence is unambiguous: the habitual approach of re-testing a growing series each day is not a mild approximation but a procedure whose false-alarm probability can approach certainty, and which is simultaneously underpowered against real change. The anytime-valid e-process removes this pathology, and the overdispersion-robust variant is not an optional refinement but a necessity for the heavy-tailed counts that audience data invariably produce. We regard the transfer of this toolkit into internet research on audience behaviour as the paper's most portable idea: wherever analysts monitor an accumulating trace of what people are doing and act on the first significant look, the same guarantees apply.</w:t>
      </w:r>
    </w:p>
    <w:p>
      <w:pPr>
        <w:spacing w:before="160" w:after="80"/>
      </w:pPr>
      <w:r>
        <w:rPr>
          <w:i/>
          <w:sz w:val="24"/>
        </w:rPr>
        <w:t>6.3 Contributions to understanding online publics</w:t>
      </w:r>
    </w:p>
    <w:p>
      <w:pPr>
        <w:jc w:val="both"/>
      </w:pPr>
      <w:r>
        <w:t>The paper contributes to the understanding of online collective behaviour in three ways. First, it advances an account of online publics in which the temporal onset and the network structure of collective attention are treated as coupled, jointly observable facets of how people behave, rather than as separate descriptive facts; the contrast between a modular, community-structured film public and a flat, broadcast-centred sporting one shows that the nature of the event people gather around leaves a legible imprint on how their collective sensemaking self-organises. Second, it refines the diffusion-of-innovations lens for online settings by distinguishing broadcast reach from networked conversation and showing empirically that a salient technology attribute can win the former without the latter — a caution against reading engagement metrics as evidence that people have genuinely adopted or formed community around a technology (Rogers, 2003; Goel et al., 2016). Third, and most transferably, it introduces anytime-valid inference as a stance for studying live collective behaviour: it reframes temporal claims about what audiences are doing as sequential hypotheses that must remain valid under the continuous observation that online data invite.</w:t>
      </w:r>
    </w:p>
    <w:p>
      <w:pPr>
        <w:spacing w:before="160" w:after="80"/>
      </w:pPr>
      <w:r>
        <w:rPr>
          <w:i/>
          <w:sz w:val="24"/>
        </w:rPr>
        <w:t>6.4 Implications for research and practice</w:t>
      </w:r>
    </w:p>
    <w:p>
      <w:pPr>
        <w:jc w:val="both"/>
      </w:pPr>
      <w:r>
        <w:t>For research, the study illustrates how anytime-valid inference can be woven into the data-driven study of online behaviour (Berente et al., 2019), turning the continuous traces people leave into monitored hypotheses rather than post-hoc comparisons. For practice, an e-process monitor offers platform teams, studios and broadcasters an early, trustworthy signal that engagement has genuinely turned — days before a release in our data — without the false alarms that erode confidence in dashboards. The reach-versus-diffusion finding cautions communicators against equating the visibility of a technological hook with the depth of the conversation it seeds.</w:t>
      </w:r>
    </w:p>
    <w:p>
      <w:pPr>
        <w:jc w:val="both"/>
      </w:pPr>
      <w:r>
        <w:t>The social implications extend beyond marketing. Trustworthy, early detection of collective-attention shifts is double-edged: the same monitor that helps a community team prepare moderation capacity for an incoming surge could be turned to amplifying manufactured hype or to acting on nascent movements before participants themselves recognise them. Anchoring such monitoring in anytime-valid guarantees at least makes the evidentiary basis of any action explicit and auditable rather than the product of undisclosed repeated testing; pairing it, as we do, with anonymisation and aggregate-only analysis models a more accountable practice for observing public behaviour at scale (Zimmer, 2010; Nosek et al., 2015).</w:t>
      </w:r>
    </w:p>
    <w:p>
      <w:pPr>
        <w:spacing w:before="160" w:after="80"/>
      </w:pPr>
      <w:r>
        <w:rPr>
          <w:i/>
          <w:sz w:val="24"/>
        </w:rPr>
        <w:t>6.5 Limitations and future work</w:t>
      </w:r>
    </w:p>
    <w:p>
      <w:pPr>
        <w:jc w:val="both"/>
      </w:pPr>
      <w:r>
        <w:t>Several limitations bound the claims. The corpus, though large, is a bounded sample per video and is drawn from a curated seed frame; comment collection reflects YouTube's own ordering, and the World Cup baseline is comparatively sparse. The causal analysis rests on observational matching with a modest number of treated units and cannot rule out unobserved confounding, and the treatment — format framing in titles and descriptions — is a proxy for a richer narrative construct. The two-case design isolates the technology dimension analytically but not experimentally; replication across more events would strengthen external validity. Methodologically, the conformal layer struggles with abrupt breaks, and the e-process baseline is estimated from a short burn-in. Promising extensions include multivariate e-detectors that monitor structure and velocity jointly, e-value-based causal inference in the spirit of Lindon et al. (2026), and adaptive conformal designs tuned for regime change (Jun and Ohn, 2026).</w:t>
      </w:r>
    </w:p>
    <w:p>
      <w:pPr>
        <w:spacing w:before="240" w:after="120"/>
      </w:pPr>
      <w:r>
        <w:rPr>
          <w:b/>
          <w:sz w:val="26"/>
        </w:rPr>
        <w:t>7. Conclusion</w:t>
      </w:r>
    </w:p>
    <w:p>
      <w:pPr>
        <w:jc w:val="both"/>
      </w:pPr>
      <w:r>
        <w:t>How a public turns toward an event is usually narrated after the fact. This paper shows that it need not be, and that the turning itself is worth studying. By observing the people who gathered around two contemporaneous 2026 mega-events through the commentary they left on YouTube, it establishes that audiences drawn by a technology-mediated cultural event assemble into a more differentiated, community-structured public than those drawn by a sporting one; that inviting people to care about a technological format wins their attention without deepening their conversation; and — most distinctively — that the moment a public collectively mobilises can be recognised in real time with guarantees that survive continuous looking, where conventional practice fails on both validity and power. The accompanying observatory is fully reproducible and ethics-preserving. Shifting the question from 'what happened' to 'are people turning now, and can we trust the signal' opens a broadly applicable path for studying the collective human dynamics of online attention.</w:t>
      </w:r>
    </w:p>
    <w:p>
      <w:pPr>
        <w:spacing w:before="240" w:after="120"/>
      </w:pPr>
      <w:r>
        <w:rPr>
          <w:b/>
          <w:sz w:val="26"/>
        </w:rPr>
        <w:t>References</w:t>
      </w:r>
    </w:p>
    <w:p>
      <w:pPr>
        <w:spacing w:after="120"/>
        <w:ind w:left="720" w:hanging="720"/>
        <w:jc w:val="both"/>
      </w:pPr>
      <w:r>
        <w:t>Akansha, S. (2026), "CondSR: conditional shift-robust conformal prediction for graph neural networks", Soft Computing, Vol. 30 No. 5, pp.3543-3556, doi: 10.1007/s00500-025-11152-3.</w:t>
      </w:r>
    </w:p>
    <w:p>
      <w:pPr>
        <w:spacing w:after="120"/>
        <w:ind w:left="720" w:hanging="720"/>
        <w:jc w:val="both"/>
      </w:pPr>
      <w:r>
        <w:t>Angelopoulos, A.N. and Bates, S. (2023), "Conformal prediction: a gentle introduction", Foundations and Trends in Machine Learning, Vol. 16 No. 4, pp.494-591, doi: 10.1561/2200000101.</w:t>
      </w:r>
    </w:p>
    <w:p>
      <w:pPr>
        <w:spacing w:after="120"/>
        <w:ind w:left="720" w:hanging="720"/>
        <w:jc w:val="both"/>
      </w:pPr>
      <w:r>
        <w:t>Angelopoulos, A., Candès, E. and Tibshirani, R. (2023), "Conformal PID control for time series prediction", Advances in Neural Information Processing Systems, Vol. 36, pp.23047-23074, doi: 10.52202/075280-1000.</w:t>
      </w:r>
    </w:p>
    <w:p>
      <w:pPr>
        <w:spacing w:after="120"/>
        <w:ind w:left="720" w:hanging="720"/>
        <w:jc w:val="both"/>
      </w:pPr>
      <w:r>
        <w:t>Austin, P.C. (2011), "An introduction to propensity score methods for reducing the effects of confounding in observational studies", Multivariate Behavioral Research, Vol. 46 No. 3, pp.399-424, doi: 10.1080/00273171.2011.568786.</w:t>
      </w:r>
    </w:p>
    <w:p>
      <w:pPr>
        <w:spacing w:after="120"/>
        <w:ind w:left="720" w:hanging="720"/>
        <w:jc w:val="both"/>
      </w:pPr>
      <w:r>
        <w:t>Berente, N., Seidel, S. and Safadi, H. (2019), "Research commentary—data-driven computationally intensive theory development", Information Systems Research, Vol. 30 No. 1, pp.50-64, doi: 10.1287/isre.2018.0774.</w:t>
      </w:r>
    </w:p>
    <w:p>
      <w:pPr>
        <w:spacing w:after="120"/>
        <w:ind w:left="720" w:hanging="720"/>
        <w:jc w:val="both"/>
      </w:pPr>
      <w:r>
        <w:t>Blondel, V.D., Guillaume, J.-L., Lambiotte, R. and Lefebvre, E. (2008), "Fast unfolding of communities in large networks", Journal of Statistical Mechanics: Theory and Experiment, Vol. 2008 No. 10, P10008, doi: 10.1088/1742-5468/2008/10/P10008.</w:t>
      </w:r>
    </w:p>
    <w:p>
      <w:pPr>
        <w:spacing w:after="120"/>
        <w:ind w:left="720" w:hanging="720"/>
        <w:jc w:val="both"/>
      </w:pPr>
      <w:r>
        <w:t>Davis, F.D. (1989), "Perceived usefulness, perceived ease of use, and user acceptance of information technology", MIS Quarterly, Vol. 13 No. 3, pp.319-340, doi: 10.2307/249008.</w:t>
      </w:r>
    </w:p>
    <w:p>
      <w:pPr>
        <w:spacing w:after="120"/>
        <w:ind w:left="720" w:hanging="720"/>
        <w:jc w:val="both"/>
      </w:pPr>
      <w:r>
        <w:t>Elhajjar, S. and Itani, O.S. (2025), "Examining the impact of social media de-influencing on audiences", Internet Research, Vol. 36 No. 4, pp.1201-1221, doi: 10.1108/INTR-04-2024-0574.</w:t>
      </w:r>
    </w:p>
    <w:p>
      <w:pPr>
        <w:spacing w:after="120"/>
        <w:ind w:left="720" w:hanging="720"/>
        <w:jc w:val="both"/>
      </w:pPr>
      <w:r>
        <w:t>Fischer, L., Barry, T. and Ramdas, A. (2026), "Multiple testing with anytime-valid Monte Carlo p-values", Electronic Journal of Statistics, Vol. 20 No. 1, doi: 10.1214/26-ejs2514.</w:t>
      </w:r>
    </w:p>
    <w:p>
      <w:pPr>
        <w:spacing w:after="120"/>
        <w:ind w:left="720" w:hanging="720"/>
        <w:jc w:val="both"/>
      </w:pPr>
      <w:r>
        <w:t>Gibbs, I., Cherian, J.J. and Candès, E.J. (2025), "Conformal prediction with conditional guarantees", Journal of the Royal Statistical Society Series B: Statistical Methodology, Vol. 87 No. 4, pp.1100-1126, doi: 10.1093/jrsssb/qkaf008.</w:t>
      </w:r>
    </w:p>
    <w:p>
      <w:pPr>
        <w:spacing w:after="120"/>
        <w:ind w:left="720" w:hanging="720"/>
        <w:jc w:val="both"/>
      </w:pPr>
      <w:r>
        <w:t>Goel, S., Anderson, A., Hofman, J. and Watts, D.J. (2016), "The structural virality of online diffusion", Management Science, Vol. 62 No. 1, pp.180-196, doi: 10.1287/mnsc.2015.2158.</w:t>
      </w:r>
    </w:p>
    <w:p>
      <w:pPr>
        <w:spacing w:after="120"/>
        <w:ind w:left="720" w:hanging="720"/>
        <w:jc w:val="both"/>
      </w:pPr>
      <w:r>
        <w:t>Grünwald, P., de Heide, R. and Koolen, W. (2024), "Safe testing", Journal of the Royal Statistical Society Series B: Statistical Methodology, Vol. 86 No. 5, pp.1091-1128, doi: 10.1093/jrsssb/qkae011.</w:t>
      </w:r>
    </w:p>
    <w:p>
      <w:pPr>
        <w:spacing w:after="120"/>
        <w:ind w:left="720" w:hanging="720"/>
        <w:jc w:val="both"/>
      </w:pPr>
      <w:r>
        <w:t>Howard, S.R., Ramdas, A., McAuliffe, J. and Sekhon, J. (2021), "Time-uniform, nonparametric, nonasymptotic confidence sequences", The Annals of Statistics, Vol. 49 No. 2, pp.1055-1080, doi: 10.1214/20-aos1991.</w:t>
      </w:r>
    </w:p>
    <w:p>
      <w:pPr>
        <w:spacing w:after="120"/>
        <w:ind w:left="720" w:hanging="720"/>
        <w:jc w:val="both"/>
      </w:pPr>
      <w:r>
        <w:t>Ji, J.J., Hu, H. and Wei, S. (2023), "YouTube comments on gene-edited babies: what factors affect diverse opinions in comments?", Social Science Computer Review, Vol. 41 No. 4, pp.1420-1437, doi: 10.1177/08944393211073164.</w:t>
      </w:r>
    </w:p>
    <w:p>
      <w:pPr>
        <w:spacing w:after="120"/>
        <w:ind w:left="720" w:hanging="720"/>
        <w:jc w:val="both"/>
      </w:pPr>
      <w:r>
        <w:t>Jun, J. and Ohn, I. (2026), "Online conformal inference with retrospective adjustment for faster adaptation to distribution shift", Pattern Recognition, Vol. 180, 114406, doi: 10.1016/j.patcog.2026.114406.</w:t>
      </w:r>
    </w:p>
    <w:p>
      <w:pPr>
        <w:spacing w:after="120"/>
        <w:ind w:left="720" w:hanging="720"/>
        <w:jc w:val="both"/>
      </w:pPr>
      <w:r>
        <w:t>Kelly, D. and Burkell, J. (2025), "Resisting online manipulation: how teens perceive and respond to privacy dark patterns on social media", Internet Research, Vol. ahead-of-print No. ahead-of-print, doi: 10.1108/INTR-04-2024-0539.</w:t>
      </w:r>
    </w:p>
    <w:p>
      <w:pPr>
        <w:spacing w:after="120"/>
        <w:ind w:left="720" w:hanging="720"/>
        <w:jc w:val="both"/>
      </w:pPr>
      <w:r>
        <w:t>Kozinets, R.V. (2002), "The field behind the screen: using netnography for marketing research in online communities", Journal of Marketing Research, Vol. 39 No. 1, pp.61-72, doi: 10.1509/jmkr.39.1.61.18935.</w:t>
      </w:r>
    </w:p>
    <w:p>
      <w:pPr>
        <w:spacing w:after="120"/>
        <w:ind w:left="720" w:hanging="720"/>
        <w:jc w:val="both"/>
      </w:pPr>
      <w:r>
        <w:t>Li, L., He, Y., Liu, L. and Zhao, J. (2026), "The impact of multi-aspect electronic word-of-mouth on movie box office: an exploration study based on large language models", Decision Support Systems, Vol. 208, 114718, doi: 10.1016/j.dss.2026.114718.</w:t>
      </w:r>
    </w:p>
    <w:p>
      <w:pPr>
        <w:spacing w:after="120"/>
        <w:ind w:left="720" w:hanging="720"/>
        <w:jc w:val="both"/>
      </w:pPr>
      <w:r>
        <w:t>Lindon, M., Ham, D.W., Tingley, M. and Bojinov, I. (2026), "Anytime-valid inference in linear models with applications to regression-adjusted causal inference", Journal of the American Statistical Association, advance online publication, pp.1-27, doi: 10.1080/01621459.2026.2692052.</w:t>
      </w:r>
    </w:p>
    <w:p>
      <w:pPr>
        <w:spacing w:after="120"/>
        <w:ind w:left="720" w:hanging="720"/>
        <w:jc w:val="both"/>
      </w:pPr>
      <w:r>
        <w:t>Lorenz-Spreen, P., Mønsted, B.M., Hövel, P. and Lehmann, S. (2019), "Accelerating dynamics of collective attention", Nature Communications, Vol. 10, 1759, doi: 10.1038/s41467-019-09311-w.</w:t>
      </w:r>
    </w:p>
    <w:p>
      <w:pPr>
        <w:spacing w:after="120"/>
        <w:ind w:left="720" w:hanging="720"/>
        <w:jc w:val="both"/>
      </w:pPr>
      <w:r>
        <w:t>Mariani, M.S., Battiston, F., Horvát, E.-Á., Livan, G., Musciotto, F. and Wang, D. (2024), "Collective dynamics behind success", Nature Communications, Vol. 15, 10701, doi: 10.1038/s41467-024-54612-4.</w:t>
      </w:r>
    </w:p>
    <w:p>
      <w:pPr>
        <w:spacing w:after="120"/>
        <w:ind w:left="720" w:hanging="720"/>
        <w:jc w:val="both"/>
      </w:pPr>
      <w:r>
        <w:t>Martin, R. (2026), "Regularized e-processes: anytime valid inference with knowledge-based efficiency gains", Bernoulli, Vol. 32 No. 3, doi: 10.3150/25-bej1939.</w:t>
      </w:r>
    </w:p>
    <w:p>
      <w:pPr>
        <w:spacing w:after="120"/>
        <w:ind w:left="720" w:hanging="720"/>
        <w:jc w:val="both"/>
      </w:pPr>
      <w:r>
        <w:t>Meng, X., Wang, X. and Zhao, X. (2025), "The dynamics of conspiracy theories on social media from the diffusion of innovations perspective: the moderating role of time", Internet Research, Vol. ahead-of-print No. ahead-of-print, doi: 10.1108/INTR-07-2024-1123.</w:t>
      </w:r>
    </w:p>
    <w:p>
      <w:pPr>
        <w:spacing w:after="120"/>
        <w:ind w:left="720" w:hanging="720"/>
        <w:jc w:val="both"/>
      </w:pPr>
      <w:r>
        <w:t>Mocanu, D., Rossi, L., Zhang, Q., Karsai, M. and Quattrociocchi, W. (2015), "Collective attention in the age of (mis)information", Computers in Human Behavior, Vol. 51, pp.1198-1204, doi: 10.1016/j.chb.2015.01.024.</w:t>
      </w:r>
    </w:p>
    <w:p>
      <w:pPr>
        <w:spacing w:after="120"/>
        <w:ind w:left="720" w:hanging="720"/>
        <w:jc w:val="both"/>
      </w:pPr>
      <w:r>
        <w:t>Newman, M.E.J. (2006), "Modularity and community structure in networks", Proceedings of the National Academy of Sciences, Vol. 103 No. 23, pp.8577-8582, doi: 10.1073/pnas.0601602103.</w:t>
      </w:r>
    </w:p>
    <w:p>
      <w:pPr>
        <w:spacing w:after="120"/>
        <w:ind w:left="720" w:hanging="720"/>
        <w:jc w:val="both"/>
      </w:pPr>
      <w:r>
        <w:t>Nosek, B.A., Alter, G., Banks, G.C., Borsboom, D., Bowman, S.D., Breckler, S.J., Buck, S., Chambers, C.D., Chin, G., Christensen, G., Contestabile, M., Dafoe, A., Eich, E., Freese, J., Glennerster, R., Goroff, D., Green, D.P., Hesse, B., Humphreys, M., Ishiyama, J., Karlan, D., Kraut, A., Lupia, A., Mabry, P., Madon, T., Malhotra, N., Mayo-Wilson, E., McNutt, M., Miguel, E., Paluck, E.L., Simonsohn, U., Soderberg, C., Spellman, B.A., Turitto, J., VandenBos, G., Vazire, S., Wagenmakers, E.J., Wilson, R. and Yarkoni, T. (2015), "Promoting an open research culture", Science, Vol. 348 No. 6242, pp.1422-1425, doi: 10.1126/science.aab2374.</w:t>
      </w:r>
    </w:p>
    <w:p>
      <w:pPr>
        <w:spacing w:after="120"/>
        <w:ind w:left="720" w:hanging="720"/>
        <w:jc w:val="both"/>
      </w:pPr>
      <w:r>
        <w:t>Olfat, M., Topic-Rutherford, M., Mohammad Beig, M. and Barkhi, F. (2025), "What makes an influencer’s followers green? U-shaped curvilinear relationships between influencers’ interactive practices and perceived pro-environmental behaviors", Internet Research, Vol. ahead-of-print No. ahead-of-print, doi: 10.1108/INTR-09-2024-1395.</w:t>
      </w:r>
    </w:p>
    <w:p>
      <w:pPr>
        <w:spacing w:after="120"/>
        <w:ind w:left="720" w:hanging="720"/>
        <w:jc w:val="both"/>
      </w:pPr>
      <w:r>
        <w:t>Pan, T., Guo, X., Sun, Y. and Yang, H. (2026), "Revealing how information attributes of social media affect individuals’ mental health during health crises: a person-environment fit perspective", Internet Research, Vol. ahead-of-print No. ahead-of-print, doi: 10.1108/INTR-06-2025-0965.</w:t>
      </w:r>
    </w:p>
    <w:p>
      <w:pPr>
        <w:spacing w:after="120"/>
        <w:ind w:left="720" w:hanging="720"/>
        <w:jc w:val="both"/>
      </w:pPr>
      <w:r>
        <w:t>Peng, S. and Bainbridge, W.A. (2026), "Image memorability predicts social media virality and externally-associated commenting", Computers in Human Behavior, Vol. 174, 108799, doi: 10.1016/j.chb.2025.108799.</w:t>
      </w:r>
    </w:p>
    <w:p>
      <w:pPr>
        <w:spacing w:after="120"/>
        <w:ind w:left="720" w:hanging="720"/>
        <w:jc w:val="both"/>
      </w:pPr>
      <w:r>
        <w:t>Ramdas, A., Grünwald, P., Vovk, V. and Shafer, G. (2023), "Game-theoretic statistics and safe anytime-valid inference", Statistical Science, Vol. 38 No. 4, pp.576-601, doi: 10.1214/23-sts894.</w:t>
      </w:r>
    </w:p>
    <w:p>
      <w:pPr>
        <w:spacing w:after="120"/>
        <w:ind w:left="720" w:hanging="720"/>
        <w:jc w:val="both"/>
      </w:pPr>
      <w:r>
        <w:t>Rogers, E.M. (2003), Diffusion of Innovations, 5th ed., Free Press, New York, NY.</w:t>
      </w:r>
    </w:p>
    <w:p>
      <w:pPr>
        <w:spacing w:after="120"/>
        <w:ind w:left="720" w:hanging="720"/>
        <w:jc w:val="both"/>
      </w:pPr>
      <w:r>
        <w:t>Rosenbaum, P.R. and Rubin, D.B. (1983), "The central role of the propensity score in observational studies for causal effects", Biometrika, Vol. 70 No. 1, pp.41-55, doi: 10.1093/biomet/70.1.41.</w:t>
      </w:r>
    </w:p>
    <w:p>
      <w:pPr>
        <w:spacing w:after="120"/>
        <w:ind w:left="720" w:hanging="720"/>
        <w:jc w:val="both"/>
      </w:pPr>
      <w:r>
        <w:t>Sari, D.K., Herwandito, S., Utomo, A.W., Solikhah, N.I. and Wibowo, N.A. (2025), "We know who we are: expressing national identity on YouTube video comments", Journal of Computational Social Science, Vol. 8 No. 4, 85, doi: 10.1007/s42001-025-00426-3.</w:t>
      </w:r>
    </w:p>
    <w:p>
      <w:pPr>
        <w:spacing w:after="120"/>
        <w:ind w:left="720" w:hanging="720"/>
        <w:jc w:val="both"/>
      </w:pPr>
      <w:r>
        <w:t>Shafer, G. (2021), "Testing by betting: a strategy for statistical and scientific communication", Journal of the Royal Statistical Society Series A: Statistics in Society, Vol. 184 No. 2, pp.407-431, doi: 10.1111/rssa.12647.</w:t>
      </w:r>
    </w:p>
    <w:p>
      <w:pPr>
        <w:spacing w:after="120"/>
        <w:ind w:left="720" w:hanging="720"/>
        <w:jc w:val="both"/>
      </w:pPr>
      <w:r>
        <w:t>Shin, J., Ramdas, A. and Rinaldo, A. (2023), "E-detectors: a nonparametric framework for sequential change detection", The New England Journal of Statistics in Data Science, pp.229-260, doi: 10.51387/23-nejsds51.</w:t>
      </w:r>
    </w:p>
    <w:p>
      <w:pPr>
        <w:spacing w:after="120"/>
        <w:ind w:left="720" w:hanging="720"/>
        <w:jc w:val="both"/>
      </w:pPr>
      <w:r>
        <w:t>Sousa, M., Tomé, A.M. and Moreira, J. (2024), "A general framework for multi-step ahead adaptive conformal heteroscedastic time series forecasting", Neurocomputing, Vol. 608, 128434, doi: 10.1016/j.neucom.2024.128434.</w:t>
      </w:r>
    </w:p>
    <w:p>
      <w:pPr>
        <w:spacing w:after="120"/>
        <w:ind w:left="720" w:hanging="720"/>
        <w:jc w:val="both"/>
      </w:pPr>
      <w:r>
        <w:t>Stuart, E.A. (2010), "Matching methods for causal inference: a review and a look forward", Statistical Science, Vol. 25 No. 1, pp.1-21, doi: 10.1214/09-STS313.</w:t>
      </w:r>
    </w:p>
    <w:p>
      <w:pPr>
        <w:spacing w:after="120"/>
        <w:ind w:left="720" w:hanging="720"/>
        <w:jc w:val="both"/>
      </w:pPr>
      <w:r>
        <w:t>Traag, V.A., Waltman, L. and van Eck, N.J. (2019), "From Louvain to Leiden: guaranteeing well-connected communities", Scientific Reports, Vol. 9, 5233, doi: 10.1038/s41598-019-41695-z.</w:t>
      </w:r>
    </w:p>
    <w:p>
      <w:pPr>
        <w:spacing w:after="120"/>
        <w:ind w:left="720" w:hanging="720"/>
        <w:jc w:val="both"/>
      </w:pPr>
      <w:r>
        <w:t>Venkatesh, V., Morris, M.G., Davis, G.B. and Davis, F.D. (2003), "User acceptance of information technology: toward a unified view", MIS Quarterly, Vol. 27 No. 3, pp.425-478, doi: 10.2307/30036540.</w:t>
      </w:r>
    </w:p>
    <w:p>
      <w:pPr>
        <w:spacing w:after="120"/>
        <w:ind w:left="720" w:hanging="720"/>
        <w:jc w:val="both"/>
      </w:pPr>
      <w:r>
        <w:t>Vosoughi, S., Roy, D. and Aral, S. (2018), "The spread of true and false news online", Science, Vol. 359 No. 6380, pp.1146-1151, doi: 10.1126/science.aap9559.</w:t>
      </w:r>
    </w:p>
    <w:p>
      <w:pPr>
        <w:spacing w:after="120"/>
        <w:ind w:left="720" w:hanging="720"/>
        <w:jc w:val="both"/>
      </w:pPr>
      <w:r>
        <w:t>Vovk, V. and Wang, R. (2021), "E-values: calibration, combination and applications", The Annals of Statistics, Vol. 49 No. 3, pp.1736-1754, doi: 10.1214/20-aos2020.</w:t>
      </w:r>
    </w:p>
    <w:p>
      <w:pPr>
        <w:spacing w:after="120"/>
        <w:ind w:left="720" w:hanging="720"/>
        <w:jc w:val="both"/>
      </w:pPr>
      <w:r>
        <w:t>Vovk, V., Gammerman, A. and Shafer, G. (2022), Algorithmic Learning in a Random World, 2nd ed., Springer, Cham, doi: 10.1007/978-3-031-06649-8.</w:t>
      </w:r>
    </w:p>
    <w:p>
      <w:pPr>
        <w:spacing w:after="120"/>
        <w:ind w:left="720" w:hanging="720"/>
        <w:jc w:val="both"/>
      </w:pPr>
      <w:r>
        <w:t>Wang, H. and Ramdas, A. (2025), "Anytime-valid t-tests and confidence sequences for Gaussian means with unknown variance", Sequential Analysis, Vol. 44 No. 1, pp.56-110, doi: 10.1080/07474946.2024.2428245.</w:t>
      </w:r>
    </w:p>
    <w:p>
      <w:pPr>
        <w:spacing w:after="120"/>
        <w:ind w:left="720" w:hanging="720"/>
        <w:jc w:val="both"/>
      </w:pPr>
      <w:r>
        <w:t>Wang, R. and Ramdas, A. (2022), "False discovery rate control with e-values", Journal of the Royal Statistical Society Series B: Statistical Methodology, Vol. 84 No. 3, pp.822-852, doi: 10.1111/rssb.12489.</w:t>
      </w:r>
    </w:p>
    <w:p>
      <w:pPr>
        <w:spacing w:after="120"/>
        <w:ind w:left="720" w:hanging="720"/>
        <w:jc w:val="both"/>
      </w:pPr>
      <w:r>
        <w:t>Waudby-Smith, I. and Ramdas, A. (2024), "Estimating means of bounded random variables by betting", Journal of the Royal Statistical Society Series B: Statistical Methodology, Vol. 86 No. 1, pp.1-27, doi: 10.1093/jrsssb/qkad009.</w:t>
      </w:r>
    </w:p>
    <w:p>
      <w:pPr>
        <w:spacing w:after="120"/>
        <w:ind w:left="720" w:hanging="720"/>
        <w:jc w:val="both"/>
      </w:pPr>
      <w:r>
        <w:t>Wu, Y.J., van Zoonen, W., Treem, J.W. and Sivunen, A.E. (2026), "Attention dynamics on social technology platforms in organizations: an empirical study of structural and temporal mechanisms", New Media &amp; Society, advance online publication, doi: 10.1177/14614448261456236.</w:t>
      </w:r>
    </w:p>
    <w:p>
      <w:pPr>
        <w:spacing w:after="120"/>
        <w:ind w:left="720" w:hanging="720"/>
        <w:jc w:val="both"/>
      </w:pPr>
      <w:r>
        <w:t>Wu, Z., Pan, S., Chen, F., Long, G., Zhang, C. and Yu, P.S. (2021), "A comprehensive survey on graph neural networks", IEEE Transactions on Neural Networks and Learning Systems, Vol. 32 No. 1, pp.4-24, doi: 10.1109/TNNLS.2020.2978386.</w:t>
      </w:r>
    </w:p>
    <w:p>
      <w:pPr>
        <w:spacing w:after="120"/>
        <w:ind w:left="720" w:hanging="720"/>
        <w:jc w:val="both"/>
      </w:pPr>
      <w:r>
        <w:t>Yin, Q., Guo, C. and Yan, Z. (2025), "From intervention to prevention! Effects of peer progress information on user engagement", Internet Research, Vol. ahead-of-print No. ahead-of-print, doi: 10.1108/INTR-05-2024-0817.</w:t>
      </w:r>
    </w:p>
    <w:p>
      <w:pPr>
        <w:spacing w:after="120"/>
        <w:ind w:left="720" w:hanging="720"/>
        <w:jc w:val="both"/>
      </w:pPr>
      <w:r>
        <w:t>Zhang, X.M., Xu, D., Hong, H. and Chan, K. (2026), "Attention or sentiment: how social media react to ESG?", Information Systems Research, Vol. 37 No. 2, pp.1323-1336, doi: 10.1287/isre.2022.0251.</w:t>
      </w:r>
    </w:p>
    <w:p>
      <w:pPr>
        <w:spacing w:after="120"/>
        <w:ind w:left="720" w:hanging="720"/>
        <w:jc w:val="both"/>
      </w:pPr>
      <w:r>
        <w:t>Zhou, J., Cui, G., Hu, S., Zhang, Z., Yang, C., Liu, Z., Wang, L., Li, C. and Sun, M. (2020), "Graph neural networks: a review of methods and applications", AI Open, Vol. 1, pp.57-81, doi: 10.1016/j.aiopen.2021.01.001.</w:t>
      </w:r>
    </w:p>
    <w:p>
      <w:pPr>
        <w:spacing w:after="120"/>
        <w:ind w:left="720" w:hanging="720"/>
        <w:jc w:val="both"/>
      </w:pPr>
      <w:r>
        <w:t>Zimmer, M. (2010), "‘But the data is already public’: on the ethics of research in Facebook", Ethics and Information Technology, Vol. 12 No. 4, pp.313-325, doi: 10.1007/s10676-010-9227-5.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