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When audiences turn: how publics collectively mobilise around technology-mediated events, and detecting the turn as it happens</w:t>
      </w:r>
    </w:p>
    <w:p/>
    <w:p>
      <w:pPr>
        <w:jc w:val="center"/>
      </w:pPr>
      <w:r>
        <w:rPr>
          <w:b/>
          <w:sz w:val="26"/>
        </w:rPr>
        <w:t>Quang-Vinh Dang</w:t>
      </w:r>
    </w:p>
    <w:p>
      <w:pPr>
        <w:jc w:val="center"/>
      </w:pPr>
      <w:r>
        <w:rPr>
          <w:i/>
          <w:sz w:val="24"/>
        </w:rPr>
        <w:t>British University Vietnam, Hung Yen, Vietnam</w:t>
      </w:r>
    </w:p>
    <w:p>
      <w:pPr>
        <w:jc w:val="center"/>
      </w:pPr>
      <w:r>
        <w:rPr>
          <w:sz w:val="24"/>
        </w:rPr>
        <w:t>vinh.dq4@buv.edu.vn</w:t>
      </w:r>
    </w:p>
    <w:p/>
    <w:p>
      <w:pPr>
        <w:jc w:val="left"/>
      </w:pPr>
      <w:r>
        <w:rPr>
          <w:b/>
        </w:rPr>
        <w:t xml:space="preserve">Corresponding author: </w:t>
      </w:r>
      <w:r>
        <w:t>Quang-Vinh Dang (vinh.dq4@buv.edu.vn), British University Vietnam, Hung Yen, Vietnam.</w:t>
      </w:r>
    </w:p>
    <w:p>
      <w:pPr>
        <w:jc w:val="left"/>
      </w:pPr>
      <w:r>
        <w:rPr>
          <w:b/>
        </w:rPr>
        <w:t xml:space="preserve">Author biography: </w:t>
      </w:r>
      <w:r>
        <w:t>Quang-Vinh Dang is a researcher at British University Vietnam. His work spans data science, machine learning and the computational study of socio-technical systems, with a focus on trustworthy inference from large-scale behavioural data.</w:t>
      </w:r>
    </w:p>
    <w:p>
      <w:pPr>
        <w:jc w:val="left"/>
      </w:pPr>
      <w:r>
        <w:rPr>
          <w:b/>
        </w:rPr>
        <w:t xml:space="preserve">Funding: </w:t>
      </w:r>
      <w:r>
        <w:t>This research received no specific grant from any funding agency in the public, commercial or not-for-profit sectors.</w:t>
      </w:r>
    </w:p>
    <w:p>
      <w:pPr>
        <w:jc w:val="left"/>
      </w:pPr>
      <w:r>
        <w:rPr>
          <w:b/>
        </w:rPr>
        <w:t xml:space="preserve">Declaration of conflicting interests: </w:t>
      </w:r>
      <w:r>
        <w:t>The author declares no competing interests.</w:t>
      </w:r>
    </w:p>
    <w:p>
      <w:pPr>
        <w:jc w:val="left"/>
      </w:pPr>
      <w:r>
        <w:rPr>
          <w:b/>
        </w:rPr>
        <w:t xml:space="preserve">Data availability: </w:t>
      </w:r>
      <w:r>
        <w:t>The analysis code and the reproducible collection and analysis pipeline are openly available. Consistent with the platform's terms and research ethics, only anonymised, aggregate network and time-series statistics are reported; commenter identities are irreversibly anonymised at collection and no verbatim comments are released.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